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9A1C52" w14:textId="77777777" w:rsidR="00095F66" w:rsidRPr="006521F1" w:rsidRDefault="00C71FA0" w:rsidP="00095F66">
          <w:pPr>
            <w:rPr>
              <w:bCs/>
              <w:szCs w:val="20"/>
            </w:rPr>
          </w:pPr>
          <w:r>
            <w:rPr>
              <w:bCs/>
              <w:noProof/>
              <w:szCs w:val="20"/>
            </w:rPr>
            <w:drawing>
              <wp:inline distT="0" distB="0" distL="0" distR="0" wp14:anchorId="2C5BAB5D" wp14:editId="53C9C914">
                <wp:extent cx="2600678" cy="923925"/>
                <wp:effectExtent l="0" t="0" r="9525" b="0"/>
                <wp:docPr id="265409095" name="Graphic 1" descr="Minnesota Secure Choice Retirement Progra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409095" name="Graphic 1" descr="Minnesota Secure Choice Retirement Program logo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145" cy="926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713D498E" w14:textId="080ADC53" w:rsidR="006B14BC" w:rsidRPr="00A53BB9" w:rsidRDefault="00F31DE7" w:rsidP="000B6021">
      <w:pPr>
        <w:pStyle w:val="Heading1"/>
        <w:spacing w:before="0"/>
      </w:pPr>
      <w:r>
        <w:t>Memo</w:t>
      </w:r>
    </w:p>
    <w:p w14:paraId="573BCFA2" w14:textId="2A2FFFEA" w:rsidR="006B14BC" w:rsidRPr="006B14BC" w:rsidRDefault="006B14BC" w:rsidP="006B14BC">
      <w:r w:rsidRPr="0053085E">
        <w:rPr>
          <w:rStyle w:val="Bold"/>
        </w:rPr>
        <w:t>Date:</w:t>
      </w:r>
      <w:r w:rsidRPr="006B14BC">
        <w:t xml:space="preserve"> </w:t>
      </w:r>
      <w:r w:rsidR="00903944">
        <w:t xml:space="preserve"> </w:t>
      </w:r>
      <w:r w:rsidR="00903944">
        <w:tab/>
        <w:t>April 1, 2025</w:t>
      </w:r>
      <w:r w:rsidR="001519E3">
        <w:br/>
      </w:r>
      <w:r w:rsidRPr="0053085E">
        <w:rPr>
          <w:rStyle w:val="Bold"/>
        </w:rPr>
        <w:t>To:</w:t>
      </w:r>
      <w:r w:rsidRPr="006B14BC">
        <w:t xml:space="preserve"> </w:t>
      </w:r>
      <w:r w:rsidRPr="006B14BC">
        <w:tab/>
      </w:r>
      <w:r w:rsidR="00F31DE7">
        <w:t>MN Secure Choice Board of Directors</w:t>
      </w:r>
      <w:r w:rsidR="001519E3">
        <w:br/>
      </w:r>
      <w:r w:rsidRPr="0053085E">
        <w:rPr>
          <w:rStyle w:val="Bold"/>
        </w:rPr>
        <w:t>From:</w:t>
      </w:r>
      <w:r w:rsidRPr="006B14BC">
        <w:t xml:space="preserve"> </w:t>
      </w:r>
      <w:r w:rsidRPr="006B14BC">
        <w:tab/>
      </w:r>
      <w:r w:rsidR="00F31DE7">
        <w:t xml:space="preserve">Dave Bergstrom, Interim </w:t>
      </w:r>
      <w:r w:rsidR="00F57C16">
        <w:t>Executive Director</w:t>
      </w:r>
    </w:p>
    <w:p w14:paraId="2C996E37" w14:textId="6A2CEA66" w:rsidR="006B14BC" w:rsidRPr="00C808B2" w:rsidRDefault="006B14BC" w:rsidP="00C808B2">
      <w:pPr>
        <w:pStyle w:val="Heading2"/>
      </w:pPr>
      <w:r w:rsidRPr="00C808B2">
        <w:t xml:space="preserve">RE: </w:t>
      </w:r>
      <w:r w:rsidR="00903944">
        <w:t xml:space="preserve">FY 2026 </w:t>
      </w:r>
      <w:r w:rsidR="00F57C16">
        <w:t>MN Secure Choice Retirement Program Budget</w:t>
      </w:r>
    </w:p>
    <w:p w14:paraId="15261132" w14:textId="23F63D7A" w:rsidR="00DA695B" w:rsidRDefault="00396A6A" w:rsidP="006B14BC">
      <w:r>
        <w:t xml:space="preserve">Staff is proposing the following budget for the </w:t>
      </w:r>
      <w:r w:rsidR="00CD5B4A">
        <w:t>f</w:t>
      </w:r>
      <w:r>
        <w:t xml:space="preserve">iscal </w:t>
      </w:r>
      <w:r w:rsidR="00CD5B4A">
        <w:t>y</w:t>
      </w:r>
      <w:r>
        <w:t xml:space="preserve">ear </w:t>
      </w:r>
      <w:r w:rsidR="0056216C">
        <w:t>starting</w:t>
      </w:r>
      <w:r>
        <w:t xml:space="preserve"> July 1, </w:t>
      </w:r>
      <w:r w:rsidR="00903944">
        <w:t>2025,</w:t>
      </w:r>
      <w:r>
        <w:t xml:space="preserve"> to June 30, 2026.</w:t>
      </w:r>
    </w:p>
    <w:p w14:paraId="07C76B27" w14:textId="5EB6AAD9" w:rsidR="000B6021" w:rsidRPr="000B6021" w:rsidRDefault="009F3FBB" w:rsidP="000B6021">
      <w:pPr>
        <w:pStyle w:val="Heading3"/>
        <w:spacing w:after="120"/>
      </w:pPr>
      <w:r>
        <w:t>B</w:t>
      </w:r>
      <w:r w:rsidR="002F26FB">
        <w:t xml:space="preserve">udget </w:t>
      </w:r>
      <w:r w:rsidR="000B6021">
        <w:t>Items</w:t>
      </w: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3865"/>
        <w:gridCol w:w="1169"/>
        <w:gridCol w:w="5041"/>
      </w:tblGrid>
      <w:tr w:rsidR="008F28B8" w14:paraId="5D116100" w14:textId="77777777" w:rsidTr="00436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65" w:type="dxa"/>
          </w:tcPr>
          <w:p w14:paraId="2541158D" w14:textId="1FD94574" w:rsidR="008F28B8" w:rsidRDefault="008F28B8" w:rsidP="00C1002E">
            <w:pPr>
              <w:pStyle w:val="TableText"/>
            </w:pPr>
            <w:r>
              <w:t>Position</w:t>
            </w:r>
          </w:p>
        </w:tc>
        <w:tc>
          <w:tcPr>
            <w:tcW w:w="1169" w:type="dxa"/>
          </w:tcPr>
          <w:p w14:paraId="4CE49398" w14:textId="60BE3F8F" w:rsidR="008F28B8" w:rsidRDefault="008F28B8" w:rsidP="00C1002E">
            <w:pPr>
              <w:pStyle w:val="TableText"/>
            </w:pPr>
            <w:r>
              <w:t>Salary</w:t>
            </w:r>
          </w:p>
        </w:tc>
        <w:tc>
          <w:tcPr>
            <w:tcW w:w="5041" w:type="dxa"/>
          </w:tcPr>
          <w:p w14:paraId="77FF1218" w14:textId="018287C5" w:rsidR="008F28B8" w:rsidRDefault="002F26FB" w:rsidP="00C1002E">
            <w:pPr>
              <w:pStyle w:val="TableText"/>
            </w:pPr>
            <w:r>
              <w:t>Details</w:t>
            </w:r>
          </w:p>
        </w:tc>
      </w:tr>
      <w:tr w:rsidR="008F28B8" w14:paraId="0C53653A" w14:textId="77777777" w:rsidTr="00436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65" w:type="dxa"/>
          </w:tcPr>
          <w:p w14:paraId="7EC3170F" w14:textId="5ECFBAE7" w:rsidR="008F28B8" w:rsidRDefault="008F28B8" w:rsidP="00C1002E">
            <w:pPr>
              <w:pStyle w:val="TableText"/>
            </w:pPr>
            <w:r>
              <w:t>Permanent Executive Director</w:t>
            </w:r>
          </w:p>
        </w:tc>
        <w:tc>
          <w:tcPr>
            <w:tcW w:w="1169" w:type="dxa"/>
          </w:tcPr>
          <w:p w14:paraId="1D58A764" w14:textId="511DBA30" w:rsidR="008F28B8" w:rsidRDefault="008F28B8" w:rsidP="00C1002E">
            <w:pPr>
              <w:pStyle w:val="TableText"/>
            </w:pPr>
            <w:r>
              <w:t>$216,</w:t>
            </w:r>
            <w:r w:rsidR="00D2146B">
              <w:t>0</w:t>
            </w:r>
            <w:r>
              <w:t>0</w:t>
            </w:r>
          </w:p>
        </w:tc>
        <w:tc>
          <w:tcPr>
            <w:tcW w:w="5041" w:type="dxa"/>
          </w:tcPr>
          <w:p w14:paraId="6D1A746D" w14:textId="224F6C8E" w:rsidR="008F28B8" w:rsidRDefault="008F28B8" w:rsidP="00C1002E">
            <w:pPr>
              <w:pStyle w:val="TableText"/>
            </w:pPr>
            <w:r>
              <w:t>$173,000 plus an additional 25% for Social Security, Medicare, Retirement, and other benefits</w:t>
            </w:r>
          </w:p>
        </w:tc>
      </w:tr>
      <w:tr w:rsidR="008F28B8" w14:paraId="53FF6325" w14:textId="77777777" w:rsidTr="00436C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65" w:type="dxa"/>
          </w:tcPr>
          <w:p w14:paraId="56F996D9" w14:textId="47712D94" w:rsidR="008F28B8" w:rsidRDefault="00A5533E" w:rsidP="00C1002E">
            <w:pPr>
              <w:pStyle w:val="TableText"/>
            </w:pPr>
            <w:r>
              <w:t>Executive Assistant</w:t>
            </w:r>
            <w:r w:rsidR="005C273F">
              <w:t xml:space="preserve"> – full time</w:t>
            </w:r>
          </w:p>
        </w:tc>
        <w:tc>
          <w:tcPr>
            <w:tcW w:w="1169" w:type="dxa"/>
          </w:tcPr>
          <w:p w14:paraId="401CEAE8" w14:textId="11FAFE1B" w:rsidR="008F28B8" w:rsidRDefault="00A5533E" w:rsidP="00C1002E">
            <w:pPr>
              <w:pStyle w:val="TableText"/>
            </w:pPr>
            <w:r>
              <w:t xml:space="preserve"> </w:t>
            </w:r>
            <w:r w:rsidR="00D450B9">
              <w:t xml:space="preserve"> </w:t>
            </w:r>
            <w:r>
              <w:t>$90,000</w:t>
            </w:r>
          </w:p>
        </w:tc>
        <w:tc>
          <w:tcPr>
            <w:tcW w:w="5041" w:type="dxa"/>
          </w:tcPr>
          <w:p w14:paraId="306CAB96" w14:textId="786F994B" w:rsidR="008F28B8" w:rsidRDefault="00A5533E" w:rsidP="00C1002E">
            <w:pPr>
              <w:pStyle w:val="TableText"/>
            </w:pPr>
            <w:r>
              <w:t>$</w:t>
            </w:r>
            <w:r w:rsidR="00A524FB">
              <w:t>72,000 plus an additional 25% for benefits</w:t>
            </w:r>
          </w:p>
        </w:tc>
      </w:tr>
      <w:tr w:rsidR="008F28B8" w14:paraId="0747956C" w14:textId="77777777" w:rsidTr="00436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65" w:type="dxa"/>
          </w:tcPr>
          <w:p w14:paraId="66B466EB" w14:textId="3647A1F1" w:rsidR="008F28B8" w:rsidRDefault="00A524FB" w:rsidP="00C1002E">
            <w:pPr>
              <w:pStyle w:val="TableText"/>
            </w:pPr>
            <w:r>
              <w:t>Communi</w:t>
            </w:r>
            <w:r w:rsidR="005C273F">
              <w:t>cation Specialist – full time</w:t>
            </w:r>
          </w:p>
        </w:tc>
        <w:tc>
          <w:tcPr>
            <w:tcW w:w="1169" w:type="dxa"/>
          </w:tcPr>
          <w:p w14:paraId="31DD26DB" w14:textId="0DF548FF" w:rsidR="008F28B8" w:rsidRDefault="005C273F" w:rsidP="00C1002E">
            <w:pPr>
              <w:pStyle w:val="TableText"/>
            </w:pPr>
            <w:r>
              <w:t>$125,000</w:t>
            </w:r>
          </w:p>
        </w:tc>
        <w:tc>
          <w:tcPr>
            <w:tcW w:w="5041" w:type="dxa"/>
          </w:tcPr>
          <w:p w14:paraId="0C28761B" w14:textId="753E7731" w:rsidR="008F28B8" w:rsidRDefault="00D450B9" w:rsidP="00C1002E">
            <w:pPr>
              <w:pStyle w:val="TableText"/>
            </w:pPr>
            <w:r>
              <w:t>$100,000 plus an additional 25% for benefits</w:t>
            </w:r>
          </w:p>
        </w:tc>
      </w:tr>
      <w:tr w:rsidR="00D42D92" w14:paraId="04C7B6BC" w14:textId="77777777" w:rsidTr="00436C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65" w:type="dxa"/>
          </w:tcPr>
          <w:p w14:paraId="70B2F263" w14:textId="6B25F810" w:rsidR="00D42D92" w:rsidRDefault="00D42D92" w:rsidP="00D42D92">
            <w:pPr>
              <w:pStyle w:val="TableText"/>
            </w:pPr>
            <w:r>
              <w:t>State Program Administrator – full time</w:t>
            </w:r>
          </w:p>
        </w:tc>
        <w:tc>
          <w:tcPr>
            <w:tcW w:w="1169" w:type="dxa"/>
          </w:tcPr>
          <w:p w14:paraId="1C09B2E8" w14:textId="43601E3D" w:rsidR="00D42D92" w:rsidRDefault="00D42D92" w:rsidP="00D42D92">
            <w:pPr>
              <w:pStyle w:val="TableText"/>
            </w:pPr>
            <w:r>
              <w:t>$125,000</w:t>
            </w:r>
          </w:p>
        </w:tc>
        <w:tc>
          <w:tcPr>
            <w:tcW w:w="5041" w:type="dxa"/>
          </w:tcPr>
          <w:p w14:paraId="3B213A56" w14:textId="7EE4BD83" w:rsidR="00D42D92" w:rsidRDefault="00D42D92" w:rsidP="00D42D92">
            <w:pPr>
              <w:pStyle w:val="TableText"/>
            </w:pPr>
            <w:r>
              <w:t>$100,000 plus an additional 25% for benefits</w:t>
            </w:r>
          </w:p>
        </w:tc>
      </w:tr>
      <w:tr w:rsidR="007D176F" w14:paraId="0F60726E" w14:textId="77777777" w:rsidTr="00436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65" w:type="dxa"/>
            <w:tcBorders>
              <w:bottom w:val="single" w:sz="12" w:space="0" w:color="auto"/>
            </w:tcBorders>
          </w:tcPr>
          <w:p w14:paraId="522634E0" w14:textId="16CE44A0" w:rsidR="007D176F" w:rsidRDefault="007D176F" w:rsidP="00D42D92">
            <w:pPr>
              <w:pStyle w:val="TableText"/>
            </w:pPr>
            <w:r>
              <w:t>State Program Administrator – half time temporary position</w:t>
            </w:r>
            <w:r w:rsidR="00903944">
              <w:t>.</w:t>
            </w:r>
          </w:p>
        </w:tc>
        <w:tc>
          <w:tcPr>
            <w:tcW w:w="1169" w:type="dxa"/>
            <w:tcBorders>
              <w:bottom w:val="single" w:sz="12" w:space="0" w:color="auto"/>
            </w:tcBorders>
          </w:tcPr>
          <w:p w14:paraId="1EC76386" w14:textId="0B040333" w:rsidR="007D176F" w:rsidRDefault="00B21C3F" w:rsidP="00D42D92">
            <w:pPr>
              <w:pStyle w:val="TableText"/>
            </w:pPr>
            <w:r>
              <w:t xml:space="preserve">  $</w:t>
            </w:r>
            <w:r w:rsidR="00343EB0">
              <w:t>3</w:t>
            </w:r>
            <w:r w:rsidR="00903944">
              <w:t>6,000</w:t>
            </w:r>
          </w:p>
        </w:tc>
        <w:tc>
          <w:tcPr>
            <w:tcW w:w="5041" w:type="dxa"/>
            <w:tcBorders>
              <w:bottom w:val="single" w:sz="12" w:space="0" w:color="auto"/>
            </w:tcBorders>
          </w:tcPr>
          <w:p w14:paraId="6241BF9A" w14:textId="64ADD468" w:rsidR="007D176F" w:rsidRDefault="00B21C3F" w:rsidP="00D42D92">
            <w:pPr>
              <w:pStyle w:val="TableText"/>
            </w:pPr>
            <w:r>
              <w:t>$48.00 an hour plus 7.65% for Social Security and Medicare</w:t>
            </w:r>
            <w:r w:rsidR="00E51A90">
              <w:t xml:space="preserve"> (4 months)</w:t>
            </w:r>
          </w:p>
        </w:tc>
      </w:tr>
      <w:tr w:rsidR="00D42D92" w14:paraId="09569FE6" w14:textId="77777777" w:rsidTr="007F5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65" w:type="dxa"/>
            <w:tcBorders>
              <w:top w:val="single" w:sz="12" w:space="0" w:color="auto"/>
              <w:bottom w:val="single" w:sz="12" w:space="0" w:color="auto"/>
            </w:tcBorders>
          </w:tcPr>
          <w:p w14:paraId="765F16F7" w14:textId="24DFFBD5" w:rsidR="00D42D92" w:rsidRDefault="007D3EE0" w:rsidP="00696A9F">
            <w:pPr>
              <w:pStyle w:val="TableText"/>
              <w:jc w:val="right"/>
            </w:pPr>
            <w:r>
              <w:t>Total</w:t>
            </w:r>
            <w:r w:rsidR="00B82863">
              <w:t xml:space="preserve"> 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</w:tcPr>
          <w:p w14:paraId="39010B13" w14:textId="24F3D03B" w:rsidR="00D42D92" w:rsidRDefault="007019FC" w:rsidP="00D42D92">
            <w:pPr>
              <w:pStyle w:val="TableText"/>
            </w:pPr>
            <w:r>
              <w:t>$592,</w:t>
            </w:r>
            <w:r w:rsidR="00CD3175">
              <w:t>00</w:t>
            </w:r>
            <w:r>
              <w:t>0</w:t>
            </w:r>
          </w:p>
        </w:tc>
        <w:tc>
          <w:tcPr>
            <w:tcW w:w="5041" w:type="dxa"/>
            <w:tcBorders>
              <w:top w:val="single" w:sz="12" w:space="0" w:color="auto"/>
              <w:bottom w:val="single" w:sz="12" w:space="0" w:color="auto"/>
            </w:tcBorders>
          </w:tcPr>
          <w:p w14:paraId="7812AFCA" w14:textId="4C7390CD" w:rsidR="00D42D92" w:rsidRDefault="00CD5615" w:rsidP="005A7655">
            <w:pPr>
              <w:pStyle w:val="TableText"/>
            </w:pPr>
            <w:r>
              <w:t>If position</w:t>
            </w:r>
            <w:r w:rsidR="00E53C98">
              <w:t>s are filled all fiscal year.</w:t>
            </w:r>
          </w:p>
        </w:tc>
      </w:tr>
      <w:tr w:rsidR="007F5C41" w14:paraId="1D28B7C1" w14:textId="77777777" w:rsidTr="00436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65" w:type="dxa"/>
            <w:tcBorders>
              <w:top w:val="single" w:sz="12" w:space="0" w:color="auto"/>
            </w:tcBorders>
          </w:tcPr>
          <w:p w14:paraId="3C683267" w14:textId="77777777" w:rsidR="007F5C41" w:rsidRDefault="007F5C41" w:rsidP="00696A9F">
            <w:pPr>
              <w:pStyle w:val="TableText"/>
              <w:jc w:val="right"/>
            </w:pPr>
          </w:p>
        </w:tc>
        <w:tc>
          <w:tcPr>
            <w:tcW w:w="1169" w:type="dxa"/>
            <w:tcBorders>
              <w:top w:val="single" w:sz="12" w:space="0" w:color="auto"/>
            </w:tcBorders>
          </w:tcPr>
          <w:p w14:paraId="04626C5E" w14:textId="2B1AD2B9" w:rsidR="007F5C41" w:rsidRDefault="00CD3175" w:rsidP="00D42D92">
            <w:pPr>
              <w:pStyle w:val="TableText"/>
            </w:pPr>
            <w:r>
              <w:t>$525,000</w:t>
            </w:r>
          </w:p>
        </w:tc>
        <w:tc>
          <w:tcPr>
            <w:tcW w:w="5041" w:type="dxa"/>
            <w:tcBorders>
              <w:top w:val="single" w:sz="12" w:space="0" w:color="auto"/>
            </w:tcBorders>
          </w:tcPr>
          <w:p w14:paraId="4EE4088C" w14:textId="2D53963C" w:rsidR="007F5C41" w:rsidRDefault="00CD3175" w:rsidP="004353FC">
            <w:pPr>
              <w:pStyle w:val="TableText"/>
              <w:jc w:val="center"/>
            </w:pPr>
            <w:r>
              <w:t xml:space="preserve">Assuming </w:t>
            </w:r>
            <w:r w:rsidR="00B40055">
              <w:t>position</w:t>
            </w:r>
            <w:r w:rsidR="005A7655">
              <w:t>s</w:t>
            </w:r>
            <w:r w:rsidR="00B40055">
              <w:t xml:space="preserve"> won’t</w:t>
            </w:r>
            <w:r w:rsidR="00584CB3">
              <w:t xml:space="preserve"> all</w:t>
            </w:r>
            <w:r w:rsidR="00B40055">
              <w:t xml:space="preserve"> be filled </w:t>
            </w:r>
            <w:r w:rsidR="00584CB3">
              <w:t>on</w:t>
            </w:r>
            <w:r w:rsidR="00B40055">
              <w:t xml:space="preserve"> July 1, 2025</w:t>
            </w:r>
            <w:r w:rsidR="005C5FB2">
              <w:t>.</w:t>
            </w:r>
          </w:p>
        </w:tc>
      </w:tr>
    </w:tbl>
    <w:p w14:paraId="066848FE" w14:textId="77777777" w:rsidR="00B82863" w:rsidRDefault="00B82863" w:rsidP="00B82863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645"/>
        <w:gridCol w:w="2425"/>
      </w:tblGrid>
      <w:tr w:rsidR="007B0748" w14:paraId="15B79673" w14:textId="77777777" w:rsidTr="00854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45" w:type="dxa"/>
          </w:tcPr>
          <w:p w14:paraId="7E5A10CC" w14:textId="7FE46A77" w:rsidR="007B0748" w:rsidRDefault="007B0748" w:rsidP="00B82863">
            <w:r>
              <w:t>Expenses</w:t>
            </w:r>
          </w:p>
        </w:tc>
        <w:tc>
          <w:tcPr>
            <w:tcW w:w="2425" w:type="dxa"/>
          </w:tcPr>
          <w:p w14:paraId="60436CF3" w14:textId="356FCC78" w:rsidR="007B0748" w:rsidRDefault="007B0748" w:rsidP="00B82863">
            <w:r>
              <w:t>Amount</w:t>
            </w:r>
          </w:p>
        </w:tc>
      </w:tr>
      <w:tr w:rsidR="007B0748" w14:paraId="7669889C" w14:textId="77777777" w:rsidTr="00696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"/>
        </w:trPr>
        <w:tc>
          <w:tcPr>
            <w:tcW w:w="7645" w:type="dxa"/>
          </w:tcPr>
          <w:p w14:paraId="3DE5F0B4" w14:textId="0BFC6988" w:rsidR="0078203D" w:rsidRDefault="00462A5B" w:rsidP="00B82863">
            <w:r>
              <w:t>$20,500</w:t>
            </w:r>
            <w:r w:rsidR="0078203D">
              <w:t xml:space="preserve"> - r</w:t>
            </w:r>
            <w:r w:rsidR="000A5447">
              <w:t xml:space="preserve">ent and office support: </w:t>
            </w:r>
            <w:r w:rsidR="002E1D34">
              <w:t xml:space="preserve">Annual office </w:t>
            </w:r>
            <w:r w:rsidR="0033602C">
              <w:t>space rent</w:t>
            </w:r>
            <w:r>
              <w:t xml:space="preserve"> </w:t>
            </w:r>
          </w:p>
          <w:p w14:paraId="3F136A08" w14:textId="6CD50C3A" w:rsidR="007B0748" w:rsidRDefault="0078203D" w:rsidP="0078203D">
            <w:pPr>
              <w:spacing w:before="0"/>
            </w:pPr>
            <w:r>
              <w:t>$7,5</w:t>
            </w:r>
            <w:r w:rsidR="00EF31F9">
              <w:t>00</w:t>
            </w:r>
            <w:r>
              <w:t xml:space="preserve"> - </w:t>
            </w:r>
            <w:r w:rsidR="00462A5B">
              <w:t xml:space="preserve">annual fee for office furniture rental, copying &amp; printing services, building security, etc. </w:t>
            </w:r>
          </w:p>
        </w:tc>
        <w:tc>
          <w:tcPr>
            <w:tcW w:w="2425" w:type="dxa"/>
          </w:tcPr>
          <w:p w14:paraId="39A80087" w14:textId="77777777" w:rsidR="005945BE" w:rsidRDefault="005945BE" w:rsidP="0078203D">
            <w:pPr>
              <w:jc w:val="center"/>
            </w:pPr>
          </w:p>
          <w:p w14:paraId="66D78DD8" w14:textId="0C36F2AC" w:rsidR="00806CCD" w:rsidRDefault="00806CCD" w:rsidP="00696A9F">
            <w:pPr>
              <w:jc w:val="center"/>
            </w:pPr>
            <w:r>
              <w:t>$28,</w:t>
            </w:r>
            <w:r w:rsidR="00EF31F9">
              <w:t>000</w:t>
            </w:r>
          </w:p>
        </w:tc>
      </w:tr>
      <w:tr w:rsidR="007B0748" w14:paraId="20977914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</w:tcPr>
          <w:p w14:paraId="49AAAD27" w14:textId="76B185BB" w:rsidR="007B0748" w:rsidRDefault="004C37E6" w:rsidP="00B82863">
            <w:r>
              <w:t>General supplies</w:t>
            </w:r>
            <w:r w:rsidR="008E13B2">
              <w:t xml:space="preserve"> </w:t>
            </w:r>
            <w:r w:rsidR="00A04F2F">
              <w:t>–</w:t>
            </w:r>
            <w:r w:rsidR="00726436">
              <w:t>L</w:t>
            </w:r>
            <w:r w:rsidR="00A04F2F">
              <w:t>etterhead, envelopes, pens, folders, etc.</w:t>
            </w:r>
          </w:p>
        </w:tc>
        <w:tc>
          <w:tcPr>
            <w:tcW w:w="2425" w:type="dxa"/>
          </w:tcPr>
          <w:p w14:paraId="33C17AF9" w14:textId="7969B1FF" w:rsidR="007B0748" w:rsidRDefault="004C37E6" w:rsidP="004C37E6">
            <w:pPr>
              <w:jc w:val="center"/>
            </w:pPr>
            <w:r>
              <w:t>$</w:t>
            </w:r>
            <w:r w:rsidR="004E51C6">
              <w:t>3</w:t>
            </w:r>
            <w:r w:rsidR="00A04F2F">
              <w:t>,000</w:t>
            </w:r>
          </w:p>
        </w:tc>
      </w:tr>
      <w:tr w:rsidR="00726436" w14:paraId="549ECAD4" w14:textId="77777777" w:rsidTr="0085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45" w:type="dxa"/>
          </w:tcPr>
          <w:p w14:paraId="19ED799E" w14:textId="340AB831" w:rsidR="00726436" w:rsidRDefault="00726436" w:rsidP="00B82863">
            <w:r>
              <w:t>Postage</w:t>
            </w:r>
          </w:p>
        </w:tc>
        <w:tc>
          <w:tcPr>
            <w:tcW w:w="2425" w:type="dxa"/>
          </w:tcPr>
          <w:p w14:paraId="465F647C" w14:textId="55CCC595" w:rsidR="00726436" w:rsidRDefault="00726436" w:rsidP="004C37E6">
            <w:pPr>
              <w:jc w:val="center"/>
            </w:pPr>
            <w:r>
              <w:t>$10,000</w:t>
            </w:r>
          </w:p>
        </w:tc>
      </w:tr>
      <w:tr w:rsidR="007B0748" w14:paraId="47109084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</w:tcPr>
          <w:p w14:paraId="6E0CA6D7" w14:textId="39AFE1D7" w:rsidR="007B0748" w:rsidRDefault="004C37E6" w:rsidP="00B82863">
            <w:r>
              <w:t>Ongoing Information Services Cost - $200/month per employee</w:t>
            </w:r>
            <w:r w:rsidR="0057544E">
              <w:t>. Includes computer, docking station rental, software and network support, and phone technology</w:t>
            </w:r>
            <w:r w:rsidR="00B26ECA">
              <w:t xml:space="preserve"> support. 5 employees x $200.</w:t>
            </w:r>
          </w:p>
        </w:tc>
        <w:tc>
          <w:tcPr>
            <w:tcW w:w="2425" w:type="dxa"/>
          </w:tcPr>
          <w:p w14:paraId="69ECE991" w14:textId="77777777" w:rsidR="00B26ECA" w:rsidRDefault="00B26ECA" w:rsidP="00B26ECA">
            <w:pPr>
              <w:jc w:val="center"/>
            </w:pPr>
          </w:p>
          <w:p w14:paraId="7669773F" w14:textId="23861553" w:rsidR="007B0748" w:rsidRDefault="00B26ECA" w:rsidP="00B26ECA">
            <w:pPr>
              <w:jc w:val="center"/>
            </w:pPr>
            <w:r>
              <w:t>$12,000</w:t>
            </w:r>
          </w:p>
        </w:tc>
      </w:tr>
      <w:tr w:rsidR="007B0748" w14:paraId="5B7AAF52" w14:textId="77777777" w:rsidTr="0085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45" w:type="dxa"/>
          </w:tcPr>
          <w:p w14:paraId="6184EFB1" w14:textId="4521E365" w:rsidR="007B0748" w:rsidRDefault="009B3A8C" w:rsidP="00B82863">
            <w:r>
              <w:lastRenderedPageBreak/>
              <w:t>Payroll and Accounting functions</w:t>
            </w:r>
            <w:r w:rsidR="00A04F2F">
              <w:t xml:space="preserve"> – This cost assumes that will be using the S</w:t>
            </w:r>
            <w:r w:rsidR="009062CB">
              <w:t>m</w:t>
            </w:r>
            <w:r w:rsidR="00A04F2F">
              <w:t>ART</w:t>
            </w:r>
            <w:r w:rsidR="004E23D9">
              <w:t>(Small Agency</w:t>
            </w:r>
            <w:r w:rsidR="00A04F2F">
              <w:t xml:space="preserve"> program</w:t>
            </w:r>
            <w:r w:rsidR="0073413B">
              <w:t xml:space="preserve"> for administrative support)</w:t>
            </w:r>
          </w:p>
        </w:tc>
        <w:tc>
          <w:tcPr>
            <w:tcW w:w="2425" w:type="dxa"/>
          </w:tcPr>
          <w:p w14:paraId="43EC4E0A" w14:textId="417306DF" w:rsidR="007B0748" w:rsidRDefault="009B3A8C" w:rsidP="009B3A8C">
            <w:pPr>
              <w:jc w:val="center"/>
            </w:pPr>
            <w:r>
              <w:t>$54,000</w:t>
            </w:r>
          </w:p>
        </w:tc>
      </w:tr>
      <w:tr w:rsidR="007B0748" w14:paraId="3ECB908F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</w:tcPr>
          <w:p w14:paraId="0CA4C6E4" w14:textId="481B80E3" w:rsidR="007B0748" w:rsidRDefault="009B3A8C" w:rsidP="00B82863">
            <w:r>
              <w:t>Other MNIT ser</w:t>
            </w:r>
            <w:r w:rsidR="00B56EB2">
              <w:t>vices – includes preparation of file to give to record keeper and other hardware or system requests.</w:t>
            </w:r>
          </w:p>
        </w:tc>
        <w:tc>
          <w:tcPr>
            <w:tcW w:w="2425" w:type="dxa"/>
          </w:tcPr>
          <w:p w14:paraId="286ED419" w14:textId="12EDA2F0" w:rsidR="007B0748" w:rsidRDefault="00B56EB2" w:rsidP="00B56EB2">
            <w:pPr>
              <w:jc w:val="center"/>
            </w:pPr>
            <w:r>
              <w:t>$50,000</w:t>
            </w:r>
          </w:p>
        </w:tc>
      </w:tr>
      <w:tr w:rsidR="007B0748" w14:paraId="6913FAC0" w14:textId="77777777" w:rsidTr="0085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45" w:type="dxa"/>
          </w:tcPr>
          <w:p w14:paraId="227590BF" w14:textId="216406E8" w:rsidR="007B0748" w:rsidRDefault="005F6873" w:rsidP="00B82863">
            <w:r>
              <w:t xml:space="preserve">Statewide indirect costs </w:t>
            </w:r>
            <w:r w:rsidR="0073413B">
              <w:t xml:space="preserve">(state agencies may be billed at the end of the year </w:t>
            </w:r>
            <w:r w:rsidR="0066357C">
              <w:t>to make up for budget shortages in other agencies – such as MNIT</w:t>
            </w:r>
            <w:r w:rsidR="00D264E7">
              <w:t>, Department of Finance.)</w:t>
            </w:r>
          </w:p>
        </w:tc>
        <w:tc>
          <w:tcPr>
            <w:tcW w:w="2425" w:type="dxa"/>
          </w:tcPr>
          <w:p w14:paraId="133EBE37" w14:textId="688318BD" w:rsidR="007B0748" w:rsidRDefault="005F6873" w:rsidP="005F6873">
            <w:pPr>
              <w:jc w:val="center"/>
            </w:pPr>
            <w:r>
              <w:t>$25,000</w:t>
            </w:r>
          </w:p>
        </w:tc>
      </w:tr>
      <w:tr w:rsidR="007B0748" w14:paraId="7F7141CE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</w:tcPr>
          <w:p w14:paraId="3E878F7C" w14:textId="7964E3B9" w:rsidR="007B0748" w:rsidRDefault="00B05769" w:rsidP="00854334">
            <w:r>
              <w:t>Travel Costs – conference attendance and mileage reimbursements</w:t>
            </w:r>
            <w:r w:rsidR="00D264E7">
              <w:t xml:space="preserve"> for staff and Board. </w:t>
            </w:r>
          </w:p>
        </w:tc>
        <w:tc>
          <w:tcPr>
            <w:tcW w:w="2425" w:type="dxa"/>
          </w:tcPr>
          <w:p w14:paraId="71986BEC" w14:textId="107516F2" w:rsidR="007B0748" w:rsidRDefault="00B05769" w:rsidP="00B05769">
            <w:pPr>
              <w:jc w:val="center"/>
            </w:pPr>
            <w:r>
              <w:t>$5,000</w:t>
            </w:r>
          </w:p>
        </w:tc>
      </w:tr>
      <w:tr w:rsidR="00D52BB1" w14:paraId="4241433D" w14:textId="77777777" w:rsidTr="0085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45" w:type="dxa"/>
          </w:tcPr>
          <w:p w14:paraId="570D47EB" w14:textId="6E7AACF1" w:rsidR="00D52BB1" w:rsidRDefault="00D52BB1" w:rsidP="00854334">
            <w:r>
              <w:t>Training</w:t>
            </w:r>
            <w:r w:rsidR="005742CB">
              <w:t xml:space="preserve"> </w:t>
            </w:r>
            <w:r w:rsidR="000837F5">
              <w:t>–</w:t>
            </w:r>
            <w:r w:rsidR="005742CB">
              <w:t xml:space="preserve"> </w:t>
            </w:r>
            <w:r w:rsidR="000837F5">
              <w:t>for staff</w:t>
            </w:r>
          </w:p>
        </w:tc>
        <w:tc>
          <w:tcPr>
            <w:tcW w:w="2425" w:type="dxa"/>
          </w:tcPr>
          <w:p w14:paraId="338CF935" w14:textId="7FD4C08F" w:rsidR="00D52BB1" w:rsidRDefault="005742CB" w:rsidP="00B05769">
            <w:pPr>
              <w:jc w:val="center"/>
            </w:pPr>
            <w:r>
              <w:t>$6,000</w:t>
            </w:r>
          </w:p>
        </w:tc>
      </w:tr>
      <w:tr w:rsidR="00B05769" w14:paraId="3D99A083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</w:tcPr>
          <w:p w14:paraId="1EEADC5E" w14:textId="212DF7BB" w:rsidR="00B05769" w:rsidRDefault="00657934" w:rsidP="00854334">
            <w:r>
              <w:t>Georgetown</w:t>
            </w:r>
            <w:r w:rsidR="00D11C3B">
              <w:t xml:space="preserve"> Center for Retirement Initi</w:t>
            </w:r>
            <w:r w:rsidR="00692CA8">
              <w:t>ativ</w:t>
            </w:r>
            <w:r w:rsidR="00D11C3B">
              <w:t>es</w:t>
            </w:r>
            <w:r>
              <w:t xml:space="preserve"> Research Membership</w:t>
            </w:r>
          </w:p>
        </w:tc>
        <w:tc>
          <w:tcPr>
            <w:tcW w:w="2425" w:type="dxa"/>
          </w:tcPr>
          <w:p w14:paraId="3314BCBE" w14:textId="1A652550" w:rsidR="00B05769" w:rsidRDefault="00657934" w:rsidP="00B05769">
            <w:pPr>
              <w:jc w:val="center"/>
            </w:pPr>
            <w:r>
              <w:t>$1,000</w:t>
            </w:r>
          </w:p>
        </w:tc>
      </w:tr>
      <w:tr w:rsidR="00657934" w14:paraId="2C3BE08D" w14:textId="77777777" w:rsidTr="0085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45" w:type="dxa"/>
          </w:tcPr>
          <w:p w14:paraId="1393E6BA" w14:textId="48DE352A" w:rsidR="00657934" w:rsidRDefault="00657934" w:rsidP="00854334">
            <w:r>
              <w:t>Consulting Services</w:t>
            </w:r>
            <w:r w:rsidR="00692CA8">
              <w:t xml:space="preserve"> for Operational Consultant</w:t>
            </w:r>
          </w:p>
        </w:tc>
        <w:tc>
          <w:tcPr>
            <w:tcW w:w="2425" w:type="dxa"/>
          </w:tcPr>
          <w:p w14:paraId="2C0739A9" w14:textId="06D1CC46" w:rsidR="00657934" w:rsidRDefault="00657934" w:rsidP="00B05769">
            <w:pPr>
              <w:jc w:val="center"/>
            </w:pPr>
            <w:r>
              <w:t>$100,000</w:t>
            </w:r>
          </w:p>
        </w:tc>
      </w:tr>
      <w:tr w:rsidR="00657934" w14:paraId="5AD58BC8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</w:tcPr>
          <w:p w14:paraId="7ECD2475" w14:textId="14CF5BD7" w:rsidR="00657934" w:rsidRDefault="00657934" w:rsidP="00854334">
            <w:r>
              <w:t>Website Hosting</w:t>
            </w:r>
            <w:r w:rsidR="004E51C6">
              <w:t xml:space="preserve"> and development</w:t>
            </w:r>
          </w:p>
        </w:tc>
        <w:tc>
          <w:tcPr>
            <w:tcW w:w="2425" w:type="dxa"/>
          </w:tcPr>
          <w:p w14:paraId="1EFC9464" w14:textId="14A35236" w:rsidR="00657934" w:rsidRDefault="00657934" w:rsidP="00B05769">
            <w:pPr>
              <w:jc w:val="center"/>
            </w:pPr>
            <w:r>
              <w:t>$</w:t>
            </w:r>
            <w:r w:rsidR="00692CA8">
              <w:t>2</w:t>
            </w:r>
            <w:r>
              <w:t>0,000</w:t>
            </w:r>
          </w:p>
        </w:tc>
      </w:tr>
      <w:tr w:rsidR="00657934" w14:paraId="72F356C8" w14:textId="77777777" w:rsidTr="00854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45" w:type="dxa"/>
            <w:tcBorders>
              <w:bottom w:val="single" w:sz="12" w:space="0" w:color="auto"/>
            </w:tcBorders>
          </w:tcPr>
          <w:p w14:paraId="402163BD" w14:textId="7DE6FF15" w:rsidR="00657934" w:rsidRDefault="009A2BA0" w:rsidP="009A2BA0">
            <w:pPr>
              <w:jc w:val="right"/>
            </w:pPr>
            <w:r>
              <w:t>Total Expenses</w:t>
            </w:r>
          </w:p>
        </w:tc>
        <w:tc>
          <w:tcPr>
            <w:tcW w:w="2425" w:type="dxa"/>
            <w:tcBorders>
              <w:bottom w:val="single" w:sz="12" w:space="0" w:color="auto"/>
            </w:tcBorders>
          </w:tcPr>
          <w:p w14:paraId="5BFC23B9" w14:textId="58833193" w:rsidR="00657934" w:rsidRDefault="00FD3ED3" w:rsidP="00702C48">
            <w:pPr>
              <w:jc w:val="center"/>
            </w:pPr>
            <w:r>
              <w:t>$3</w:t>
            </w:r>
            <w:r w:rsidR="00F45B38">
              <w:t>1</w:t>
            </w:r>
            <w:r>
              <w:t>4,000</w:t>
            </w:r>
          </w:p>
        </w:tc>
      </w:tr>
      <w:tr w:rsidR="004353FC" w14:paraId="466B717D" w14:textId="77777777" w:rsidTr="008543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45" w:type="dxa"/>
            <w:tcBorders>
              <w:top w:val="single" w:sz="12" w:space="0" w:color="auto"/>
            </w:tcBorders>
          </w:tcPr>
          <w:p w14:paraId="2E929290" w14:textId="4D626724" w:rsidR="004353FC" w:rsidRDefault="009A2BA0" w:rsidP="00696A9F">
            <w:pPr>
              <w:jc w:val="right"/>
            </w:pPr>
            <w:r>
              <w:t>Grand Total</w:t>
            </w:r>
          </w:p>
        </w:tc>
        <w:tc>
          <w:tcPr>
            <w:tcW w:w="2425" w:type="dxa"/>
            <w:tcBorders>
              <w:top w:val="single" w:sz="12" w:space="0" w:color="auto"/>
            </w:tcBorders>
          </w:tcPr>
          <w:p w14:paraId="480D6F16" w14:textId="42361DC5" w:rsidR="004353FC" w:rsidRDefault="003754A4" w:rsidP="00B05769">
            <w:pPr>
              <w:jc w:val="center"/>
            </w:pPr>
            <w:r>
              <w:t>$</w:t>
            </w:r>
            <w:r w:rsidR="00F45B38">
              <w:t>839,000</w:t>
            </w:r>
          </w:p>
        </w:tc>
      </w:tr>
    </w:tbl>
    <w:p w14:paraId="6239A839" w14:textId="4269FE5B" w:rsidR="0053085E" w:rsidRDefault="0053085E" w:rsidP="00A02193">
      <w:pPr>
        <w:pStyle w:val="Heading4"/>
        <w:rPr>
          <w:rStyle w:val="Underline"/>
          <w:u w:val="none"/>
        </w:rPr>
      </w:pPr>
    </w:p>
    <w:p w14:paraId="2B5EF7DE" w14:textId="677E7DC6" w:rsidR="00A02193" w:rsidRDefault="00A02193" w:rsidP="00A02193">
      <w:r>
        <w:t xml:space="preserve">The budget does not include any </w:t>
      </w:r>
      <w:r w:rsidR="003116E9">
        <w:t xml:space="preserve">costs for record keeping services.   This cost will be added when </w:t>
      </w:r>
      <w:r w:rsidR="009C3656">
        <w:t xml:space="preserve">the contract with the Record Keeper is finalized. </w:t>
      </w:r>
    </w:p>
    <w:p w14:paraId="31BA2451" w14:textId="77777777" w:rsidR="009C3656" w:rsidRDefault="009C3656" w:rsidP="00A02193"/>
    <w:p w14:paraId="7A064B4E" w14:textId="453DD888" w:rsidR="009C3656" w:rsidRDefault="009C3656" w:rsidP="00A02193">
      <w:r>
        <w:t xml:space="preserve">Mn Secure Choice was appropriated $5,000,000 effective June 30. </w:t>
      </w:r>
      <w:r w:rsidR="003909D3">
        <w:t>2024, to offset the cost of administering the Program.  The assets are invested</w:t>
      </w:r>
      <w:r w:rsidR="004308F3">
        <w:t xml:space="preserve"> in the Invested Treasure’s Cash (ITC) </w:t>
      </w:r>
      <w:r w:rsidR="009E5DD1">
        <w:t xml:space="preserve">Pool.  The ITC objectives are to preserve capital, meet liquidity needs, and provide competitive money market returns.  </w:t>
      </w:r>
      <w:r w:rsidR="00E334AA">
        <w:t xml:space="preserve">As of March 31, the account balance was </w:t>
      </w:r>
      <w:r w:rsidR="00457AEB">
        <w:t>$5,016,748.</w:t>
      </w:r>
      <w:r w:rsidR="00DA7C1F">
        <w:t xml:space="preserve">  T</w:t>
      </w:r>
      <w:r w:rsidR="007B43A7">
        <w:t xml:space="preserve">o date, the interest has exceeded the cost of </w:t>
      </w:r>
      <w:r w:rsidR="007E7D8C">
        <w:t>the FY 2025 Budget.</w:t>
      </w:r>
    </w:p>
    <w:p w14:paraId="5B3C1F8F" w14:textId="77777777" w:rsidR="00D10E9C" w:rsidRDefault="00D10E9C" w:rsidP="00A02193"/>
    <w:p w14:paraId="37B565B7" w14:textId="23C4BD8C" w:rsidR="00D10E9C" w:rsidRPr="00A02193" w:rsidRDefault="00D10E9C" w:rsidP="00A02193">
      <w:r>
        <w:t>It is anticipated that the account will earn approximately $1</w:t>
      </w:r>
      <w:r w:rsidR="00EB4838">
        <w:t>50,000 in Fiscal Year 2026</w:t>
      </w:r>
      <w:r w:rsidR="00372028">
        <w:t>.</w:t>
      </w:r>
    </w:p>
    <w:sectPr w:rsidR="00D10E9C" w:rsidRPr="00A02193" w:rsidSect="002F26FB">
      <w:footerReference w:type="default" r:id="rId13"/>
      <w:footerReference w:type="first" r:id="rId14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E735" w14:textId="77777777" w:rsidR="00FC59E4" w:rsidRDefault="00FC59E4" w:rsidP="003432CA">
      <w:r>
        <w:separator/>
      </w:r>
    </w:p>
    <w:p w14:paraId="35B89B6B" w14:textId="77777777" w:rsidR="00FC59E4" w:rsidRDefault="00FC59E4"/>
  </w:endnote>
  <w:endnote w:type="continuationSeparator" w:id="0">
    <w:p w14:paraId="5C47FCA4" w14:textId="77777777" w:rsidR="00FC59E4" w:rsidRDefault="00FC59E4" w:rsidP="003432CA">
      <w:r>
        <w:continuationSeparator/>
      </w:r>
    </w:p>
    <w:p w14:paraId="50B401E2" w14:textId="77777777" w:rsidR="00FC59E4" w:rsidRDefault="00FC59E4"/>
  </w:endnote>
  <w:endnote w:type="continuationNotice" w:id="1">
    <w:p w14:paraId="241BE6CA" w14:textId="77777777" w:rsidR="00C95850" w:rsidRDefault="00C958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9246" w14:textId="604AB2B9" w:rsidR="004C5027" w:rsidRDefault="002F26FB" w:rsidP="00006359">
    <w:pPr>
      <w:pStyle w:val="Footer"/>
    </w:pPr>
    <w:r>
      <w:t>SCRB Budget Memo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D6BC" w14:textId="60A036CF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922D85E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C561" w14:textId="77777777" w:rsidR="00FC59E4" w:rsidRDefault="00FC59E4" w:rsidP="003432CA">
      <w:r>
        <w:separator/>
      </w:r>
    </w:p>
    <w:p w14:paraId="56E7F2BA" w14:textId="77777777" w:rsidR="00FC59E4" w:rsidRDefault="00FC59E4"/>
  </w:footnote>
  <w:footnote w:type="continuationSeparator" w:id="0">
    <w:p w14:paraId="0F1E828C" w14:textId="77777777" w:rsidR="00FC59E4" w:rsidRDefault="00FC59E4" w:rsidP="003432CA">
      <w:r>
        <w:continuationSeparator/>
      </w:r>
    </w:p>
    <w:p w14:paraId="2082FC58" w14:textId="77777777" w:rsidR="00FC59E4" w:rsidRDefault="00FC59E4"/>
  </w:footnote>
  <w:footnote w:type="continuationNotice" w:id="1">
    <w:p w14:paraId="7DFF57F2" w14:textId="77777777" w:rsidR="00C95850" w:rsidRDefault="00C9585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3pt;height:24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D6D8F"/>
    <w:multiLevelType w:val="hybridMultilevel"/>
    <w:tmpl w:val="38D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0714"/>
    <w:multiLevelType w:val="hybridMultilevel"/>
    <w:tmpl w:val="5B88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0171F"/>
    <w:multiLevelType w:val="hybridMultilevel"/>
    <w:tmpl w:val="782A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87107">
    <w:abstractNumId w:val="3"/>
  </w:num>
  <w:num w:numId="2" w16cid:durableId="1139348612">
    <w:abstractNumId w:val="7"/>
  </w:num>
  <w:num w:numId="3" w16cid:durableId="753167306">
    <w:abstractNumId w:val="27"/>
  </w:num>
  <w:num w:numId="4" w16cid:durableId="39328844">
    <w:abstractNumId w:val="25"/>
  </w:num>
  <w:num w:numId="5" w16cid:durableId="474374905">
    <w:abstractNumId w:val="20"/>
  </w:num>
  <w:num w:numId="6" w16cid:durableId="1014846386">
    <w:abstractNumId w:val="4"/>
  </w:num>
  <w:num w:numId="7" w16cid:durableId="472261776">
    <w:abstractNumId w:val="15"/>
  </w:num>
  <w:num w:numId="8" w16cid:durableId="1011223573">
    <w:abstractNumId w:val="8"/>
  </w:num>
  <w:num w:numId="9" w16cid:durableId="1510487035">
    <w:abstractNumId w:val="12"/>
  </w:num>
  <w:num w:numId="10" w16cid:durableId="121774613">
    <w:abstractNumId w:val="2"/>
  </w:num>
  <w:num w:numId="11" w16cid:durableId="1046372320">
    <w:abstractNumId w:val="2"/>
  </w:num>
  <w:num w:numId="12" w16cid:durableId="297994549">
    <w:abstractNumId w:val="28"/>
  </w:num>
  <w:num w:numId="13" w16cid:durableId="2050060587">
    <w:abstractNumId w:val="29"/>
  </w:num>
  <w:num w:numId="14" w16cid:durableId="443497786">
    <w:abstractNumId w:val="19"/>
  </w:num>
  <w:num w:numId="15" w16cid:durableId="533230495">
    <w:abstractNumId w:val="2"/>
  </w:num>
  <w:num w:numId="16" w16cid:durableId="2116898092">
    <w:abstractNumId w:val="29"/>
  </w:num>
  <w:num w:numId="17" w16cid:durableId="1877425596">
    <w:abstractNumId w:val="19"/>
  </w:num>
  <w:num w:numId="18" w16cid:durableId="949897241">
    <w:abstractNumId w:val="11"/>
  </w:num>
  <w:num w:numId="19" w16cid:durableId="992181761">
    <w:abstractNumId w:val="6"/>
  </w:num>
  <w:num w:numId="20" w16cid:durableId="1934967512">
    <w:abstractNumId w:val="1"/>
  </w:num>
  <w:num w:numId="21" w16cid:durableId="1676033074">
    <w:abstractNumId w:val="0"/>
  </w:num>
  <w:num w:numId="22" w16cid:durableId="174732687">
    <w:abstractNumId w:val="9"/>
  </w:num>
  <w:num w:numId="23" w16cid:durableId="1054621484">
    <w:abstractNumId w:val="24"/>
  </w:num>
  <w:num w:numId="24" w16cid:durableId="1166360789">
    <w:abstractNumId w:val="26"/>
  </w:num>
  <w:num w:numId="25" w16cid:durableId="1189757536">
    <w:abstractNumId w:val="17"/>
  </w:num>
  <w:num w:numId="26" w16cid:durableId="206187074">
    <w:abstractNumId w:val="10"/>
  </w:num>
  <w:num w:numId="27" w16cid:durableId="719279423">
    <w:abstractNumId w:val="22"/>
  </w:num>
  <w:num w:numId="28" w16cid:durableId="801852206">
    <w:abstractNumId w:val="26"/>
  </w:num>
  <w:num w:numId="29" w16cid:durableId="863132459">
    <w:abstractNumId w:val="26"/>
  </w:num>
  <w:num w:numId="30" w16cid:durableId="1946425263">
    <w:abstractNumId w:val="23"/>
  </w:num>
  <w:num w:numId="31" w16cid:durableId="1900094105">
    <w:abstractNumId w:val="14"/>
  </w:num>
  <w:num w:numId="32" w16cid:durableId="1868903259">
    <w:abstractNumId w:val="18"/>
  </w:num>
  <w:num w:numId="33" w16cid:durableId="690499032">
    <w:abstractNumId w:val="21"/>
  </w:num>
  <w:num w:numId="34" w16cid:durableId="1329944976">
    <w:abstractNumId w:val="13"/>
  </w:num>
  <w:num w:numId="35" w16cid:durableId="590353792">
    <w:abstractNumId w:val="16"/>
  </w:num>
  <w:num w:numId="36" w16cid:durableId="159809640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84"/>
    <w:rsid w:val="00002DEC"/>
    <w:rsid w:val="00006359"/>
    <w:rsid w:val="000065AC"/>
    <w:rsid w:val="00006A0A"/>
    <w:rsid w:val="000177BB"/>
    <w:rsid w:val="00017F88"/>
    <w:rsid w:val="00021F9B"/>
    <w:rsid w:val="000361CE"/>
    <w:rsid w:val="00037E5C"/>
    <w:rsid w:val="0004311B"/>
    <w:rsid w:val="0005036B"/>
    <w:rsid w:val="000604A4"/>
    <w:rsid w:val="00064B90"/>
    <w:rsid w:val="0007374A"/>
    <w:rsid w:val="00080404"/>
    <w:rsid w:val="000837F5"/>
    <w:rsid w:val="00084742"/>
    <w:rsid w:val="00095F66"/>
    <w:rsid w:val="000A5447"/>
    <w:rsid w:val="000A6F5E"/>
    <w:rsid w:val="000B1D11"/>
    <w:rsid w:val="000B2E68"/>
    <w:rsid w:val="000B4CA4"/>
    <w:rsid w:val="000B6021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99C"/>
    <w:rsid w:val="00135DC7"/>
    <w:rsid w:val="00140284"/>
    <w:rsid w:val="00147ED1"/>
    <w:rsid w:val="001500D6"/>
    <w:rsid w:val="001519E3"/>
    <w:rsid w:val="00157C41"/>
    <w:rsid w:val="001658CF"/>
    <w:rsid w:val="001661D9"/>
    <w:rsid w:val="001708EC"/>
    <w:rsid w:val="00181D8B"/>
    <w:rsid w:val="001925A8"/>
    <w:rsid w:val="00193E7B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A0B06"/>
    <w:rsid w:val="002B32FD"/>
    <w:rsid w:val="002B42F9"/>
    <w:rsid w:val="002B5E79"/>
    <w:rsid w:val="002C0859"/>
    <w:rsid w:val="002D7CF1"/>
    <w:rsid w:val="002E1D34"/>
    <w:rsid w:val="002F1947"/>
    <w:rsid w:val="002F26FB"/>
    <w:rsid w:val="00305EB2"/>
    <w:rsid w:val="00306D94"/>
    <w:rsid w:val="003116E9"/>
    <w:rsid w:val="003125DF"/>
    <w:rsid w:val="00335736"/>
    <w:rsid w:val="0033602C"/>
    <w:rsid w:val="003432CA"/>
    <w:rsid w:val="00343EB0"/>
    <w:rsid w:val="003563D2"/>
    <w:rsid w:val="00372028"/>
    <w:rsid w:val="003754A4"/>
    <w:rsid w:val="00375591"/>
    <w:rsid w:val="00376FA5"/>
    <w:rsid w:val="00383587"/>
    <w:rsid w:val="00385911"/>
    <w:rsid w:val="003872A3"/>
    <w:rsid w:val="003909D3"/>
    <w:rsid w:val="003963B0"/>
    <w:rsid w:val="00396A6A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308F3"/>
    <w:rsid w:val="004353FC"/>
    <w:rsid w:val="00436C26"/>
    <w:rsid w:val="00457AEB"/>
    <w:rsid w:val="00461804"/>
    <w:rsid w:val="00462A5B"/>
    <w:rsid w:val="00466810"/>
    <w:rsid w:val="004816B5"/>
    <w:rsid w:val="00483DD2"/>
    <w:rsid w:val="00487307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37E6"/>
    <w:rsid w:val="004C5027"/>
    <w:rsid w:val="004E23D9"/>
    <w:rsid w:val="004E51C6"/>
    <w:rsid w:val="004E75B3"/>
    <w:rsid w:val="004F04BA"/>
    <w:rsid w:val="004F0EFF"/>
    <w:rsid w:val="004F6B75"/>
    <w:rsid w:val="0050093F"/>
    <w:rsid w:val="00513049"/>
    <w:rsid w:val="00514788"/>
    <w:rsid w:val="0053085E"/>
    <w:rsid w:val="0054371B"/>
    <w:rsid w:val="00543B8E"/>
    <w:rsid w:val="00545944"/>
    <w:rsid w:val="0056216C"/>
    <w:rsid w:val="0056615E"/>
    <w:rsid w:val="005666F2"/>
    <w:rsid w:val="00572D84"/>
    <w:rsid w:val="005742CB"/>
    <w:rsid w:val="0057544E"/>
    <w:rsid w:val="00584CB3"/>
    <w:rsid w:val="005945BE"/>
    <w:rsid w:val="00595EC8"/>
    <w:rsid w:val="005A7655"/>
    <w:rsid w:val="005B2DDF"/>
    <w:rsid w:val="005B4AE7"/>
    <w:rsid w:val="005B53B0"/>
    <w:rsid w:val="005C273F"/>
    <w:rsid w:val="005C5FB2"/>
    <w:rsid w:val="005D4207"/>
    <w:rsid w:val="005D454C"/>
    <w:rsid w:val="005D45B3"/>
    <w:rsid w:val="005E38F0"/>
    <w:rsid w:val="005F398E"/>
    <w:rsid w:val="005F6005"/>
    <w:rsid w:val="005F6873"/>
    <w:rsid w:val="006064AB"/>
    <w:rsid w:val="00617767"/>
    <w:rsid w:val="00622BB5"/>
    <w:rsid w:val="00623D2D"/>
    <w:rsid w:val="006521F1"/>
    <w:rsid w:val="006526E4"/>
    <w:rsid w:val="00655345"/>
    <w:rsid w:val="00657934"/>
    <w:rsid w:val="0066357C"/>
    <w:rsid w:val="00672536"/>
    <w:rsid w:val="00672A42"/>
    <w:rsid w:val="00681EDC"/>
    <w:rsid w:val="0068649F"/>
    <w:rsid w:val="00687189"/>
    <w:rsid w:val="00692CA8"/>
    <w:rsid w:val="00696A9F"/>
    <w:rsid w:val="006977A9"/>
    <w:rsid w:val="00697CCC"/>
    <w:rsid w:val="006B13B7"/>
    <w:rsid w:val="006B14BC"/>
    <w:rsid w:val="006B2942"/>
    <w:rsid w:val="006B3994"/>
    <w:rsid w:val="006C0E45"/>
    <w:rsid w:val="006C6C72"/>
    <w:rsid w:val="006D4829"/>
    <w:rsid w:val="006D7356"/>
    <w:rsid w:val="006E5A51"/>
    <w:rsid w:val="006F3B38"/>
    <w:rsid w:val="007019FC"/>
    <w:rsid w:val="00702C48"/>
    <w:rsid w:val="00707F0C"/>
    <w:rsid w:val="007137A4"/>
    <w:rsid w:val="00726436"/>
    <w:rsid w:val="0073413B"/>
    <w:rsid w:val="0074778B"/>
    <w:rsid w:val="0077225E"/>
    <w:rsid w:val="00780E94"/>
    <w:rsid w:val="0078203D"/>
    <w:rsid w:val="00793F48"/>
    <w:rsid w:val="007A45E4"/>
    <w:rsid w:val="007B0748"/>
    <w:rsid w:val="007B35B2"/>
    <w:rsid w:val="007B4354"/>
    <w:rsid w:val="007B43A7"/>
    <w:rsid w:val="007C1642"/>
    <w:rsid w:val="007C7E3F"/>
    <w:rsid w:val="007D176F"/>
    <w:rsid w:val="007D1FFF"/>
    <w:rsid w:val="007D3EE0"/>
    <w:rsid w:val="007D42A0"/>
    <w:rsid w:val="007E685C"/>
    <w:rsid w:val="007E7D8C"/>
    <w:rsid w:val="007F461B"/>
    <w:rsid w:val="007F5C41"/>
    <w:rsid w:val="007F6108"/>
    <w:rsid w:val="007F7097"/>
    <w:rsid w:val="008067A6"/>
    <w:rsid w:val="00806CCD"/>
    <w:rsid w:val="00807B1A"/>
    <w:rsid w:val="00823A65"/>
    <w:rsid w:val="008251B3"/>
    <w:rsid w:val="00830585"/>
    <w:rsid w:val="008435D3"/>
    <w:rsid w:val="00844F1D"/>
    <w:rsid w:val="0084749F"/>
    <w:rsid w:val="00854334"/>
    <w:rsid w:val="00864202"/>
    <w:rsid w:val="008B0A27"/>
    <w:rsid w:val="008B5443"/>
    <w:rsid w:val="008C7EEB"/>
    <w:rsid w:val="008D0DEF"/>
    <w:rsid w:val="008D2256"/>
    <w:rsid w:val="008D5E3D"/>
    <w:rsid w:val="008E13B2"/>
    <w:rsid w:val="008F28B8"/>
    <w:rsid w:val="008F5369"/>
    <w:rsid w:val="00903944"/>
    <w:rsid w:val="009062CB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A2BA0"/>
    <w:rsid w:val="009B3A8C"/>
    <w:rsid w:val="009B3BAB"/>
    <w:rsid w:val="009B54A0"/>
    <w:rsid w:val="009C027F"/>
    <w:rsid w:val="009C3656"/>
    <w:rsid w:val="009C6405"/>
    <w:rsid w:val="009E5DD1"/>
    <w:rsid w:val="009F3FBB"/>
    <w:rsid w:val="009F478E"/>
    <w:rsid w:val="009F66B6"/>
    <w:rsid w:val="009F7AB6"/>
    <w:rsid w:val="00A02193"/>
    <w:rsid w:val="00A04F2F"/>
    <w:rsid w:val="00A11EF4"/>
    <w:rsid w:val="00A16AA0"/>
    <w:rsid w:val="00A30799"/>
    <w:rsid w:val="00A31BBF"/>
    <w:rsid w:val="00A452C6"/>
    <w:rsid w:val="00A524FB"/>
    <w:rsid w:val="00A53BB9"/>
    <w:rsid w:val="00A5533E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470B"/>
    <w:rsid w:val="00AE5772"/>
    <w:rsid w:val="00AF22AD"/>
    <w:rsid w:val="00AF5107"/>
    <w:rsid w:val="00B05769"/>
    <w:rsid w:val="00B06264"/>
    <w:rsid w:val="00B07C8F"/>
    <w:rsid w:val="00B21C3F"/>
    <w:rsid w:val="00B21D8D"/>
    <w:rsid w:val="00B26ECA"/>
    <w:rsid w:val="00B275D4"/>
    <w:rsid w:val="00B33562"/>
    <w:rsid w:val="00B40055"/>
    <w:rsid w:val="00B55C6B"/>
    <w:rsid w:val="00B56EB2"/>
    <w:rsid w:val="00B61E1A"/>
    <w:rsid w:val="00B75051"/>
    <w:rsid w:val="00B82863"/>
    <w:rsid w:val="00B859DE"/>
    <w:rsid w:val="00BD0E59"/>
    <w:rsid w:val="00BD0EBC"/>
    <w:rsid w:val="00BD1DC1"/>
    <w:rsid w:val="00BE48A8"/>
    <w:rsid w:val="00BE4BC4"/>
    <w:rsid w:val="00BF794B"/>
    <w:rsid w:val="00C1002E"/>
    <w:rsid w:val="00C12D2F"/>
    <w:rsid w:val="00C23C46"/>
    <w:rsid w:val="00C277A8"/>
    <w:rsid w:val="00C309AE"/>
    <w:rsid w:val="00C365CE"/>
    <w:rsid w:val="00C417EB"/>
    <w:rsid w:val="00C528AE"/>
    <w:rsid w:val="00C62C7C"/>
    <w:rsid w:val="00C71FA0"/>
    <w:rsid w:val="00C72A41"/>
    <w:rsid w:val="00C808B2"/>
    <w:rsid w:val="00C82AED"/>
    <w:rsid w:val="00C851F4"/>
    <w:rsid w:val="00C87504"/>
    <w:rsid w:val="00C95850"/>
    <w:rsid w:val="00CA3BBE"/>
    <w:rsid w:val="00CC1090"/>
    <w:rsid w:val="00CD3175"/>
    <w:rsid w:val="00CD5615"/>
    <w:rsid w:val="00CD5B4A"/>
    <w:rsid w:val="00CE40B4"/>
    <w:rsid w:val="00CE45B0"/>
    <w:rsid w:val="00CF143A"/>
    <w:rsid w:val="00D0014D"/>
    <w:rsid w:val="00D10E9C"/>
    <w:rsid w:val="00D11C3B"/>
    <w:rsid w:val="00D2146B"/>
    <w:rsid w:val="00D22819"/>
    <w:rsid w:val="00D264E7"/>
    <w:rsid w:val="00D42632"/>
    <w:rsid w:val="00D42D92"/>
    <w:rsid w:val="00D450B9"/>
    <w:rsid w:val="00D50D28"/>
    <w:rsid w:val="00D511F0"/>
    <w:rsid w:val="00D52BB1"/>
    <w:rsid w:val="00D54EE5"/>
    <w:rsid w:val="00D63F82"/>
    <w:rsid w:val="00D640FC"/>
    <w:rsid w:val="00D70F7D"/>
    <w:rsid w:val="00D728DC"/>
    <w:rsid w:val="00D91CA0"/>
    <w:rsid w:val="00D92929"/>
    <w:rsid w:val="00D93C2E"/>
    <w:rsid w:val="00D970A5"/>
    <w:rsid w:val="00DA6175"/>
    <w:rsid w:val="00DA641C"/>
    <w:rsid w:val="00DA695B"/>
    <w:rsid w:val="00DA7C1F"/>
    <w:rsid w:val="00DB4967"/>
    <w:rsid w:val="00DD2D53"/>
    <w:rsid w:val="00DE50CB"/>
    <w:rsid w:val="00E120FB"/>
    <w:rsid w:val="00E206AE"/>
    <w:rsid w:val="00E23263"/>
    <w:rsid w:val="00E23397"/>
    <w:rsid w:val="00E32CD7"/>
    <w:rsid w:val="00E334AA"/>
    <w:rsid w:val="00E44EE1"/>
    <w:rsid w:val="00E51A90"/>
    <w:rsid w:val="00E5241D"/>
    <w:rsid w:val="00E53C98"/>
    <w:rsid w:val="00E5680C"/>
    <w:rsid w:val="00E61A16"/>
    <w:rsid w:val="00E7537E"/>
    <w:rsid w:val="00E76267"/>
    <w:rsid w:val="00E76A59"/>
    <w:rsid w:val="00E85595"/>
    <w:rsid w:val="00E91DCD"/>
    <w:rsid w:val="00EA535B"/>
    <w:rsid w:val="00EB4838"/>
    <w:rsid w:val="00EC0638"/>
    <w:rsid w:val="00EC56D6"/>
    <w:rsid w:val="00EC579D"/>
    <w:rsid w:val="00ED5BDC"/>
    <w:rsid w:val="00ED7DAC"/>
    <w:rsid w:val="00EF31F9"/>
    <w:rsid w:val="00F067A6"/>
    <w:rsid w:val="00F20B25"/>
    <w:rsid w:val="00F3128A"/>
    <w:rsid w:val="00F31DE7"/>
    <w:rsid w:val="00F334CD"/>
    <w:rsid w:val="00F45B38"/>
    <w:rsid w:val="00F57BBE"/>
    <w:rsid w:val="00F57C16"/>
    <w:rsid w:val="00F70C03"/>
    <w:rsid w:val="00F8352D"/>
    <w:rsid w:val="00F9084A"/>
    <w:rsid w:val="00F953D0"/>
    <w:rsid w:val="00F97F8B"/>
    <w:rsid w:val="00FB427D"/>
    <w:rsid w:val="00FB6DC3"/>
    <w:rsid w:val="00FB6E40"/>
    <w:rsid w:val="00FC59E4"/>
    <w:rsid w:val="00FD1CCB"/>
    <w:rsid w:val="00F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7939CE25"/>
  <w15:docId w15:val="{0D0F59E1-8A76-420E-819A-409F8D20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F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A53BB9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2B32FD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2B32FD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2B32FD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2B32FD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B32FD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3BB9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2B32FD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2B32FD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B32FD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B32FD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2B32FD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53085E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2B32FD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2B32FD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2B32FD"/>
  </w:style>
  <w:style w:type="character" w:customStyle="1" w:styleId="Bold">
    <w:name w:val="Bold"/>
    <w:basedOn w:val="DefaultParagraphFont"/>
    <w:uiPriority w:val="2"/>
    <w:qFormat/>
    <w:rsid w:val="0053085E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53085E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53085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85466\AppData\Local\Temp\eebaa541-ac5d-4a3a-a91e-a840af3ad963_SCRP%20Microsoft%20Office%20Templates%20v2.1.zip.963\SCRP%20Microsoft%20Office%20Templates%20v2.1\Starter%20Templates%20v2.1\Mem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8A56FF14D494BB783E9AD571460B6" ma:contentTypeVersion="12" ma:contentTypeDescription="Create a new document." ma:contentTypeScope="" ma:versionID="8b4d6df7b3cd89849a44057b5590297e">
  <xsd:schema xmlns:xsd="http://www.w3.org/2001/XMLSchema" xmlns:xs="http://www.w3.org/2001/XMLSchema" xmlns:p="http://schemas.microsoft.com/office/2006/metadata/properties" xmlns:ns2="47525ce4-260b-40f3-9846-25b811e3622c" xmlns:ns3="49b2b308-cd05-4541-a8b2-17944a20dfa0" targetNamespace="http://schemas.microsoft.com/office/2006/metadata/properties" ma:root="true" ma:fieldsID="dd8e43166fd6f735c698293537e16ce9" ns2:_="" ns3:_="">
    <xsd:import namespace="47525ce4-260b-40f3-9846-25b811e3622c"/>
    <xsd:import namespace="49b2b308-cd05-4541-a8b2-17944a20d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5ce4-260b-40f3-9846-25b811e36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2b308-cd05-4541-a8b2-17944a20df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a12ea8-cdae-4325-b514-4ee5653fed2c}" ma:internalName="TaxCatchAll" ma:showField="CatchAllData" ma:web="49b2b308-cd05-4541-a8b2-17944a20d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2b308-cd05-4541-a8b2-17944a20dfa0" xsi:nil="true"/>
    <lcf76f155ced4ddcb4097134ff3c332f xmlns="47525ce4-260b-40f3-9846-25b811e362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DB59-4F8F-448C-9D9E-867A3552F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1165D-DBD2-4519-A311-629033CFF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5ce4-260b-40f3-9846-25b811e3622c"/>
    <ds:schemaRef ds:uri="49b2b308-cd05-4541-a8b2-17944a20d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99B7D-86E8-4B28-A1BD-D023D53A564F}">
  <ds:schemaRefs>
    <ds:schemaRef ds:uri="http://schemas.microsoft.com/office/2006/metadata/properties"/>
    <ds:schemaRef ds:uri="http://schemas.microsoft.com/office/infopath/2007/PartnerControls"/>
    <ds:schemaRef ds:uri="49b2b308-cd05-4541-a8b2-17944a20dfa0"/>
    <ds:schemaRef ds:uri="47525ce4-260b-40f3-9846-25b811e3622c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423</Words>
  <Characters>2482</Characters>
  <Application>Microsoft Office Word</Application>
  <DocSecurity>0</DocSecurity>
  <Lines>82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Internal Memo (Heading 1)</vt:lpstr>
      <vt:lpstr>    RE: Subject of memorandum (Heading 2)</vt:lpstr>
      <vt:lpstr>        Subhead (Heading 3)</vt:lpstr>
    </vt:vector>
  </TitlesOfParts>
  <Manager/>
  <Company>State of Minnesota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Martinez</dc:creator>
  <cp:keywords/>
  <dc:description/>
  <cp:lastModifiedBy>Yapp, Kate (She/Her/Hers) (SCRB)</cp:lastModifiedBy>
  <cp:revision>3</cp:revision>
  <dcterms:created xsi:type="dcterms:W3CDTF">2025-03-31T15:29:00Z</dcterms:created>
  <dcterms:modified xsi:type="dcterms:W3CDTF">2025-11-03T19:19:00Z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0x0101008588A56FF14D494BB783E9AD571460B6</vt:lpwstr>
  </property>
  <property fmtid="{D5CDD505-2E9C-101B-9397-08002B2CF9AE}" pid="4" name="MediaServiceImageTags">
    <vt:lpwstr/>
  </property>
</Properties>
</file>