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6E257" w14:textId="77B6442D" w:rsidR="00C34D5B" w:rsidRDefault="00D507CD" w:rsidP="00C34D5B">
      <w:pPr>
        <w:contextualSpacing/>
        <w:rPr>
          <w:b/>
        </w:rPr>
      </w:pPr>
      <w:r>
        <w:rPr>
          <w:b/>
        </w:rPr>
        <w:t xml:space="preserve">   </w:t>
      </w:r>
    </w:p>
    <w:p w14:paraId="79159277" w14:textId="77777777" w:rsidR="00BE4BA5" w:rsidRPr="005966F8" w:rsidRDefault="00BE4BA5" w:rsidP="00BE4BA5">
      <w:pPr>
        <w:keepNext/>
        <w:spacing w:before="80" w:after="100" w:line="240" w:lineRule="auto"/>
        <w:contextualSpacing/>
        <w:rPr>
          <w:rFonts w:asciiTheme="majorHAnsi" w:eastAsia="MS Gothic" w:hAnsiTheme="majorHAnsi" w:cstheme="majorHAnsi"/>
          <w:b/>
          <w:color w:val="000000"/>
          <w:spacing w:val="5"/>
          <w:kern w:val="28"/>
          <w:sz w:val="36"/>
          <w:szCs w:val="40"/>
          <w:lang w:bidi="ar-SA"/>
        </w:rPr>
      </w:pPr>
      <w:r w:rsidRPr="005966F8">
        <w:rPr>
          <w:rFonts w:asciiTheme="majorHAnsi" w:eastAsia="MS Gothic" w:hAnsiTheme="majorHAnsi" w:cstheme="majorHAnsi"/>
          <w:b/>
          <w:color w:val="000000"/>
          <w:spacing w:val="5"/>
          <w:kern w:val="28"/>
          <w:sz w:val="36"/>
          <w:szCs w:val="40"/>
          <w:lang w:bidi="ar-SA"/>
        </w:rPr>
        <w:t>MIAC Legislative Director Report</w:t>
      </w:r>
    </w:p>
    <w:p w14:paraId="4BA0C834" w14:textId="77777777" w:rsidR="00BE4BA5" w:rsidRPr="005966F8" w:rsidRDefault="00BE4BA5" w:rsidP="00BE4BA5">
      <w:pPr>
        <w:spacing w:before="0" w:after="40" w:line="276" w:lineRule="auto"/>
        <w:rPr>
          <w:rFonts w:asciiTheme="majorHAnsi" w:eastAsia="MS Mincho" w:hAnsiTheme="majorHAnsi" w:cstheme="majorHAnsi"/>
          <w:bCs/>
          <w:color w:val="000000"/>
          <w:sz w:val="20"/>
          <w:szCs w:val="20"/>
          <w:lang w:bidi="ar-SA"/>
        </w:rPr>
      </w:pPr>
      <w:r w:rsidRPr="005966F8">
        <w:rPr>
          <w:rFonts w:asciiTheme="majorHAnsi" w:eastAsia="MS Mincho" w:hAnsiTheme="majorHAnsi" w:cstheme="majorHAnsi"/>
          <w:bCs/>
          <w:color w:val="000000"/>
          <w:sz w:val="24"/>
          <w:szCs w:val="20"/>
          <w:lang w:bidi="ar-SA"/>
        </w:rPr>
        <w:t>September 2026 Quarterly Executive Board Meeting</w:t>
      </w:r>
    </w:p>
    <w:p w14:paraId="722D5F29" w14:textId="1AC03ABA" w:rsidR="00BE4BA5" w:rsidRPr="005966F8" w:rsidRDefault="00BE4BA5" w:rsidP="00BE4BA5">
      <w:pPr>
        <w:spacing w:before="0" w:after="0" w:line="276" w:lineRule="auto"/>
        <w:rPr>
          <w:rFonts w:asciiTheme="majorHAnsi" w:eastAsia="MS Mincho" w:hAnsiTheme="majorHAnsi" w:cstheme="majorHAnsi"/>
          <w:bCs/>
          <w:color w:val="555555"/>
          <w:sz w:val="21"/>
          <w:lang w:bidi="ar-SA"/>
        </w:rPr>
      </w:pPr>
      <w:r w:rsidRPr="005966F8">
        <w:rPr>
          <w:rFonts w:asciiTheme="majorHAnsi" w:eastAsia="MS Mincho" w:hAnsiTheme="majorHAnsi" w:cstheme="majorHAnsi"/>
          <w:bCs/>
          <w:color w:val="555555"/>
          <w:sz w:val="21"/>
          <w:lang w:bidi="ar-SA"/>
        </w:rPr>
        <w:t xml:space="preserve">Reporting </w:t>
      </w:r>
      <w:r w:rsidR="005966F8" w:rsidRPr="005966F8">
        <w:rPr>
          <w:rFonts w:asciiTheme="majorHAnsi" w:eastAsia="MS Mincho" w:hAnsiTheme="majorHAnsi" w:cstheme="majorHAnsi"/>
          <w:bCs/>
          <w:color w:val="555555"/>
          <w:sz w:val="21"/>
          <w:lang w:bidi="ar-SA"/>
        </w:rPr>
        <w:t>Period Since</w:t>
      </w:r>
      <w:r w:rsidRPr="005966F8">
        <w:rPr>
          <w:rFonts w:asciiTheme="majorHAnsi" w:eastAsia="MS Mincho" w:hAnsiTheme="majorHAnsi" w:cstheme="majorHAnsi"/>
          <w:bCs/>
          <w:color w:val="555555"/>
          <w:sz w:val="21"/>
          <w:lang w:bidi="ar-SA"/>
        </w:rPr>
        <w:t xml:space="preserve"> </w:t>
      </w:r>
      <w:r w:rsidR="005966F8" w:rsidRPr="005966F8">
        <w:rPr>
          <w:rFonts w:asciiTheme="majorHAnsi" w:eastAsia="MS Mincho" w:hAnsiTheme="majorHAnsi" w:cstheme="majorHAnsi"/>
          <w:bCs/>
          <w:color w:val="555555"/>
          <w:sz w:val="21"/>
          <w:lang w:bidi="ar-SA"/>
        </w:rPr>
        <w:t>July</w:t>
      </w:r>
      <w:r w:rsidRPr="005966F8">
        <w:rPr>
          <w:rFonts w:asciiTheme="majorHAnsi" w:eastAsia="MS Mincho" w:hAnsiTheme="majorHAnsi" w:cstheme="majorHAnsi"/>
          <w:bCs/>
          <w:color w:val="555555"/>
          <w:sz w:val="21"/>
          <w:lang w:bidi="ar-SA"/>
        </w:rPr>
        <w:t xml:space="preserve"> 2026 Quarterly Meeting</w:t>
      </w:r>
    </w:p>
    <w:p w14:paraId="308DA04C" w14:textId="77777777" w:rsidR="00BE4BA5" w:rsidRPr="005966F8" w:rsidRDefault="00BE4BA5" w:rsidP="00BE4BA5">
      <w:pPr>
        <w:spacing w:before="0" w:after="0" w:line="240" w:lineRule="auto"/>
        <w:rPr>
          <w:rFonts w:asciiTheme="majorHAnsi" w:eastAsia="Arial Unicode MS" w:hAnsiTheme="majorHAnsi" w:cstheme="majorHAnsi"/>
          <w:bCs/>
          <w:i/>
          <w:iCs/>
        </w:rPr>
      </w:pPr>
      <w:r w:rsidRPr="005966F8">
        <w:rPr>
          <w:rFonts w:asciiTheme="majorHAnsi" w:eastAsia="Arial Unicode MS" w:hAnsiTheme="majorHAnsi" w:cstheme="majorHAnsi"/>
          <w:bCs/>
        </w:rPr>
        <w:t xml:space="preserve">Submitted by: </w:t>
      </w:r>
      <w:r w:rsidRPr="005966F8">
        <w:rPr>
          <w:rFonts w:asciiTheme="majorHAnsi" w:eastAsia="Arial Unicode MS" w:hAnsiTheme="majorHAnsi" w:cstheme="majorHAnsi"/>
          <w:bCs/>
          <w:i/>
          <w:iCs/>
        </w:rPr>
        <w:t xml:space="preserve">Brandon Alkire </w:t>
      </w:r>
    </w:p>
    <w:p w14:paraId="5CAB8803" w14:textId="77777777" w:rsidR="00BE4BA5" w:rsidRPr="00D17D7A" w:rsidRDefault="00BE4BA5" w:rsidP="00BE4BA5">
      <w:pPr>
        <w:keepNext/>
        <w:keepLines/>
        <w:spacing w:before="240" w:after="100" w:line="276" w:lineRule="auto"/>
        <w:outlineLvl w:val="0"/>
        <w:rPr>
          <w:rFonts w:asciiTheme="majorHAnsi" w:eastAsia="MS Gothic" w:hAnsiTheme="majorHAnsi" w:cstheme="majorHAnsi"/>
          <w:b/>
          <w:bCs/>
          <w:color w:val="000000"/>
          <w:sz w:val="30"/>
          <w:szCs w:val="28"/>
          <w:lang w:bidi="ar-SA"/>
        </w:rPr>
      </w:pPr>
      <w:r w:rsidRPr="00D17D7A">
        <w:rPr>
          <w:rFonts w:asciiTheme="majorHAnsi" w:eastAsia="MS Gothic" w:hAnsiTheme="majorHAnsi" w:cstheme="majorHAnsi"/>
          <w:b/>
          <w:bCs/>
          <w:color w:val="000000"/>
          <w:sz w:val="30"/>
          <w:szCs w:val="28"/>
          <w:lang w:bidi="ar-SA"/>
        </w:rPr>
        <w:t>Executive Summary</w:t>
      </w:r>
    </w:p>
    <w:p w14:paraId="3B8DB7ED" w14:textId="77777777" w:rsidR="00BE4BA5" w:rsidRPr="00D17D7A" w:rsidRDefault="00BE4BA5" w:rsidP="00BE4BA5">
      <w:pPr>
        <w:spacing w:before="0" w:after="180" w:line="256"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lang w:bidi="ar-SA"/>
        </w:rPr>
        <w:t>Since the July quarterly meeting, the Legislative Director has focused on preparing MIAC for the 2027 legislative session, developing statutory and budget proposals, monitoring state and federal legal developments, supporting regulatory and cultural-resource matters, and strengthening the Council's policy and reporting infrastructure. The work is grounded in Minnesota Statutes section 3.922, subdivision 6, and is intended to give the Executive Board clear options for the coming biennium while maintaining MIAC's government-to-government responsibilities.</w:t>
      </w:r>
    </w:p>
    <w:tbl>
      <w:tblPr>
        <w:tblW w:w="10882"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237"/>
        <w:gridCol w:w="4408"/>
        <w:gridCol w:w="3237"/>
      </w:tblGrid>
      <w:tr w:rsidR="00BE4BA5" w:rsidRPr="00D17D7A" w14:paraId="30B26DC3" w14:textId="77777777" w:rsidTr="005966F8">
        <w:trPr>
          <w:cantSplit/>
          <w:trHeight w:val="444"/>
          <w:tblHeader/>
          <w:jc w:val="center"/>
        </w:trPr>
        <w:tc>
          <w:tcPr>
            <w:tcW w:w="3237" w:type="dxa"/>
            <w:tcBorders>
              <w:top w:val="single" w:sz="6" w:space="0" w:color="D9D9D9"/>
              <w:left w:val="single" w:sz="6" w:space="0" w:color="D9D9D9"/>
              <w:bottom w:val="single" w:sz="6" w:space="0" w:color="D9D9D9"/>
              <w:right w:val="single" w:sz="6" w:space="0" w:color="D9D9D9"/>
            </w:tcBorders>
            <w:shd w:val="clear" w:color="auto" w:fill="1F4E78"/>
            <w:tcMar>
              <w:top w:w="110" w:type="dxa"/>
              <w:left w:w="130" w:type="dxa"/>
              <w:bottom w:w="110" w:type="dxa"/>
              <w:right w:w="130" w:type="dxa"/>
            </w:tcMar>
            <w:vAlign w:val="center"/>
            <w:hideMark/>
          </w:tcPr>
          <w:p w14:paraId="46D5DAF6" w14:textId="77777777" w:rsidR="00BE4BA5" w:rsidRPr="00D17D7A" w:rsidRDefault="00BE4BA5" w:rsidP="00BE4BA5">
            <w:pPr>
              <w:spacing w:before="0" w:line="276"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FFFFFF"/>
                <w:sz w:val="19"/>
                <w:lang w:bidi="ar-SA"/>
              </w:rPr>
              <w:t>Work Area</w:t>
            </w:r>
          </w:p>
        </w:tc>
        <w:tc>
          <w:tcPr>
            <w:tcW w:w="4408" w:type="dxa"/>
            <w:tcBorders>
              <w:top w:val="single" w:sz="6" w:space="0" w:color="D9D9D9"/>
              <w:left w:val="single" w:sz="6" w:space="0" w:color="D9D9D9"/>
              <w:bottom w:val="single" w:sz="6" w:space="0" w:color="D9D9D9"/>
              <w:right w:val="single" w:sz="6" w:space="0" w:color="D9D9D9"/>
            </w:tcBorders>
            <w:shd w:val="clear" w:color="auto" w:fill="1F4E78"/>
            <w:tcMar>
              <w:top w:w="110" w:type="dxa"/>
              <w:left w:w="130" w:type="dxa"/>
              <w:bottom w:w="110" w:type="dxa"/>
              <w:right w:w="130" w:type="dxa"/>
            </w:tcMar>
            <w:vAlign w:val="center"/>
            <w:hideMark/>
          </w:tcPr>
          <w:p w14:paraId="153DDD5F" w14:textId="77777777" w:rsidR="00BE4BA5" w:rsidRPr="00D17D7A" w:rsidRDefault="00BE4BA5" w:rsidP="00BE4BA5">
            <w:pPr>
              <w:spacing w:before="0" w:line="276"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FFFFFF"/>
                <w:sz w:val="19"/>
                <w:lang w:bidi="ar-SA"/>
              </w:rPr>
              <w:t>Activity Since July</w:t>
            </w:r>
          </w:p>
        </w:tc>
        <w:tc>
          <w:tcPr>
            <w:tcW w:w="3237" w:type="dxa"/>
            <w:tcBorders>
              <w:top w:val="single" w:sz="6" w:space="0" w:color="D9D9D9"/>
              <w:left w:val="single" w:sz="6" w:space="0" w:color="D9D9D9"/>
              <w:bottom w:val="single" w:sz="6" w:space="0" w:color="D9D9D9"/>
              <w:right w:val="single" w:sz="6" w:space="0" w:color="D9D9D9"/>
            </w:tcBorders>
            <w:shd w:val="clear" w:color="auto" w:fill="1F4E78"/>
            <w:tcMar>
              <w:top w:w="110" w:type="dxa"/>
              <w:left w:w="130" w:type="dxa"/>
              <w:bottom w:w="110" w:type="dxa"/>
              <w:right w:w="130" w:type="dxa"/>
            </w:tcMar>
            <w:vAlign w:val="center"/>
            <w:hideMark/>
          </w:tcPr>
          <w:p w14:paraId="01623C5D" w14:textId="77777777" w:rsidR="00BE4BA5" w:rsidRPr="00D17D7A" w:rsidRDefault="00BE4BA5" w:rsidP="00BE4BA5">
            <w:pPr>
              <w:spacing w:before="0" w:line="276"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FFFFFF"/>
                <w:sz w:val="19"/>
                <w:lang w:bidi="ar-SA"/>
              </w:rPr>
              <w:t>Current Status</w:t>
            </w:r>
          </w:p>
        </w:tc>
      </w:tr>
      <w:tr w:rsidR="00BE4BA5" w:rsidRPr="00D17D7A" w14:paraId="194E342D" w14:textId="77777777" w:rsidTr="005966F8">
        <w:trPr>
          <w:cantSplit/>
          <w:trHeight w:val="416"/>
          <w:jc w:val="center"/>
        </w:trPr>
        <w:tc>
          <w:tcPr>
            <w:tcW w:w="3237"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hideMark/>
          </w:tcPr>
          <w:p w14:paraId="4829B199"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b/>
                <w:color w:val="000000"/>
                <w:sz w:val="18"/>
                <w:lang w:bidi="ar-SA"/>
              </w:rPr>
              <w:t>Legislative development</w:t>
            </w:r>
          </w:p>
        </w:tc>
        <w:tc>
          <w:tcPr>
            <w:tcW w:w="4408"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hideMark/>
          </w:tcPr>
          <w:p w14:paraId="028F252C"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Four principal bill or statutory concepts advanced for the 2027 session</w:t>
            </w:r>
          </w:p>
        </w:tc>
        <w:tc>
          <w:tcPr>
            <w:tcW w:w="3237"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hideMark/>
          </w:tcPr>
          <w:p w14:paraId="4891B80A"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Draft policy language and fiscal review underway</w:t>
            </w:r>
          </w:p>
        </w:tc>
      </w:tr>
      <w:tr w:rsidR="00BE4BA5" w:rsidRPr="00D17D7A" w14:paraId="65D4D904" w14:textId="77777777" w:rsidTr="005966F8">
        <w:trPr>
          <w:cantSplit/>
          <w:trHeight w:val="416"/>
          <w:jc w:val="center"/>
        </w:trPr>
        <w:tc>
          <w:tcPr>
            <w:tcW w:w="3237" w:type="dxa"/>
            <w:tcBorders>
              <w:top w:val="single" w:sz="6" w:space="0" w:color="D9D9D9"/>
              <w:left w:val="single" w:sz="6" w:space="0" w:color="D9D9D9"/>
              <w:bottom w:val="single" w:sz="6" w:space="0" w:color="D9D9D9"/>
              <w:right w:val="single" w:sz="6" w:space="0" w:color="D9D9D9"/>
            </w:tcBorders>
            <w:shd w:val="clear" w:color="auto" w:fill="F2F6FA"/>
            <w:tcMar>
              <w:top w:w="110" w:type="dxa"/>
              <w:left w:w="130" w:type="dxa"/>
              <w:bottom w:w="110" w:type="dxa"/>
              <w:right w:w="130" w:type="dxa"/>
            </w:tcMar>
            <w:vAlign w:val="center"/>
            <w:hideMark/>
          </w:tcPr>
          <w:p w14:paraId="683452F9"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b/>
                <w:color w:val="000000"/>
                <w:sz w:val="18"/>
                <w:lang w:bidi="ar-SA"/>
              </w:rPr>
              <w:t>Legal and policy monitoring</w:t>
            </w:r>
          </w:p>
        </w:tc>
        <w:tc>
          <w:tcPr>
            <w:tcW w:w="4408" w:type="dxa"/>
            <w:tcBorders>
              <w:top w:val="single" w:sz="6" w:space="0" w:color="D9D9D9"/>
              <w:left w:val="single" w:sz="6" w:space="0" w:color="D9D9D9"/>
              <w:bottom w:val="single" w:sz="6" w:space="0" w:color="D9D9D9"/>
              <w:right w:val="single" w:sz="6" w:space="0" w:color="D9D9D9"/>
            </w:tcBorders>
            <w:shd w:val="clear" w:color="auto" w:fill="F2F6FA"/>
            <w:tcMar>
              <w:top w:w="110" w:type="dxa"/>
              <w:left w:w="130" w:type="dxa"/>
              <w:bottom w:w="110" w:type="dxa"/>
              <w:right w:w="130" w:type="dxa"/>
            </w:tcMar>
            <w:vAlign w:val="center"/>
            <w:hideMark/>
          </w:tcPr>
          <w:p w14:paraId="3A60163D"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Two formal weekly briefs covering 18 developments and related deadlines</w:t>
            </w:r>
          </w:p>
        </w:tc>
        <w:tc>
          <w:tcPr>
            <w:tcW w:w="3237" w:type="dxa"/>
            <w:tcBorders>
              <w:top w:val="single" w:sz="6" w:space="0" w:color="D9D9D9"/>
              <w:left w:val="single" w:sz="6" w:space="0" w:color="D9D9D9"/>
              <w:bottom w:val="single" w:sz="6" w:space="0" w:color="D9D9D9"/>
              <w:right w:val="single" w:sz="6" w:space="0" w:color="D9D9D9"/>
            </w:tcBorders>
            <w:shd w:val="clear" w:color="auto" w:fill="F2F6FA"/>
            <w:tcMar>
              <w:top w:w="110" w:type="dxa"/>
              <w:left w:w="130" w:type="dxa"/>
              <w:bottom w:w="110" w:type="dxa"/>
              <w:right w:w="130" w:type="dxa"/>
            </w:tcMar>
            <w:vAlign w:val="center"/>
            <w:hideMark/>
          </w:tcPr>
          <w:p w14:paraId="1341FEB3"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Ongoing through the interim and session</w:t>
            </w:r>
          </w:p>
        </w:tc>
      </w:tr>
      <w:tr w:rsidR="00BE4BA5" w:rsidRPr="00D17D7A" w14:paraId="1CE3A9B7" w14:textId="77777777" w:rsidTr="005966F8">
        <w:trPr>
          <w:cantSplit/>
          <w:trHeight w:val="416"/>
          <w:jc w:val="center"/>
        </w:trPr>
        <w:tc>
          <w:tcPr>
            <w:tcW w:w="3237"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hideMark/>
          </w:tcPr>
          <w:p w14:paraId="31964CF0"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b/>
                <w:color w:val="000000"/>
                <w:sz w:val="18"/>
                <w:lang w:bidi="ar-SA"/>
              </w:rPr>
              <w:t>Regulatory support</w:t>
            </w:r>
          </w:p>
        </w:tc>
        <w:tc>
          <w:tcPr>
            <w:tcW w:w="4408"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hideMark/>
          </w:tcPr>
          <w:p w14:paraId="6E126EE6"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Pipestone compliance memorandum and continued docket monitoring</w:t>
            </w:r>
          </w:p>
        </w:tc>
        <w:tc>
          <w:tcPr>
            <w:tcW w:w="3237"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hideMark/>
          </w:tcPr>
          <w:p w14:paraId="543553FB"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MIAC remains available for further coordination</w:t>
            </w:r>
          </w:p>
        </w:tc>
      </w:tr>
      <w:tr w:rsidR="00BE4BA5" w:rsidRPr="00D17D7A" w14:paraId="287FF929" w14:textId="77777777" w:rsidTr="005966F8">
        <w:trPr>
          <w:cantSplit/>
          <w:trHeight w:val="611"/>
          <w:jc w:val="center"/>
        </w:trPr>
        <w:tc>
          <w:tcPr>
            <w:tcW w:w="3237" w:type="dxa"/>
            <w:tcBorders>
              <w:top w:val="single" w:sz="6" w:space="0" w:color="D9D9D9"/>
              <w:left w:val="single" w:sz="6" w:space="0" w:color="D9D9D9"/>
              <w:bottom w:val="single" w:sz="6" w:space="0" w:color="D9D9D9"/>
              <w:right w:val="single" w:sz="6" w:space="0" w:color="D9D9D9"/>
            </w:tcBorders>
            <w:shd w:val="clear" w:color="auto" w:fill="F2F6FA"/>
            <w:tcMar>
              <w:top w:w="110" w:type="dxa"/>
              <w:left w:w="130" w:type="dxa"/>
              <w:bottom w:w="110" w:type="dxa"/>
              <w:right w:w="130" w:type="dxa"/>
            </w:tcMar>
            <w:vAlign w:val="center"/>
            <w:hideMark/>
          </w:tcPr>
          <w:p w14:paraId="64F289AD"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b/>
                <w:color w:val="000000"/>
                <w:sz w:val="18"/>
                <w:lang w:bidi="ar-SA"/>
              </w:rPr>
              <w:t>Education and engagement</w:t>
            </w:r>
          </w:p>
        </w:tc>
        <w:tc>
          <w:tcPr>
            <w:tcW w:w="4408" w:type="dxa"/>
            <w:tcBorders>
              <w:top w:val="single" w:sz="6" w:space="0" w:color="D9D9D9"/>
              <w:left w:val="single" w:sz="6" w:space="0" w:color="D9D9D9"/>
              <w:bottom w:val="single" w:sz="6" w:space="0" w:color="D9D9D9"/>
              <w:right w:val="single" w:sz="6" w:space="0" w:color="D9D9D9"/>
            </w:tcBorders>
            <w:shd w:val="clear" w:color="auto" w:fill="F2F6FA"/>
            <w:tcMar>
              <w:top w:w="110" w:type="dxa"/>
              <w:left w:w="130" w:type="dxa"/>
              <w:bottom w:w="110" w:type="dxa"/>
              <w:right w:w="130" w:type="dxa"/>
            </w:tcMar>
            <w:vAlign w:val="center"/>
            <w:hideMark/>
          </w:tcPr>
          <w:p w14:paraId="47989487"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Urban Legislative Summit materials, Governor's Tribal Summit planning, and Tribal relations workforce proposal</w:t>
            </w:r>
          </w:p>
        </w:tc>
        <w:tc>
          <w:tcPr>
            <w:tcW w:w="3237" w:type="dxa"/>
            <w:tcBorders>
              <w:top w:val="single" w:sz="6" w:space="0" w:color="D9D9D9"/>
              <w:left w:val="single" w:sz="6" w:space="0" w:color="D9D9D9"/>
              <w:bottom w:val="single" w:sz="6" w:space="0" w:color="D9D9D9"/>
              <w:right w:val="single" w:sz="6" w:space="0" w:color="D9D9D9"/>
            </w:tcBorders>
            <w:shd w:val="clear" w:color="auto" w:fill="F2F6FA"/>
            <w:tcMar>
              <w:top w:w="110" w:type="dxa"/>
              <w:left w:w="130" w:type="dxa"/>
              <w:bottom w:w="110" w:type="dxa"/>
              <w:right w:w="130" w:type="dxa"/>
            </w:tcMar>
            <w:vAlign w:val="center"/>
            <w:hideMark/>
          </w:tcPr>
          <w:p w14:paraId="4386E159"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Completed or moving toward scheduled events</w:t>
            </w:r>
          </w:p>
        </w:tc>
      </w:tr>
      <w:tr w:rsidR="00BE4BA5" w:rsidRPr="00D17D7A" w14:paraId="29383EA9" w14:textId="77777777" w:rsidTr="005966F8">
        <w:trPr>
          <w:cantSplit/>
          <w:trHeight w:val="416"/>
          <w:jc w:val="center"/>
        </w:trPr>
        <w:tc>
          <w:tcPr>
            <w:tcW w:w="3237"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hideMark/>
          </w:tcPr>
          <w:p w14:paraId="50866DF7"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b/>
                <w:color w:val="000000"/>
                <w:sz w:val="18"/>
                <w:lang w:bidi="ar-SA"/>
              </w:rPr>
              <w:t>Board and agency support</w:t>
            </w:r>
          </w:p>
        </w:tc>
        <w:tc>
          <w:tcPr>
            <w:tcW w:w="4408"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hideMark/>
          </w:tcPr>
          <w:p w14:paraId="50356EED"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Work plan, quarterly reporting framework, Five-Year Review, and statutory crosswalk</w:t>
            </w:r>
          </w:p>
        </w:tc>
        <w:tc>
          <w:tcPr>
            <w:tcW w:w="3237" w:type="dxa"/>
            <w:tcBorders>
              <w:top w:val="single" w:sz="6" w:space="0" w:color="D9D9D9"/>
              <w:left w:val="single" w:sz="6" w:space="0" w:color="D9D9D9"/>
              <w:bottom w:val="single" w:sz="6" w:space="0" w:color="D9D9D9"/>
              <w:right w:val="single" w:sz="6" w:space="0" w:color="D9D9D9"/>
            </w:tcBorders>
            <w:tcMar>
              <w:top w:w="110" w:type="dxa"/>
              <w:left w:w="130" w:type="dxa"/>
              <w:bottom w:w="110" w:type="dxa"/>
              <w:right w:w="130" w:type="dxa"/>
            </w:tcMar>
            <w:vAlign w:val="center"/>
            <w:hideMark/>
          </w:tcPr>
          <w:p w14:paraId="2CED5DE7"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In progress for year-end completion</w:t>
            </w:r>
          </w:p>
        </w:tc>
      </w:tr>
    </w:tbl>
    <w:p w14:paraId="6DC8A7C4" w14:textId="04E3B9EB" w:rsidR="00BE4BA5" w:rsidRPr="00D17D7A" w:rsidRDefault="00BE4BA5" w:rsidP="00BE4BA5">
      <w:pPr>
        <w:keepNext/>
        <w:keepLines/>
        <w:spacing w:before="240" w:after="100" w:line="276" w:lineRule="auto"/>
        <w:outlineLvl w:val="0"/>
        <w:rPr>
          <w:rFonts w:asciiTheme="majorHAnsi" w:eastAsia="MS Gothic" w:hAnsiTheme="majorHAnsi" w:cstheme="majorHAnsi"/>
          <w:b/>
          <w:bCs/>
          <w:color w:val="000000"/>
          <w:sz w:val="30"/>
          <w:szCs w:val="28"/>
          <w:lang w:bidi="ar-SA"/>
        </w:rPr>
      </w:pPr>
      <w:r w:rsidRPr="00D17D7A">
        <w:rPr>
          <w:rFonts w:asciiTheme="majorHAnsi" w:eastAsia="MS Gothic" w:hAnsiTheme="majorHAnsi" w:cstheme="majorHAnsi"/>
          <w:b/>
          <w:bCs/>
          <w:color w:val="000000"/>
          <w:sz w:val="30"/>
          <w:szCs w:val="28"/>
          <w:lang w:bidi="ar-SA"/>
        </w:rPr>
        <w:t xml:space="preserve">Ongoing Commitments </w:t>
      </w:r>
      <w:r w:rsidR="00E74217" w:rsidRPr="00D17D7A">
        <w:rPr>
          <w:rFonts w:asciiTheme="majorHAnsi" w:eastAsia="MS Gothic" w:hAnsiTheme="majorHAnsi" w:cstheme="majorHAnsi"/>
          <w:b/>
          <w:bCs/>
          <w:color w:val="000000"/>
          <w:sz w:val="30"/>
          <w:szCs w:val="28"/>
          <w:lang w:bidi="ar-SA"/>
        </w:rPr>
        <w:t>from</w:t>
      </w:r>
      <w:r w:rsidRPr="00D17D7A">
        <w:rPr>
          <w:rFonts w:asciiTheme="majorHAnsi" w:eastAsia="MS Gothic" w:hAnsiTheme="majorHAnsi" w:cstheme="majorHAnsi"/>
          <w:b/>
          <w:bCs/>
          <w:color w:val="000000"/>
          <w:sz w:val="30"/>
          <w:szCs w:val="28"/>
          <w:lang w:bidi="ar-SA"/>
        </w:rPr>
        <w:t xml:space="preserve"> the Prior Report</w:t>
      </w:r>
    </w:p>
    <w:p w14:paraId="45D90A41" w14:textId="77777777" w:rsidR="00BE4BA5" w:rsidRPr="005956DF" w:rsidRDefault="00BE4BA5" w:rsidP="005956DF">
      <w:pPr>
        <w:pStyle w:val="ListParagraph"/>
        <w:numPr>
          <w:ilvl w:val="0"/>
          <w:numId w:val="31"/>
        </w:numPr>
        <w:tabs>
          <w:tab w:val="num" w:pos="360"/>
        </w:tabs>
        <w:spacing w:before="0" w:after="8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color w:val="000000"/>
          <w:lang w:bidi="ar-SA"/>
        </w:rPr>
        <w:t>The commitment to hold office hours in both legislative chambers remains in place for the 2027 session. During the interim, the Legislative Director continues to provide technical assistance, develop issue materials, and maintain legislative relationships.</w:t>
      </w:r>
    </w:p>
    <w:p w14:paraId="326B49CA" w14:textId="7B6D86B2" w:rsidR="00BE4BA5" w:rsidRPr="005956DF" w:rsidRDefault="00BE4BA5" w:rsidP="005956DF">
      <w:pPr>
        <w:pStyle w:val="ListParagraph"/>
        <w:numPr>
          <w:ilvl w:val="0"/>
          <w:numId w:val="31"/>
        </w:numPr>
        <w:tabs>
          <w:tab w:val="num" w:pos="360"/>
        </w:tabs>
        <w:spacing w:before="0" w:after="8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color w:val="000000"/>
          <w:lang w:bidi="ar-SA"/>
        </w:rPr>
        <w:t>The central legislative objective remains balancing the priorities of Minnesota's Tribal Nations, the Executive Board's direction, and the legislation moving through the House and Senate.</w:t>
      </w:r>
    </w:p>
    <w:p w14:paraId="58FA8C9E" w14:textId="77777777" w:rsidR="00BE4BA5" w:rsidRPr="005956DF" w:rsidRDefault="00BE4BA5" w:rsidP="005956DF">
      <w:pPr>
        <w:pStyle w:val="ListParagraph"/>
        <w:numPr>
          <w:ilvl w:val="0"/>
          <w:numId w:val="31"/>
        </w:numPr>
        <w:tabs>
          <w:tab w:val="num" w:pos="360"/>
        </w:tabs>
        <w:spacing w:before="0" w:after="8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color w:val="000000"/>
          <w:lang w:bidi="ar-SA"/>
        </w:rPr>
        <w:t>Education continues to guide the work, particularly on Tribal sovereignty, the political and legal status of Tribal Nations, treaty rights, government-to-government consultation, and accurate use of Native population data.</w:t>
      </w:r>
    </w:p>
    <w:p w14:paraId="1EF1791E" w14:textId="185CC73B" w:rsidR="00BE4BA5" w:rsidRPr="005956DF" w:rsidRDefault="00BE4BA5" w:rsidP="005956DF">
      <w:pPr>
        <w:pStyle w:val="ListParagraph"/>
        <w:numPr>
          <w:ilvl w:val="0"/>
          <w:numId w:val="31"/>
        </w:numPr>
        <w:tabs>
          <w:tab w:val="num" w:pos="360"/>
        </w:tabs>
        <w:spacing w:before="0" w:after="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color w:val="000000"/>
          <w:lang w:bidi="ar-SA"/>
        </w:rPr>
        <w:t>Relationship-building continues with legislators, agency leaders, Tribal liaisons, constitutional offices, and Native organizations to prepare a stronger foundation for the coming biennium.</w:t>
      </w:r>
    </w:p>
    <w:p w14:paraId="30C04712" w14:textId="77777777" w:rsidR="00BE4BA5" w:rsidRPr="00D17D7A" w:rsidRDefault="00BE4BA5" w:rsidP="00BE4BA5">
      <w:pPr>
        <w:keepNext/>
        <w:keepLines/>
        <w:spacing w:before="240" w:after="100" w:line="276" w:lineRule="auto"/>
        <w:outlineLvl w:val="0"/>
        <w:rPr>
          <w:rFonts w:asciiTheme="majorHAnsi" w:eastAsia="MS Gothic" w:hAnsiTheme="majorHAnsi" w:cstheme="majorHAnsi"/>
          <w:b/>
          <w:bCs/>
          <w:color w:val="000000"/>
          <w:sz w:val="30"/>
          <w:szCs w:val="28"/>
          <w:lang w:bidi="ar-SA"/>
        </w:rPr>
      </w:pPr>
      <w:r w:rsidRPr="00D17D7A">
        <w:rPr>
          <w:rFonts w:asciiTheme="majorHAnsi" w:eastAsia="MS Gothic" w:hAnsiTheme="majorHAnsi" w:cstheme="majorHAnsi"/>
          <w:b/>
          <w:bCs/>
          <w:color w:val="000000"/>
          <w:sz w:val="30"/>
          <w:szCs w:val="28"/>
          <w:lang w:bidi="ar-SA"/>
        </w:rPr>
        <w:lastRenderedPageBreak/>
        <w:t>2027 Legislative Session Preparation</w:t>
      </w:r>
    </w:p>
    <w:p w14:paraId="5B7348D7" w14:textId="77777777" w:rsidR="00BE4BA5" w:rsidRPr="00D17D7A" w:rsidRDefault="00BE4BA5" w:rsidP="00BE4BA5">
      <w:pPr>
        <w:spacing w:before="0" w:after="140" w:line="256"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lang w:bidi="ar-SA"/>
        </w:rPr>
        <w:t>The 2026 legislative session concluded in May. Interim work has therefore shifted from daily bill monitoring to agenda development, statutory drafting, budget preparation, and early coordination for 2027.</w:t>
      </w:r>
    </w:p>
    <w:p w14:paraId="70BE4EFF" w14:textId="4E897862" w:rsidR="00BE4BA5" w:rsidRPr="005956DF" w:rsidRDefault="00BE4BA5" w:rsidP="005956DF">
      <w:pPr>
        <w:pStyle w:val="ListParagraph"/>
        <w:numPr>
          <w:ilvl w:val="0"/>
          <w:numId w:val="29"/>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Work plan and </w:t>
      </w:r>
      <w:r w:rsidR="005956DF" w:rsidRPr="005956DF">
        <w:rPr>
          <w:rFonts w:asciiTheme="majorHAnsi" w:eastAsia="MS Mincho" w:hAnsiTheme="majorHAnsi" w:cstheme="majorHAnsi"/>
          <w:b/>
          <w:color w:val="000000"/>
          <w:lang w:bidi="ar-SA"/>
        </w:rPr>
        <w:t>schedule Established</w:t>
      </w:r>
      <w:r w:rsidRPr="005956DF">
        <w:rPr>
          <w:rFonts w:asciiTheme="majorHAnsi" w:eastAsia="MS Mincho" w:hAnsiTheme="majorHAnsi" w:cstheme="majorHAnsi"/>
          <w:color w:val="000000"/>
          <w:lang w:bidi="ar-SA"/>
        </w:rPr>
        <w:t xml:space="preserve"> an August through December 2026 work plan aligned with the Legislative Director position description and MIAC's duties under section 3.922.</w:t>
      </w:r>
    </w:p>
    <w:p w14:paraId="4FE9863F" w14:textId="344577A7" w:rsidR="00BE4BA5" w:rsidRPr="005956DF" w:rsidRDefault="00BE4BA5" w:rsidP="005956DF">
      <w:pPr>
        <w:pStyle w:val="ListParagraph"/>
        <w:numPr>
          <w:ilvl w:val="0"/>
          <w:numId w:val="29"/>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Legislative </w:t>
      </w:r>
      <w:r w:rsidR="005956DF" w:rsidRPr="005956DF">
        <w:rPr>
          <w:rFonts w:asciiTheme="majorHAnsi" w:eastAsia="MS Mincho" w:hAnsiTheme="majorHAnsi" w:cstheme="majorHAnsi"/>
          <w:b/>
          <w:color w:val="000000"/>
          <w:lang w:bidi="ar-SA"/>
        </w:rPr>
        <w:t>agenda Began</w:t>
      </w:r>
      <w:r w:rsidRPr="005956DF">
        <w:rPr>
          <w:rFonts w:asciiTheme="majorHAnsi" w:eastAsia="MS Mincho" w:hAnsiTheme="majorHAnsi" w:cstheme="majorHAnsi"/>
          <w:color w:val="000000"/>
          <w:lang w:bidi="ar-SA"/>
        </w:rPr>
        <w:t xml:space="preserve"> organizing the 2027 agenda around Board priorities, statutory modernization, training and consultation, higher education, prevention services, and the resources MIAC needs to carry out its duties.</w:t>
      </w:r>
    </w:p>
    <w:p w14:paraId="4CCFF13C" w14:textId="79311CEB" w:rsidR="00BE4BA5" w:rsidRPr="005956DF" w:rsidRDefault="00BE4BA5" w:rsidP="005956DF">
      <w:pPr>
        <w:pStyle w:val="ListParagraph"/>
        <w:numPr>
          <w:ilvl w:val="0"/>
          <w:numId w:val="29"/>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Legislative </w:t>
      </w:r>
      <w:r w:rsidR="005956DF" w:rsidRPr="005956DF">
        <w:rPr>
          <w:rFonts w:asciiTheme="majorHAnsi" w:eastAsia="MS Mincho" w:hAnsiTheme="majorHAnsi" w:cstheme="majorHAnsi"/>
          <w:b/>
          <w:color w:val="000000"/>
          <w:lang w:bidi="ar-SA"/>
        </w:rPr>
        <w:t>infrastructure Continued</w:t>
      </w:r>
      <w:r w:rsidRPr="005956DF">
        <w:rPr>
          <w:rFonts w:asciiTheme="majorHAnsi" w:eastAsia="MS Mincho" w:hAnsiTheme="majorHAnsi" w:cstheme="majorHAnsi"/>
          <w:color w:val="000000"/>
          <w:lang w:bidi="ar-SA"/>
        </w:rPr>
        <w:t xml:space="preserve"> development of a statutory crosswalk, legislative history, issue briefs, testimony templates, contact lists, and a tracking system for proposals and follow-up assignments.</w:t>
      </w:r>
    </w:p>
    <w:p w14:paraId="6066562C" w14:textId="3A217FE8" w:rsidR="00BE4BA5" w:rsidRPr="005956DF" w:rsidRDefault="00BE4BA5" w:rsidP="005956DF">
      <w:pPr>
        <w:pStyle w:val="ListParagraph"/>
        <w:numPr>
          <w:ilvl w:val="0"/>
          <w:numId w:val="29"/>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Budget </w:t>
      </w:r>
      <w:r w:rsidR="005956DF" w:rsidRPr="005956DF">
        <w:rPr>
          <w:rFonts w:asciiTheme="majorHAnsi" w:eastAsia="MS Mincho" w:hAnsiTheme="majorHAnsi" w:cstheme="majorHAnsi"/>
          <w:b/>
          <w:color w:val="000000"/>
          <w:lang w:bidi="ar-SA"/>
        </w:rPr>
        <w:t>preparation Identified</w:t>
      </w:r>
      <w:r w:rsidRPr="005956DF">
        <w:rPr>
          <w:rFonts w:asciiTheme="majorHAnsi" w:eastAsia="MS Mincho" w:hAnsiTheme="majorHAnsi" w:cstheme="majorHAnsi"/>
          <w:color w:val="000000"/>
          <w:lang w:bidi="ar-SA"/>
        </w:rPr>
        <w:t xml:space="preserve"> the need for fiscal estimates, base funding, direct appropriations, and administrative structures that preserve accountability without shifting program control away from the intended Native-serving entities.</w:t>
      </w:r>
    </w:p>
    <w:p w14:paraId="5104CBD9" w14:textId="0270AB77" w:rsidR="00BE4BA5" w:rsidRPr="005956DF" w:rsidRDefault="005956DF" w:rsidP="005956DF">
      <w:pPr>
        <w:pStyle w:val="ListParagraph"/>
        <w:numPr>
          <w:ilvl w:val="0"/>
          <w:numId w:val="29"/>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Coordination Prepared</w:t>
      </w:r>
      <w:r w:rsidR="00BE4BA5" w:rsidRPr="005956DF">
        <w:rPr>
          <w:rFonts w:asciiTheme="majorHAnsi" w:eastAsia="MS Mincho" w:hAnsiTheme="majorHAnsi" w:cstheme="majorHAnsi"/>
          <w:color w:val="000000"/>
          <w:lang w:bidi="ar-SA"/>
        </w:rPr>
        <w:t xml:space="preserve"> for early work with potential authors, House Research, Senate Counsel, the Revisor, the Governor's Office, committee staff, and agency fiscal staff after Board policy direction is confirmed.</w:t>
      </w:r>
    </w:p>
    <w:p w14:paraId="400D12F5" w14:textId="77777777" w:rsidR="00BE4BA5" w:rsidRPr="00D17D7A" w:rsidRDefault="00BE4BA5" w:rsidP="00BE4BA5">
      <w:pPr>
        <w:keepNext/>
        <w:keepLines/>
        <w:spacing w:before="240" w:after="100" w:line="276" w:lineRule="auto"/>
        <w:outlineLvl w:val="0"/>
        <w:rPr>
          <w:rFonts w:asciiTheme="majorHAnsi" w:eastAsia="MS Gothic" w:hAnsiTheme="majorHAnsi" w:cstheme="majorHAnsi"/>
          <w:b/>
          <w:bCs/>
          <w:color w:val="000000"/>
          <w:sz w:val="30"/>
          <w:szCs w:val="28"/>
          <w:lang w:bidi="ar-SA"/>
        </w:rPr>
      </w:pPr>
      <w:r w:rsidRPr="00D17D7A">
        <w:rPr>
          <w:rFonts w:asciiTheme="majorHAnsi" w:eastAsia="MS Gothic" w:hAnsiTheme="majorHAnsi" w:cstheme="majorHAnsi"/>
          <w:b/>
          <w:bCs/>
          <w:color w:val="000000"/>
          <w:sz w:val="30"/>
          <w:szCs w:val="28"/>
          <w:lang w:bidi="ar-SA"/>
        </w:rPr>
        <w:t>Draft Legislative Proposals</w:t>
      </w:r>
    </w:p>
    <w:p w14:paraId="509D13A6" w14:textId="4CF56DBB" w:rsidR="00BE4BA5" w:rsidRPr="005956DF" w:rsidRDefault="00BE4BA5" w:rsidP="005956DF">
      <w:pPr>
        <w:pStyle w:val="ListParagraph"/>
        <w:numPr>
          <w:ilvl w:val="0"/>
          <w:numId w:val="28"/>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Tribal State Relations </w:t>
      </w:r>
      <w:r w:rsidR="005956DF" w:rsidRPr="005956DF">
        <w:rPr>
          <w:rFonts w:asciiTheme="majorHAnsi" w:eastAsia="MS Mincho" w:hAnsiTheme="majorHAnsi" w:cstheme="majorHAnsi"/>
          <w:b/>
          <w:color w:val="000000"/>
          <w:lang w:bidi="ar-SA"/>
        </w:rPr>
        <w:t>Training Drafted</w:t>
      </w:r>
      <w:r w:rsidRPr="005956DF">
        <w:rPr>
          <w:rFonts w:asciiTheme="majorHAnsi" w:eastAsia="MS Mincho" w:hAnsiTheme="majorHAnsi" w:cstheme="majorHAnsi"/>
          <w:color w:val="000000"/>
          <w:lang w:bidi="ar-SA"/>
        </w:rPr>
        <w:t xml:space="preserve"> proposed amendments to section 10.65 that establish a durable training program, define agency Tribal liaison responsibilities, expand voluntary access to other public officials and educators, formalize the University of Minnesota Duluth Tribal Sovereignty Institute as a partner, provide a base appropriation, and create a graduated response to agency noncompliance.</w:t>
      </w:r>
    </w:p>
    <w:p w14:paraId="3507AE8F" w14:textId="352077C4" w:rsidR="00BE4BA5" w:rsidRPr="005956DF" w:rsidRDefault="00BE4BA5" w:rsidP="005956DF">
      <w:pPr>
        <w:pStyle w:val="ListParagraph"/>
        <w:numPr>
          <w:ilvl w:val="0"/>
          <w:numId w:val="28"/>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Permanent University </w:t>
      </w:r>
      <w:r w:rsidR="005956DF" w:rsidRPr="005956DF">
        <w:rPr>
          <w:rFonts w:asciiTheme="majorHAnsi" w:eastAsia="MS Mincho" w:hAnsiTheme="majorHAnsi" w:cstheme="majorHAnsi"/>
          <w:b/>
          <w:color w:val="000000"/>
          <w:lang w:bidi="ar-SA"/>
        </w:rPr>
        <w:t>Fund Drafted</w:t>
      </w:r>
      <w:r w:rsidRPr="005956DF">
        <w:rPr>
          <w:rFonts w:asciiTheme="majorHAnsi" w:eastAsia="MS Mincho" w:hAnsiTheme="majorHAnsi" w:cstheme="majorHAnsi"/>
          <w:color w:val="000000"/>
          <w:lang w:bidi="ar-SA"/>
        </w:rPr>
        <w:t xml:space="preserve"> proposed amendments to section 137.022 reserving five percent of annual Permanent University Fund distributions for Native American students, staff, faculty, administrators, research, cultural and language programs, and Tribal University partnerships. Based on the two accounts identified in the fiscal year 2024 report, five percent would equal approximately $538,241; a fund-wide estimate and constitutional review remain necessary.</w:t>
      </w:r>
    </w:p>
    <w:p w14:paraId="02C062F8" w14:textId="78E381CA" w:rsidR="00BE4BA5" w:rsidRPr="005956DF" w:rsidRDefault="00BE4BA5" w:rsidP="005956DF">
      <w:pPr>
        <w:pStyle w:val="ListParagraph"/>
        <w:numPr>
          <w:ilvl w:val="0"/>
          <w:numId w:val="28"/>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MIAC enabling </w:t>
      </w:r>
      <w:r w:rsidR="005956DF" w:rsidRPr="005956DF">
        <w:rPr>
          <w:rFonts w:asciiTheme="majorHAnsi" w:eastAsia="MS Mincho" w:hAnsiTheme="majorHAnsi" w:cstheme="majorHAnsi"/>
          <w:b/>
          <w:color w:val="000000"/>
          <w:lang w:bidi="ar-SA"/>
        </w:rPr>
        <w:t>statute Developed</w:t>
      </w:r>
      <w:r w:rsidRPr="005956DF">
        <w:rPr>
          <w:rFonts w:asciiTheme="majorHAnsi" w:eastAsia="MS Mincho" w:hAnsiTheme="majorHAnsi" w:cstheme="majorHAnsi"/>
          <w:color w:val="000000"/>
          <w:lang w:bidi="ar-SA"/>
        </w:rPr>
        <w:t xml:space="preserve"> proposed updates to section 3.922, including removal of the statutory Bemidji office-location requirement and modernization of language describing MIAC's current statewide legislative, policy, consultation, and intergovernmental work.</w:t>
      </w:r>
    </w:p>
    <w:p w14:paraId="29A16E5B" w14:textId="265EB50D" w:rsidR="00BE4BA5" w:rsidRPr="005956DF" w:rsidRDefault="00BE4BA5" w:rsidP="005956DF">
      <w:pPr>
        <w:pStyle w:val="ListParagraph"/>
        <w:numPr>
          <w:ilvl w:val="0"/>
          <w:numId w:val="28"/>
        </w:numPr>
        <w:tabs>
          <w:tab w:val="num" w:pos="360"/>
        </w:tabs>
        <w:spacing w:before="0" w:after="4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Native prevention </w:t>
      </w:r>
      <w:r w:rsidR="005956DF" w:rsidRPr="005956DF">
        <w:rPr>
          <w:rFonts w:asciiTheme="majorHAnsi" w:eastAsia="MS Mincho" w:hAnsiTheme="majorHAnsi" w:cstheme="majorHAnsi"/>
          <w:b/>
          <w:color w:val="000000"/>
          <w:lang w:bidi="ar-SA"/>
        </w:rPr>
        <w:t>services Developed</w:t>
      </w:r>
      <w:r w:rsidRPr="005956DF">
        <w:rPr>
          <w:rFonts w:asciiTheme="majorHAnsi" w:eastAsia="MS Mincho" w:hAnsiTheme="majorHAnsi" w:cstheme="majorHAnsi"/>
          <w:color w:val="000000"/>
          <w:lang w:bidi="ar-SA"/>
        </w:rPr>
        <w:t xml:space="preserve"> an initial 2027 bill framework using a direct appropriation with the Department of Human Services as the administrative pass-through agency and including eligible urban Native organizations in the Twin Cities, Bemidji, and Duluth.</w:t>
      </w:r>
    </w:p>
    <w:p w14:paraId="1FB67841" w14:textId="77777777" w:rsidR="005956DF" w:rsidRDefault="005956DF" w:rsidP="00BE4BA5">
      <w:pPr>
        <w:spacing w:before="60" w:after="0" w:line="256" w:lineRule="auto"/>
        <w:rPr>
          <w:rFonts w:asciiTheme="majorHAnsi" w:eastAsia="MS Mincho" w:hAnsiTheme="majorHAnsi" w:cstheme="majorHAnsi"/>
          <w:color w:val="000000"/>
          <w:lang w:bidi="ar-SA"/>
        </w:rPr>
      </w:pPr>
    </w:p>
    <w:p w14:paraId="31135D9F" w14:textId="5A162C83" w:rsidR="00BE4BA5" w:rsidRPr="00D17D7A" w:rsidRDefault="00BE4BA5" w:rsidP="00BE4BA5">
      <w:pPr>
        <w:spacing w:before="60" w:after="0" w:line="256"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lang w:bidi="ar-SA"/>
        </w:rPr>
        <w:t>These proposals remain working drafts. Each requires Executive Board direction, consultation with affected Tribal and Native partners, fiscal analysis, Revisor or counsel review, and legislative authors before introduction.</w:t>
      </w:r>
    </w:p>
    <w:p w14:paraId="4EFB6EF5" w14:textId="77777777" w:rsidR="00BE4BA5" w:rsidRPr="00D17D7A" w:rsidRDefault="00BE4BA5" w:rsidP="00BE4BA5">
      <w:pPr>
        <w:keepNext/>
        <w:keepLines/>
        <w:spacing w:before="240" w:after="100" w:line="276" w:lineRule="auto"/>
        <w:outlineLvl w:val="0"/>
        <w:rPr>
          <w:rFonts w:asciiTheme="majorHAnsi" w:eastAsia="MS Gothic" w:hAnsiTheme="majorHAnsi" w:cstheme="majorHAnsi"/>
          <w:b/>
          <w:bCs/>
          <w:color w:val="000000"/>
          <w:sz w:val="30"/>
          <w:szCs w:val="28"/>
          <w:lang w:bidi="ar-SA"/>
        </w:rPr>
      </w:pPr>
      <w:r w:rsidRPr="00D17D7A">
        <w:rPr>
          <w:rFonts w:asciiTheme="majorHAnsi" w:eastAsia="MS Gothic" w:hAnsiTheme="majorHAnsi" w:cstheme="majorHAnsi"/>
          <w:b/>
          <w:bCs/>
          <w:color w:val="000000"/>
          <w:sz w:val="30"/>
          <w:szCs w:val="28"/>
          <w:lang w:bidi="ar-SA"/>
        </w:rPr>
        <w:t>Legal and Policy Monitoring</w:t>
      </w:r>
    </w:p>
    <w:p w14:paraId="1EDC90D0" w14:textId="77777777" w:rsidR="00BE4BA5" w:rsidRPr="00D17D7A" w:rsidRDefault="00BE4BA5" w:rsidP="00BE4BA5">
      <w:pPr>
        <w:spacing w:before="0" w:after="140" w:line="256"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lang w:bidi="ar-SA"/>
        </w:rPr>
        <w:t>The Legislative Director established a regular legal and policy briefing process and issued formal briefs on September 11 and September 18. Together, the briefs analyzed 18 developments, identified their relevance to Minnesota Tribal Nations, and set out follow-up actions and deadlines.</w:t>
      </w:r>
    </w:p>
    <w:p w14:paraId="0EAC2CF2" w14:textId="65550BB7" w:rsidR="00BE4BA5" w:rsidRPr="005956DF" w:rsidRDefault="00BE4BA5" w:rsidP="005956DF">
      <w:pPr>
        <w:pStyle w:val="ListParagraph"/>
        <w:numPr>
          <w:ilvl w:val="0"/>
          <w:numId w:val="32"/>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lastRenderedPageBreak/>
        <w:t xml:space="preserve">Tribal jurisdiction and sovereign </w:t>
      </w:r>
      <w:r w:rsidR="005956DF" w:rsidRPr="005956DF">
        <w:rPr>
          <w:rFonts w:asciiTheme="majorHAnsi" w:eastAsia="MS Mincho" w:hAnsiTheme="majorHAnsi" w:cstheme="majorHAnsi"/>
          <w:b/>
          <w:color w:val="000000"/>
          <w:lang w:bidi="ar-SA"/>
        </w:rPr>
        <w:t>immunity Reviewed</w:t>
      </w:r>
      <w:r w:rsidRPr="005956DF">
        <w:rPr>
          <w:rFonts w:asciiTheme="majorHAnsi" w:eastAsia="MS Mincho" w:hAnsiTheme="majorHAnsi" w:cstheme="majorHAnsi"/>
          <w:color w:val="000000"/>
          <w:lang w:bidi="ar-SA"/>
        </w:rPr>
        <w:t xml:space="preserve"> appellate developments involving Tribal court jurisdiction over energy agreements, Tribal authority over digital wagering on Indian lands, and Rule 19 dismissal when a Tribal Nation cannot be joined because of sovereign immunity.</w:t>
      </w:r>
    </w:p>
    <w:p w14:paraId="7E44E7EC" w14:textId="3F37F4C0" w:rsidR="00BE4BA5" w:rsidRPr="005956DF" w:rsidRDefault="00BE4BA5" w:rsidP="005956DF">
      <w:pPr>
        <w:pStyle w:val="ListParagraph"/>
        <w:numPr>
          <w:ilvl w:val="0"/>
          <w:numId w:val="30"/>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Treaty resources and environmental </w:t>
      </w:r>
      <w:r w:rsidR="005956DF" w:rsidRPr="005956DF">
        <w:rPr>
          <w:rFonts w:asciiTheme="majorHAnsi" w:eastAsia="MS Mincho" w:hAnsiTheme="majorHAnsi" w:cstheme="majorHAnsi"/>
          <w:b/>
          <w:color w:val="000000"/>
          <w:lang w:bidi="ar-SA"/>
        </w:rPr>
        <w:t>review Tracked</w:t>
      </w:r>
      <w:r w:rsidRPr="005956DF">
        <w:rPr>
          <w:rFonts w:asciiTheme="majorHAnsi" w:eastAsia="MS Mincho" w:hAnsiTheme="majorHAnsi" w:cstheme="majorHAnsi"/>
          <w:color w:val="000000"/>
          <w:lang w:bidi="ar-SA"/>
        </w:rPr>
        <w:t xml:space="preserve"> the Pipestone reroute, Tamarack Mine environmental review, Thief River Falls hydroelectric relicensing, proposed Waters of the United States changes, gray-wolf protections, Line 5 litigation, Endangered Species Act rules, and related federal implementation guidance.</w:t>
      </w:r>
    </w:p>
    <w:p w14:paraId="348248CA" w14:textId="134F7B2F" w:rsidR="00BE4BA5" w:rsidRPr="005956DF" w:rsidRDefault="00BE4BA5" w:rsidP="005956DF">
      <w:pPr>
        <w:pStyle w:val="ListParagraph"/>
        <w:numPr>
          <w:ilvl w:val="0"/>
          <w:numId w:val="30"/>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Data and cultural </w:t>
      </w:r>
      <w:r w:rsidR="005956DF" w:rsidRPr="005956DF">
        <w:rPr>
          <w:rFonts w:asciiTheme="majorHAnsi" w:eastAsia="MS Mincho" w:hAnsiTheme="majorHAnsi" w:cstheme="majorHAnsi"/>
          <w:b/>
          <w:color w:val="000000"/>
          <w:lang w:bidi="ar-SA"/>
        </w:rPr>
        <w:t>resources Analyzed</w:t>
      </w:r>
      <w:r w:rsidRPr="005956DF">
        <w:rPr>
          <w:rFonts w:asciiTheme="majorHAnsi" w:eastAsia="MS Mincho" w:hAnsiTheme="majorHAnsi" w:cstheme="majorHAnsi"/>
          <w:color w:val="000000"/>
          <w:lang w:bidi="ar-SA"/>
        </w:rPr>
        <w:t xml:space="preserve"> the federal census proposal affecting race and ethnicity questions, proposed changes affecting National Archives records in Chicago, the September 30 NAGPRA Review Committee meeting, and National Park Service procedures for Tribal plant gathering.</w:t>
      </w:r>
    </w:p>
    <w:p w14:paraId="052F3132" w14:textId="440C3D5F" w:rsidR="00BE4BA5" w:rsidRPr="005956DF" w:rsidRDefault="00BE4BA5" w:rsidP="005956DF">
      <w:pPr>
        <w:pStyle w:val="ListParagraph"/>
        <w:numPr>
          <w:ilvl w:val="0"/>
          <w:numId w:val="30"/>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Housing and public </w:t>
      </w:r>
      <w:r w:rsidR="005956DF" w:rsidRPr="005956DF">
        <w:rPr>
          <w:rFonts w:asciiTheme="majorHAnsi" w:eastAsia="MS Mincho" w:hAnsiTheme="majorHAnsi" w:cstheme="majorHAnsi"/>
          <w:b/>
          <w:color w:val="000000"/>
          <w:lang w:bidi="ar-SA"/>
        </w:rPr>
        <w:t>safety Reviewed</w:t>
      </w:r>
      <w:r w:rsidRPr="005956DF">
        <w:rPr>
          <w:rFonts w:asciiTheme="majorHAnsi" w:eastAsia="MS Mincho" w:hAnsiTheme="majorHAnsi" w:cstheme="majorHAnsi"/>
          <w:color w:val="000000"/>
          <w:lang w:bidi="ar-SA"/>
        </w:rPr>
        <w:t xml:space="preserve"> federal findings on Native housing and homelessness, the NAHASDA modernization record, and the Department of Justice Tribal public-safety and justice roundtable.</w:t>
      </w:r>
    </w:p>
    <w:p w14:paraId="7E7F0D66" w14:textId="77777777" w:rsidR="00BE4BA5" w:rsidRPr="00D17D7A" w:rsidRDefault="00BE4BA5" w:rsidP="00BE4BA5">
      <w:pPr>
        <w:keepNext/>
        <w:keepLines/>
        <w:spacing w:before="180" w:after="60" w:line="276" w:lineRule="auto"/>
        <w:outlineLvl w:val="1"/>
        <w:rPr>
          <w:rFonts w:asciiTheme="majorHAnsi" w:eastAsia="MS Gothic" w:hAnsiTheme="majorHAnsi" w:cstheme="majorHAnsi"/>
          <w:b/>
          <w:bCs/>
          <w:color w:val="000000"/>
          <w:sz w:val="24"/>
          <w:szCs w:val="26"/>
          <w:lang w:bidi="ar-SA"/>
        </w:rPr>
      </w:pPr>
      <w:r w:rsidRPr="00D17D7A">
        <w:rPr>
          <w:rFonts w:asciiTheme="majorHAnsi" w:eastAsia="MS Gothic" w:hAnsiTheme="majorHAnsi" w:cstheme="majorHAnsi"/>
          <w:b/>
          <w:bCs/>
          <w:color w:val="000000"/>
          <w:sz w:val="24"/>
          <w:szCs w:val="26"/>
          <w:lang w:bidi="ar-SA"/>
        </w:rPr>
        <w:t>Priority Deadlines and Follow Up</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31"/>
        <w:gridCol w:w="3331"/>
        <w:gridCol w:w="4824"/>
      </w:tblGrid>
      <w:tr w:rsidR="00BE4BA5" w:rsidRPr="00D17D7A" w14:paraId="0D05341F" w14:textId="77777777">
        <w:trPr>
          <w:cantSplit/>
          <w:tblHeader/>
          <w:jc w:val="center"/>
        </w:trPr>
        <w:tc>
          <w:tcPr>
            <w:tcW w:w="3331" w:type="dxa"/>
            <w:tcBorders>
              <w:top w:val="single" w:sz="6" w:space="0" w:color="D9D9D9"/>
              <w:left w:val="single" w:sz="6" w:space="0" w:color="D9D9D9"/>
              <w:bottom w:val="single" w:sz="6" w:space="0" w:color="D9D9D9"/>
              <w:right w:val="single" w:sz="6" w:space="0" w:color="D9D9D9"/>
            </w:tcBorders>
            <w:shd w:val="clear" w:color="auto" w:fill="1F4E78"/>
            <w:tcMar>
              <w:top w:w="110" w:type="dxa"/>
              <w:left w:w="130" w:type="dxa"/>
              <w:bottom w:w="110" w:type="dxa"/>
              <w:right w:w="130" w:type="dxa"/>
            </w:tcMar>
            <w:hideMark/>
          </w:tcPr>
          <w:p w14:paraId="6B31F1C5" w14:textId="77777777" w:rsidR="00BE4BA5" w:rsidRPr="00D17D7A" w:rsidRDefault="00BE4BA5" w:rsidP="00BE4BA5">
            <w:pPr>
              <w:spacing w:before="0" w:line="276"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FFFFFF"/>
                <w:sz w:val="18"/>
                <w:lang w:bidi="ar-SA"/>
              </w:rPr>
              <w:t>Date</w:t>
            </w:r>
          </w:p>
        </w:tc>
        <w:tc>
          <w:tcPr>
            <w:tcW w:w="3331" w:type="dxa"/>
            <w:tcBorders>
              <w:top w:val="single" w:sz="6" w:space="0" w:color="D9D9D9"/>
              <w:left w:val="single" w:sz="6" w:space="0" w:color="D9D9D9"/>
              <w:bottom w:val="single" w:sz="6" w:space="0" w:color="D9D9D9"/>
              <w:right w:val="single" w:sz="6" w:space="0" w:color="D9D9D9"/>
            </w:tcBorders>
            <w:shd w:val="clear" w:color="auto" w:fill="1F4E78"/>
            <w:tcMar>
              <w:top w:w="110" w:type="dxa"/>
              <w:left w:w="130" w:type="dxa"/>
              <w:bottom w:w="110" w:type="dxa"/>
              <w:right w:w="130" w:type="dxa"/>
            </w:tcMar>
            <w:hideMark/>
          </w:tcPr>
          <w:p w14:paraId="76150C2C" w14:textId="77777777" w:rsidR="00BE4BA5" w:rsidRPr="00D17D7A" w:rsidRDefault="00BE4BA5" w:rsidP="00BE4BA5">
            <w:pPr>
              <w:spacing w:before="0" w:line="276"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FFFFFF"/>
                <w:sz w:val="18"/>
                <w:lang w:bidi="ar-SA"/>
              </w:rPr>
              <w:t>Matter</w:t>
            </w:r>
          </w:p>
        </w:tc>
        <w:tc>
          <w:tcPr>
            <w:tcW w:w="3331" w:type="dxa"/>
            <w:tcBorders>
              <w:top w:val="single" w:sz="6" w:space="0" w:color="D9D9D9"/>
              <w:left w:val="single" w:sz="6" w:space="0" w:color="D9D9D9"/>
              <w:bottom w:val="single" w:sz="6" w:space="0" w:color="D9D9D9"/>
              <w:right w:val="single" w:sz="6" w:space="0" w:color="D9D9D9"/>
            </w:tcBorders>
            <w:shd w:val="clear" w:color="auto" w:fill="1F4E78"/>
            <w:tcMar>
              <w:top w:w="110" w:type="dxa"/>
              <w:left w:w="130" w:type="dxa"/>
              <w:bottom w:w="110" w:type="dxa"/>
              <w:right w:w="130" w:type="dxa"/>
            </w:tcMar>
            <w:hideMark/>
          </w:tcPr>
          <w:p w14:paraId="2080ECB2" w14:textId="77777777" w:rsidR="00BE4BA5" w:rsidRPr="00D17D7A" w:rsidRDefault="00BE4BA5" w:rsidP="00BE4BA5">
            <w:pPr>
              <w:spacing w:before="0" w:line="276"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FFFFFF"/>
                <w:sz w:val="18"/>
                <w:lang w:bidi="ar-SA"/>
              </w:rPr>
              <w:t>MIAC Follow Up</w:t>
            </w:r>
          </w:p>
        </w:tc>
      </w:tr>
      <w:tr w:rsidR="00BE4BA5" w:rsidRPr="00D17D7A" w14:paraId="0F5FFA2C"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tcMar>
              <w:top w:w="95" w:type="dxa"/>
              <w:left w:w="130" w:type="dxa"/>
              <w:bottom w:w="95" w:type="dxa"/>
              <w:right w:w="130" w:type="dxa"/>
            </w:tcMar>
            <w:vAlign w:val="center"/>
            <w:hideMark/>
          </w:tcPr>
          <w:p w14:paraId="1BAD395E" w14:textId="77777777" w:rsidR="00BE4BA5" w:rsidRPr="00D17D7A" w:rsidRDefault="00BE4BA5" w:rsidP="00BE4BA5">
            <w:pPr>
              <w:spacing w:before="0" w:after="0" w:line="240"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000000"/>
                <w:sz w:val="18"/>
                <w:lang w:bidi="ar-SA"/>
              </w:rPr>
              <w:t>September 30</w:t>
            </w:r>
          </w:p>
        </w:tc>
        <w:tc>
          <w:tcPr>
            <w:tcW w:w="3240" w:type="dxa"/>
            <w:tcBorders>
              <w:top w:val="single" w:sz="6" w:space="0" w:color="D9D9D9"/>
              <w:left w:val="single" w:sz="6" w:space="0" w:color="D9D9D9"/>
              <w:bottom w:val="single" w:sz="6" w:space="0" w:color="D9D9D9"/>
              <w:right w:val="single" w:sz="6" w:space="0" w:color="D9D9D9"/>
            </w:tcBorders>
            <w:tcMar>
              <w:top w:w="95" w:type="dxa"/>
              <w:left w:w="130" w:type="dxa"/>
              <w:bottom w:w="95" w:type="dxa"/>
              <w:right w:w="130" w:type="dxa"/>
            </w:tcMar>
            <w:vAlign w:val="center"/>
            <w:hideMark/>
          </w:tcPr>
          <w:p w14:paraId="5F7E9626"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NAGPRA Review Committee</w:t>
            </w:r>
          </w:p>
        </w:tc>
        <w:tc>
          <w:tcPr>
            <w:tcW w:w="4824" w:type="dxa"/>
            <w:tcBorders>
              <w:top w:val="single" w:sz="6" w:space="0" w:color="D9D9D9"/>
              <w:left w:val="single" w:sz="6" w:space="0" w:color="D9D9D9"/>
              <w:bottom w:val="single" w:sz="6" w:space="0" w:color="D9D9D9"/>
              <w:right w:val="single" w:sz="6" w:space="0" w:color="D9D9D9"/>
            </w:tcBorders>
            <w:tcMar>
              <w:top w:w="95" w:type="dxa"/>
              <w:left w:w="130" w:type="dxa"/>
              <w:bottom w:w="95" w:type="dxa"/>
              <w:right w:w="130" w:type="dxa"/>
            </w:tcMar>
            <w:vAlign w:val="center"/>
            <w:hideMark/>
          </w:tcPr>
          <w:p w14:paraId="16532931"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Review agenda and determine whether Minnesota matters require comment</w:t>
            </w:r>
          </w:p>
        </w:tc>
      </w:tr>
      <w:tr w:rsidR="00BE4BA5" w:rsidRPr="00D17D7A" w14:paraId="06A5F63F"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F2F6FA"/>
            <w:tcMar>
              <w:top w:w="95" w:type="dxa"/>
              <w:left w:w="130" w:type="dxa"/>
              <w:bottom w:w="95" w:type="dxa"/>
              <w:right w:w="130" w:type="dxa"/>
            </w:tcMar>
            <w:vAlign w:val="center"/>
            <w:hideMark/>
          </w:tcPr>
          <w:p w14:paraId="700D1464" w14:textId="77777777" w:rsidR="00BE4BA5" w:rsidRPr="00D17D7A" w:rsidRDefault="00BE4BA5" w:rsidP="00BE4BA5">
            <w:pPr>
              <w:spacing w:before="0" w:after="0" w:line="240"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000000"/>
                <w:sz w:val="18"/>
                <w:lang w:bidi="ar-SA"/>
              </w:rPr>
              <w:t>October 9</w:t>
            </w:r>
          </w:p>
        </w:tc>
        <w:tc>
          <w:tcPr>
            <w:tcW w:w="3240" w:type="dxa"/>
            <w:tcBorders>
              <w:top w:val="single" w:sz="6" w:space="0" w:color="D9D9D9"/>
              <w:left w:val="single" w:sz="6" w:space="0" w:color="D9D9D9"/>
              <w:bottom w:val="single" w:sz="6" w:space="0" w:color="D9D9D9"/>
              <w:right w:val="single" w:sz="6" w:space="0" w:color="D9D9D9"/>
            </w:tcBorders>
            <w:shd w:val="clear" w:color="auto" w:fill="F2F6FA"/>
            <w:tcMar>
              <w:top w:w="95" w:type="dxa"/>
              <w:left w:w="130" w:type="dxa"/>
              <w:bottom w:w="95" w:type="dxa"/>
              <w:right w:w="130" w:type="dxa"/>
            </w:tcMar>
            <w:vAlign w:val="center"/>
            <w:hideMark/>
          </w:tcPr>
          <w:p w14:paraId="40D43930"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Waters of the United States proposal</w:t>
            </w:r>
          </w:p>
        </w:tc>
        <w:tc>
          <w:tcPr>
            <w:tcW w:w="4824" w:type="dxa"/>
            <w:tcBorders>
              <w:top w:val="single" w:sz="6" w:space="0" w:color="D9D9D9"/>
              <w:left w:val="single" w:sz="6" w:space="0" w:color="D9D9D9"/>
              <w:bottom w:val="single" w:sz="6" w:space="0" w:color="D9D9D9"/>
              <w:right w:val="single" w:sz="6" w:space="0" w:color="D9D9D9"/>
            </w:tcBorders>
            <w:shd w:val="clear" w:color="auto" w:fill="F2F6FA"/>
            <w:tcMar>
              <w:top w:w="95" w:type="dxa"/>
              <w:left w:w="130" w:type="dxa"/>
              <w:bottom w:w="95" w:type="dxa"/>
              <w:right w:w="130" w:type="dxa"/>
            </w:tcMar>
            <w:vAlign w:val="center"/>
            <w:hideMark/>
          </w:tcPr>
          <w:p w14:paraId="28A2BFD4"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Coordinate Tribal technical comments and treaty-resource concerns</w:t>
            </w:r>
          </w:p>
        </w:tc>
      </w:tr>
      <w:tr w:rsidR="00BE4BA5" w:rsidRPr="00D17D7A" w14:paraId="0618894D"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tcMar>
              <w:top w:w="95" w:type="dxa"/>
              <w:left w:w="130" w:type="dxa"/>
              <w:bottom w:w="95" w:type="dxa"/>
              <w:right w:w="130" w:type="dxa"/>
            </w:tcMar>
            <w:vAlign w:val="center"/>
            <w:hideMark/>
          </w:tcPr>
          <w:p w14:paraId="27E47447" w14:textId="77777777" w:rsidR="00BE4BA5" w:rsidRPr="00D17D7A" w:rsidRDefault="00BE4BA5" w:rsidP="00BE4BA5">
            <w:pPr>
              <w:spacing w:before="0" w:after="0" w:line="240"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000000"/>
                <w:sz w:val="18"/>
                <w:lang w:bidi="ar-SA"/>
              </w:rPr>
              <w:t>October 13</w:t>
            </w:r>
          </w:p>
        </w:tc>
        <w:tc>
          <w:tcPr>
            <w:tcW w:w="3240" w:type="dxa"/>
            <w:tcBorders>
              <w:top w:val="single" w:sz="6" w:space="0" w:color="D9D9D9"/>
              <w:left w:val="single" w:sz="6" w:space="0" w:color="D9D9D9"/>
              <w:bottom w:val="single" w:sz="6" w:space="0" w:color="D9D9D9"/>
              <w:right w:val="single" w:sz="6" w:space="0" w:color="D9D9D9"/>
            </w:tcBorders>
            <w:tcMar>
              <w:top w:w="95" w:type="dxa"/>
              <w:left w:w="130" w:type="dxa"/>
              <w:bottom w:w="95" w:type="dxa"/>
              <w:right w:w="130" w:type="dxa"/>
            </w:tcMar>
            <w:vAlign w:val="center"/>
            <w:hideMark/>
          </w:tcPr>
          <w:p w14:paraId="024D93C6"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Census demographic proposal</w:t>
            </w:r>
          </w:p>
        </w:tc>
        <w:tc>
          <w:tcPr>
            <w:tcW w:w="4824" w:type="dxa"/>
            <w:tcBorders>
              <w:top w:val="single" w:sz="6" w:space="0" w:color="D9D9D9"/>
              <w:left w:val="single" w:sz="6" w:space="0" w:color="D9D9D9"/>
              <w:bottom w:val="single" w:sz="6" w:space="0" w:color="D9D9D9"/>
              <w:right w:val="single" w:sz="6" w:space="0" w:color="D9D9D9"/>
            </w:tcBorders>
            <w:tcMar>
              <w:top w:w="95" w:type="dxa"/>
              <w:left w:w="130" w:type="dxa"/>
              <w:bottom w:w="95" w:type="dxa"/>
              <w:right w:w="130" w:type="dxa"/>
            </w:tcMar>
            <w:vAlign w:val="center"/>
            <w:hideMark/>
          </w:tcPr>
          <w:p w14:paraId="752ACD72"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Request consultation and coordinate data-governance analysis</w:t>
            </w:r>
          </w:p>
        </w:tc>
      </w:tr>
      <w:tr w:rsidR="00BE4BA5" w:rsidRPr="00D17D7A" w14:paraId="0FBCD2B0"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F2F6FA"/>
            <w:tcMar>
              <w:top w:w="95" w:type="dxa"/>
              <w:left w:w="130" w:type="dxa"/>
              <w:bottom w:w="95" w:type="dxa"/>
              <w:right w:w="130" w:type="dxa"/>
            </w:tcMar>
            <w:vAlign w:val="center"/>
            <w:hideMark/>
          </w:tcPr>
          <w:p w14:paraId="76581554" w14:textId="77777777" w:rsidR="00BE4BA5" w:rsidRPr="00D17D7A" w:rsidRDefault="00BE4BA5" w:rsidP="00BE4BA5">
            <w:pPr>
              <w:spacing w:before="0" w:after="0" w:line="240"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000000"/>
                <w:sz w:val="18"/>
                <w:lang w:bidi="ar-SA"/>
              </w:rPr>
              <w:t>October 19</w:t>
            </w:r>
          </w:p>
        </w:tc>
        <w:tc>
          <w:tcPr>
            <w:tcW w:w="3240" w:type="dxa"/>
            <w:tcBorders>
              <w:top w:val="single" w:sz="6" w:space="0" w:color="D9D9D9"/>
              <w:left w:val="single" w:sz="6" w:space="0" w:color="D9D9D9"/>
              <w:bottom w:val="single" w:sz="6" w:space="0" w:color="D9D9D9"/>
              <w:right w:val="single" w:sz="6" w:space="0" w:color="D9D9D9"/>
            </w:tcBorders>
            <w:shd w:val="clear" w:color="auto" w:fill="F2F6FA"/>
            <w:tcMar>
              <w:top w:w="95" w:type="dxa"/>
              <w:left w:w="130" w:type="dxa"/>
              <w:bottom w:w="95" w:type="dxa"/>
              <w:right w:w="130" w:type="dxa"/>
            </w:tcMar>
            <w:vAlign w:val="center"/>
            <w:hideMark/>
          </w:tcPr>
          <w:p w14:paraId="2C3726DC"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Tribal plant-gathering procedures</w:t>
            </w:r>
          </w:p>
        </w:tc>
        <w:tc>
          <w:tcPr>
            <w:tcW w:w="4824" w:type="dxa"/>
            <w:tcBorders>
              <w:top w:val="single" w:sz="6" w:space="0" w:color="D9D9D9"/>
              <w:left w:val="single" w:sz="6" w:space="0" w:color="D9D9D9"/>
              <w:bottom w:val="single" w:sz="6" w:space="0" w:color="D9D9D9"/>
              <w:right w:val="single" w:sz="6" w:space="0" w:color="D9D9D9"/>
            </w:tcBorders>
            <w:shd w:val="clear" w:color="auto" w:fill="F2F6FA"/>
            <w:tcMar>
              <w:top w:w="95" w:type="dxa"/>
              <w:left w:w="130" w:type="dxa"/>
              <w:bottom w:w="95" w:type="dxa"/>
              <w:right w:w="130" w:type="dxa"/>
            </w:tcMar>
            <w:vAlign w:val="center"/>
            <w:hideMark/>
          </w:tcPr>
          <w:p w14:paraId="5ADA9CC3"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Identify administrative burdens affecting Minnesota Tribal Nations</w:t>
            </w:r>
          </w:p>
        </w:tc>
      </w:tr>
      <w:tr w:rsidR="00BE4BA5" w:rsidRPr="00D17D7A" w14:paraId="50A49C46" w14:textId="77777777">
        <w:trPr>
          <w:cantSplit/>
          <w:jc w:val="center"/>
        </w:trPr>
        <w:tc>
          <w:tcPr>
            <w:tcW w:w="1800" w:type="dxa"/>
            <w:tcBorders>
              <w:top w:val="single" w:sz="6" w:space="0" w:color="D9D9D9"/>
              <w:left w:val="single" w:sz="6" w:space="0" w:color="D9D9D9"/>
              <w:bottom w:val="single" w:sz="6" w:space="0" w:color="D9D9D9"/>
              <w:right w:val="single" w:sz="6" w:space="0" w:color="D9D9D9"/>
            </w:tcBorders>
            <w:tcMar>
              <w:top w:w="95" w:type="dxa"/>
              <w:left w:w="130" w:type="dxa"/>
              <w:bottom w:w="95" w:type="dxa"/>
              <w:right w:w="130" w:type="dxa"/>
            </w:tcMar>
            <w:vAlign w:val="center"/>
            <w:hideMark/>
          </w:tcPr>
          <w:p w14:paraId="59EB685A" w14:textId="77777777" w:rsidR="00BE4BA5" w:rsidRPr="00D17D7A" w:rsidRDefault="00BE4BA5" w:rsidP="00BE4BA5">
            <w:pPr>
              <w:spacing w:before="0" w:after="0" w:line="240" w:lineRule="auto"/>
              <w:jc w:val="center"/>
              <w:rPr>
                <w:rFonts w:asciiTheme="majorHAnsi" w:eastAsia="MS Mincho" w:hAnsiTheme="majorHAnsi" w:cstheme="majorHAnsi"/>
                <w:color w:val="000000"/>
                <w:lang w:bidi="ar-SA"/>
              </w:rPr>
            </w:pPr>
            <w:r w:rsidRPr="00D17D7A">
              <w:rPr>
                <w:rFonts w:asciiTheme="majorHAnsi" w:eastAsia="MS Mincho" w:hAnsiTheme="majorHAnsi" w:cstheme="majorHAnsi"/>
                <w:b/>
                <w:color w:val="000000"/>
                <w:sz w:val="18"/>
                <w:lang w:bidi="ar-SA"/>
              </w:rPr>
              <w:t>October 27</w:t>
            </w:r>
          </w:p>
        </w:tc>
        <w:tc>
          <w:tcPr>
            <w:tcW w:w="3240" w:type="dxa"/>
            <w:tcBorders>
              <w:top w:val="single" w:sz="6" w:space="0" w:color="D9D9D9"/>
              <w:left w:val="single" w:sz="6" w:space="0" w:color="D9D9D9"/>
              <w:bottom w:val="single" w:sz="6" w:space="0" w:color="D9D9D9"/>
              <w:right w:val="single" w:sz="6" w:space="0" w:color="D9D9D9"/>
            </w:tcBorders>
            <w:tcMar>
              <w:top w:w="95" w:type="dxa"/>
              <w:left w:w="130" w:type="dxa"/>
              <w:bottom w:w="95" w:type="dxa"/>
              <w:right w:w="130" w:type="dxa"/>
            </w:tcMar>
            <w:vAlign w:val="center"/>
            <w:hideMark/>
          </w:tcPr>
          <w:p w14:paraId="370F2A4D" w14:textId="77777777" w:rsidR="00BE4BA5" w:rsidRPr="00D17D7A" w:rsidRDefault="00BE4BA5" w:rsidP="00BE4BA5">
            <w:pPr>
              <w:spacing w:before="0" w:after="0" w:line="240"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18"/>
                <w:lang w:bidi="ar-SA"/>
              </w:rPr>
              <w:t>Thief River Falls hydroelectric project</w:t>
            </w:r>
          </w:p>
        </w:tc>
        <w:tc>
          <w:tcPr>
            <w:tcW w:w="4824" w:type="dxa"/>
            <w:tcBorders>
              <w:top w:val="single" w:sz="6" w:space="0" w:color="D9D9D9"/>
              <w:left w:val="single" w:sz="6" w:space="0" w:color="D9D9D9"/>
              <w:bottom w:val="single" w:sz="6" w:space="0" w:color="D9D9D9"/>
              <w:right w:val="single" w:sz="6" w:space="0" w:color="D9D9D9"/>
            </w:tcBorders>
            <w:tcMar>
              <w:top w:w="95" w:type="dxa"/>
              <w:left w:w="130" w:type="dxa"/>
              <w:bottom w:w="95" w:type="dxa"/>
              <w:right w:w="130" w:type="dxa"/>
            </w:tcMar>
            <w:vAlign w:val="center"/>
            <w:hideMark/>
          </w:tcPr>
          <w:p w14:paraId="5BD68B23" w14:textId="317723F0" w:rsidR="00BE4BA5" w:rsidRPr="00D17D7A" w:rsidRDefault="00822EA8" w:rsidP="00BE4BA5">
            <w:pPr>
              <w:spacing w:before="0" w:after="0" w:line="240" w:lineRule="auto"/>
              <w:rPr>
                <w:rFonts w:asciiTheme="majorHAnsi" w:eastAsia="MS Mincho" w:hAnsiTheme="majorHAnsi" w:cstheme="majorHAnsi"/>
                <w:color w:val="000000"/>
                <w:lang w:bidi="ar-SA"/>
              </w:rPr>
            </w:pPr>
            <w:r>
              <w:rPr>
                <w:rFonts w:asciiTheme="majorHAnsi" w:eastAsia="MS Mincho" w:hAnsiTheme="majorHAnsi" w:cstheme="majorHAnsi"/>
                <w:color w:val="000000"/>
                <w:sz w:val="18"/>
                <w:lang w:bidi="ar-SA"/>
              </w:rPr>
              <w:t>Review</w:t>
            </w:r>
            <w:r w:rsidR="00BE4BA5" w:rsidRPr="00D17D7A">
              <w:rPr>
                <w:rFonts w:asciiTheme="majorHAnsi" w:eastAsia="MS Mincho" w:hAnsiTheme="majorHAnsi" w:cstheme="majorHAnsi"/>
                <w:color w:val="000000"/>
                <w:sz w:val="18"/>
                <w:lang w:bidi="ar-SA"/>
              </w:rPr>
              <w:t xml:space="preserve"> decisions on studies, intervention, or cooperating-agency status</w:t>
            </w:r>
          </w:p>
        </w:tc>
      </w:tr>
    </w:tbl>
    <w:p w14:paraId="560C0C1C" w14:textId="77777777" w:rsidR="00BE4BA5" w:rsidRPr="00D17D7A" w:rsidRDefault="00BE4BA5" w:rsidP="00BE4BA5">
      <w:pPr>
        <w:keepNext/>
        <w:keepLines/>
        <w:spacing w:before="240" w:after="100" w:line="276" w:lineRule="auto"/>
        <w:outlineLvl w:val="0"/>
        <w:rPr>
          <w:rFonts w:asciiTheme="majorHAnsi" w:eastAsia="MS Gothic" w:hAnsiTheme="majorHAnsi" w:cstheme="majorHAnsi"/>
          <w:b/>
          <w:bCs/>
          <w:color w:val="000000"/>
          <w:sz w:val="30"/>
          <w:szCs w:val="28"/>
          <w:lang w:bidi="ar-SA"/>
        </w:rPr>
      </w:pPr>
      <w:r w:rsidRPr="00D17D7A">
        <w:rPr>
          <w:rFonts w:asciiTheme="majorHAnsi" w:eastAsia="MS Gothic" w:hAnsiTheme="majorHAnsi" w:cstheme="majorHAnsi"/>
          <w:b/>
          <w:bCs/>
          <w:color w:val="000000"/>
          <w:sz w:val="30"/>
          <w:szCs w:val="28"/>
          <w:lang w:bidi="ar-SA"/>
        </w:rPr>
        <w:t>Pipestone Reroute</w:t>
      </w:r>
    </w:p>
    <w:p w14:paraId="2739707B" w14:textId="77777777" w:rsidR="00BE4BA5" w:rsidRPr="00D17D7A" w:rsidRDefault="00BE4BA5" w:rsidP="00BE4BA5">
      <w:pPr>
        <w:spacing w:before="0" w:after="0" w:line="256"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lang w:bidi="ar-SA"/>
        </w:rPr>
        <w:t>The Legislative Director supported MIAC's continued work in Public Utilities Commission Docket IP-7109/PPL-23-109. An August 21 memorandum documented MIAC's compliance with the Commission's order, including guidance on qualified cultural-resource contractors, survey standards, Tribal monitoring, consultation, reporting, and protection of culturally significant resources. The docket was monitored through the September 11 supplemental-comment deadline, with continued attention to treaty-protected access, sacred-landscape integrity, possible burials, cumulative impacts, and the adequacy of the Phase I inventories for route alternatives RA-01 and RA-03. MIAC remains available if new cultural-resource information, Tribal concerns, survey findings, inadvertent discoveries, or material project changes arise.</w:t>
      </w:r>
    </w:p>
    <w:p w14:paraId="619CDE25" w14:textId="77777777" w:rsidR="00BE4BA5" w:rsidRPr="00D17D7A" w:rsidRDefault="00BE4BA5" w:rsidP="00BE4BA5">
      <w:pPr>
        <w:keepNext/>
        <w:keepLines/>
        <w:spacing w:before="240" w:after="100" w:line="276" w:lineRule="auto"/>
        <w:outlineLvl w:val="0"/>
        <w:rPr>
          <w:rFonts w:asciiTheme="majorHAnsi" w:eastAsia="MS Gothic" w:hAnsiTheme="majorHAnsi" w:cstheme="majorHAnsi"/>
          <w:b/>
          <w:bCs/>
          <w:color w:val="000000"/>
          <w:sz w:val="30"/>
          <w:szCs w:val="28"/>
          <w:lang w:bidi="ar-SA"/>
        </w:rPr>
      </w:pPr>
      <w:r w:rsidRPr="00D17D7A">
        <w:rPr>
          <w:rFonts w:asciiTheme="majorHAnsi" w:eastAsia="MS Gothic" w:hAnsiTheme="majorHAnsi" w:cstheme="majorHAnsi"/>
          <w:b/>
          <w:bCs/>
          <w:color w:val="000000"/>
          <w:sz w:val="30"/>
          <w:szCs w:val="28"/>
          <w:lang w:bidi="ar-SA"/>
        </w:rPr>
        <w:t>Government Relations and Education</w:t>
      </w:r>
    </w:p>
    <w:p w14:paraId="1C126D1A" w14:textId="42D94560" w:rsidR="005956DF" w:rsidRPr="005956DF" w:rsidRDefault="00E74217" w:rsidP="005956DF">
      <w:pPr>
        <w:pStyle w:val="ListParagraph"/>
        <w:numPr>
          <w:ilvl w:val="0"/>
          <w:numId w:val="24"/>
        </w:numPr>
        <w:tabs>
          <w:tab w:val="num" w:pos="360"/>
        </w:tabs>
        <w:spacing w:before="0" w:after="100" w:line="252" w:lineRule="auto"/>
        <w:rPr>
          <w:rFonts w:asciiTheme="majorHAnsi" w:eastAsia="MS Mincho" w:hAnsiTheme="majorHAnsi" w:cstheme="majorHAnsi"/>
          <w:color w:val="000000"/>
          <w:lang w:bidi="ar-SA"/>
        </w:rPr>
      </w:pPr>
      <w:r>
        <w:rPr>
          <w:rFonts w:asciiTheme="majorHAnsi" w:eastAsia="MS Mincho" w:hAnsiTheme="majorHAnsi" w:cstheme="majorHAnsi"/>
          <w:color w:val="000000"/>
          <w:lang w:bidi="ar-SA"/>
        </w:rPr>
        <w:t>T</w:t>
      </w:r>
      <w:r w:rsidRPr="005956DF">
        <w:rPr>
          <w:rFonts w:asciiTheme="majorHAnsi" w:eastAsia="MS Mincho" w:hAnsiTheme="majorHAnsi" w:cstheme="majorHAnsi"/>
          <w:color w:val="000000"/>
          <w:lang w:bidi="ar-SA"/>
        </w:rPr>
        <w:t>he August 26</w:t>
      </w:r>
      <w:r>
        <w:rPr>
          <w:rFonts w:asciiTheme="majorHAnsi" w:eastAsia="MS Mincho" w:hAnsiTheme="majorHAnsi" w:cstheme="majorHAnsi"/>
          <w:color w:val="000000"/>
          <w:lang w:bidi="ar-SA"/>
        </w:rPr>
        <w:t xml:space="preserve"> </w:t>
      </w:r>
      <w:r w:rsidR="00BE4BA5" w:rsidRPr="005956DF">
        <w:rPr>
          <w:rFonts w:asciiTheme="majorHAnsi" w:eastAsia="MS Mincho" w:hAnsiTheme="majorHAnsi" w:cstheme="majorHAnsi"/>
          <w:bCs/>
          <w:color w:val="000000"/>
          <w:lang w:bidi="ar-SA"/>
        </w:rPr>
        <w:t xml:space="preserve">Urban Legislative </w:t>
      </w:r>
      <w:r w:rsidR="00D17D7A" w:rsidRPr="005956DF">
        <w:rPr>
          <w:rFonts w:asciiTheme="majorHAnsi" w:eastAsia="MS Mincho" w:hAnsiTheme="majorHAnsi" w:cstheme="majorHAnsi"/>
          <w:bCs/>
          <w:color w:val="000000"/>
          <w:lang w:bidi="ar-SA"/>
        </w:rPr>
        <w:t>Summit</w:t>
      </w:r>
      <w:r>
        <w:rPr>
          <w:rFonts w:asciiTheme="majorHAnsi" w:eastAsia="MS Mincho" w:hAnsiTheme="majorHAnsi" w:cstheme="majorHAnsi"/>
          <w:bCs/>
          <w:color w:val="000000"/>
          <w:lang w:bidi="ar-SA"/>
        </w:rPr>
        <w:t>,</w:t>
      </w:r>
      <w:r w:rsidR="00D17D7A" w:rsidRPr="005956DF">
        <w:rPr>
          <w:rFonts w:asciiTheme="majorHAnsi" w:eastAsia="MS Mincho" w:hAnsiTheme="majorHAnsi" w:cstheme="majorHAnsi"/>
          <w:bCs/>
          <w:color w:val="000000"/>
          <w:lang w:bidi="ar-SA"/>
        </w:rPr>
        <w:t xml:space="preserve"> </w:t>
      </w:r>
      <w:r>
        <w:rPr>
          <w:rFonts w:asciiTheme="majorHAnsi" w:eastAsia="MS Mincho" w:hAnsiTheme="majorHAnsi" w:cstheme="majorHAnsi"/>
          <w:bCs/>
          <w:color w:val="000000"/>
          <w:lang w:bidi="ar-SA"/>
        </w:rPr>
        <w:t xml:space="preserve">facilitated by MIAC </w:t>
      </w:r>
      <w:r w:rsidR="00BE4BA5" w:rsidRPr="005956DF">
        <w:rPr>
          <w:rFonts w:asciiTheme="majorHAnsi" w:eastAsia="MS Mincho" w:hAnsiTheme="majorHAnsi" w:cstheme="majorHAnsi"/>
          <w:color w:val="000000"/>
          <w:lang w:bidi="ar-SA"/>
        </w:rPr>
        <w:t xml:space="preserve">by </w:t>
      </w:r>
      <w:r w:rsidR="004242B6">
        <w:rPr>
          <w:rFonts w:asciiTheme="majorHAnsi" w:eastAsia="MS Mincho" w:hAnsiTheme="majorHAnsi" w:cstheme="majorHAnsi"/>
          <w:color w:val="000000"/>
          <w:lang w:bidi="ar-SA"/>
        </w:rPr>
        <w:t xml:space="preserve">leading the planning team, </w:t>
      </w:r>
      <w:r w:rsidR="00BE4BA5" w:rsidRPr="005956DF">
        <w:rPr>
          <w:rFonts w:asciiTheme="majorHAnsi" w:eastAsia="MS Mincho" w:hAnsiTheme="majorHAnsi" w:cstheme="majorHAnsi"/>
          <w:color w:val="000000"/>
          <w:lang w:bidi="ar-SA"/>
        </w:rPr>
        <w:t>developing the agenda, opening and</w:t>
      </w:r>
      <w:r w:rsidR="00D17D7A" w:rsidRPr="005956DF">
        <w:rPr>
          <w:rFonts w:asciiTheme="majorHAnsi" w:eastAsia="MS Mincho" w:hAnsiTheme="majorHAnsi" w:cstheme="majorHAnsi"/>
          <w:color w:val="000000"/>
          <w:lang w:bidi="ar-SA"/>
        </w:rPr>
        <w:t xml:space="preserve"> </w:t>
      </w:r>
      <w:r w:rsidR="00BE4BA5" w:rsidRPr="005956DF">
        <w:rPr>
          <w:rFonts w:asciiTheme="majorHAnsi" w:eastAsia="MS Mincho" w:hAnsiTheme="majorHAnsi" w:cstheme="majorHAnsi"/>
          <w:color w:val="000000"/>
          <w:lang w:bidi="ar-SA"/>
        </w:rPr>
        <w:t>grounding materials, a 15-minute overview of the legislative process, bill life-cycle panel prompts, public-safety breakout questions, and closing remarks. The event was designed to connect urban Native organizations, legislators, and state agencies before the 2027 session.</w:t>
      </w:r>
    </w:p>
    <w:p w14:paraId="46B70292" w14:textId="63FA5811" w:rsidR="00BE4BA5" w:rsidRPr="005956DF" w:rsidRDefault="00BE4BA5" w:rsidP="005956DF">
      <w:pPr>
        <w:pStyle w:val="ListParagraph"/>
        <w:numPr>
          <w:ilvl w:val="0"/>
          <w:numId w:val="24"/>
        </w:numPr>
        <w:tabs>
          <w:tab w:val="num" w:pos="360"/>
        </w:tabs>
        <w:spacing w:before="0" w:after="100" w:line="252" w:lineRule="auto"/>
        <w:rPr>
          <w:rFonts w:asciiTheme="majorHAnsi" w:eastAsia="MS Mincho" w:hAnsiTheme="majorHAnsi" w:cstheme="majorHAnsi"/>
          <w:bCs/>
          <w:color w:val="000000"/>
          <w:lang w:bidi="ar-SA"/>
        </w:rPr>
      </w:pPr>
      <w:r w:rsidRPr="004242B6">
        <w:rPr>
          <w:rFonts w:asciiTheme="majorHAnsi" w:eastAsia="MS Mincho" w:hAnsiTheme="majorHAnsi" w:cstheme="majorHAnsi"/>
          <w:b/>
          <w:color w:val="000000"/>
          <w:lang w:bidi="ar-SA"/>
        </w:rPr>
        <w:lastRenderedPageBreak/>
        <w:t xml:space="preserve">Governor's Annual Tribal </w:t>
      </w:r>
      <w:r w:rsidR="005956DF" w:rsidRPr="004242B6">
        <w:rPr>
          <w:rFonts w:asciiTheme="majorHAnsi" w:eastAsia="MS Mincho" w:hAnsiTheme="majorHAnsi" w:cstheme="majorHAnsi"/>
          <w:b/>
          <w:color w:val="000000"/>
          <w:lang w:bidi="ar-SA"/>
        </w:rPr>
        <w:t xml:space="preserve">Summit </w:t>
      </w:r>
      <w:r w:rsidR="005956DF" w:rsidRPr="005956DF">
        <w:rPr>
          <w:rFonts w:asciiTheme="majorHAnsi" w:eastAsia="MS Mincho" w:hAnsiTheme="majorHAnsi" w:cstheme="majorHAnsi"/>
          <w:bCs/>
          <w:color w:val="000000"/>
          <w:lang w:bidi="ar-SA"/>
        </w:rPr>
        <w:t>Developed</w:t>
      </w:r>
      <w:r w:rsidRPr="005956DF">
        <w:rPr>
          <w:rFonts w:asciiTheme="majorHAnsi" w:eastAsia="MS Mincho" w:hAnsiTheme="majorHAnsi" w:cstheme="majorHAnsi"/>
          <w:bCs/>
          <w:color w:val="000000"/>
          <w:lang w:bidi="ar-SA"/>
        </w:rPr>
        <w:t xml:space="preserve"> a draft agenda for October 15 that centers updates from all 11 Tribal Nations and includes structured discussion of post-election transition, continuity, and the importance of preserving established government-to-government relationships.</w:t>
      </w:r>
    </w:p>
    <w:p w14:paraId="75EA7ED7" w14:textId="3494BE9F" w:rsidR="00BE4BA5" w:rsidRPr="005956DF" w:rsidRDefault="00BE4BA5" w:rsidP="005956DF">
      <w:pPr>
        <w:pStyle w:val="ListParagraph"/>
        <w:numPr>
          <w:ilvl w:val="0"/>
          <w:numId w:val="24"/>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Cs/>
          <w:color w:val="000000"/>
          <w:lang w:bidi="ar-SA"/>
        </w:rPr>
        <w:t xml:space="preserve">Agency accountability and </w:t>
      </w:r>
      <w:r w:rsidR="005956DF" w:rsidRPr="005956DF">
        <w:rPr>
          <w:rFonts w:asciiTheme="majorHAnsi" w:eastAsia="MS Mincho" w:hAnsiTheme="majorHAnsi" w:cstheme="majorHAnsi"/>
          <w:bCs/>
          <w:color w:val="000000"/>
          <w:lang w:bidi="ar-SA"/>
        </w:rPr>
        <w:t>transition Developed</w:t>
      </w:r>
      <w:r w:rsidRPr="005956DF">
        <w:rPr>
          <w:rFonts w:asciiTheme="majorHAnsi" w:eastAsia="MS Mincho" w:hAnsiTheme="majorHAnsi" w:cstheme="majorHAnsi"/>
          <w:bCs/>
          <w:color w:val="000000"/>
          <w:lang w:bidi="ar-SA"/>
        </w:rPr>
        <w:t xml:space="preserve"> </w:t>
      </w:r>
      <w:r w:rsidRPr="005956DF">
        <w:rPr>
          <w:rFonts w:asciiTheme="majorHAnsi" w:eastAsia="MS Mincho" w:hAnsiTheme="majorHAnsi" w:cstheme="majorHAnsi"/>
          <w:color w:val="000000"/>
          <w:lang w:bidi="ar-SA"/>
        </w:rPr>
        <w:t>a quarterly reporting framework asking state agencies for Tribal-State Relations Training participation counts, current consultation policies, and post-election continuity plans. The information will help the Executive Board identify gaps and track progress across agencies.</w:t>
      </w:r>
    </w:p>
    <w:p w14:paraId="4010FC36" w14:textId="5F43A587" w:rsidR="00BE4BA5" w:rsidRPr="005956DF" w:rsidRDefault="00BE4BA5" w:rsidP="005956DF">
      <w:pPr>
        <w:pStyle w:val="ListParagraph"/>
        <w:numPr>
          <w:ilvl w:val="0"/>
          <w:numId w:val="24"/>
        </w:numPr>
        <w:tabs>
          <w:tab w:val="num" w:pos="360"/>
        </w:tabs>
        <w:spacing w:before="0" w:after="100" w:line="252" w:lineRule="auto"/>
        <w:rPr>
          <w:rFonts w:asciiTheme="majorHAnsi" w:eastAsia="MS Mincho" w:hAnsiTheme="majorHAnsi" w:cstheme="majorHAnsi"/>
          <w:b/>
          <w:color w:val="000000"/>
          <w:lang w:bidi="ar-SA"/>
        </w:rPr>
      </w:pPr>
      <w:r w:rsidRPr="005956DF">
        <w:rPr>
          <w:rFonts w:asciiTheme="majorHAnsi" w:eastAsia="MS Mincho" w:hAnsiTheme="majorHAnsi" w:cstheme="majorHAnsi"/>
          <w:bCs/>
          <w:color w:val="000000"/>
          <w:lang w:bidi="ar-SA"/>
        </w:rPr>
        <w:t xml:space="preserve">Tribal relations </w:t>
      </w:r>
      <w:r w:rsidR="005956DF" w:rsidRPr="005956DF">
        <w:rPr>
          <w:rFonts w:asciiTheme="majorHAnsi" w:eastAsia="MS Mincho" w:hAnsiTheme="majorHAnsi" w:cstheme="majorHAnsi"/>
          <w:bCs/>
          <w:color w:val="000000"/>
          <w:lang w:bidi="ar-SA"/>
        </w:rPr>
        <w:t>workforce Prepared</w:t>
      </w:r>
      <w:r w:rsidRPr="005956DF">
        <w:rPr>
          <w:rFonts w:asciiTheme="majorHAnsi" w:eastAsia="MS Mincho" w:hAnsiTheme="majorHAnsi" w:cstheme="majorHAnsi"/>
          <w:bCs/>
          <w:color w:val="000000"/>
          <w:lang w:bidi="ar-SA"/>
        </w:rPr>
        <w:t xml:space="preserve"> a proposal for a statewide Tribal Relations job family and a MAPE-MMB working group to address inconsistent classifications, compensation, competencies, recruitment, retention, and career pathways for professionals responsible for government-to-government work.</w:t>
      </w:r>
    </w:p>
    <w:p w14:paraId="66A87211" w14:textId="6005701D" w:rsidR="00BE4BA5" w:rsidRPr="005956DF" w:rsidRDefault="00BE4BA5" w:rsidP="005956DF">
      <w:pPr>
        <w:pStyle w:val="ListParagraph"/>
        <w:numPr>
          <w:ilvl w:val="0"/>
          <w:numId w:val="24"/>
        </w:numPr>
        <w:tabs>
          <w:tab w:val="num" w:pos="360"/>
        </w:tabs>
        <w:spacing w:before="0" w:after="100" w:line="252" w:lineRule="auto"/>
        <w:rPr>
          <w:rFonts w:asciiTheme="majorHAnsi" w:eastAsia="MS Mincho" w:hAnsiTheme="majorHAnsi" w:cstheme="majorHAnsi"/>
          <w:b/>
          <w:color w:val="000000"/>
          <w:lang w:bidi="ar-SA"/>
        </w:rPr>
      </w:pPr>
      <w:r w:rsidRPr="005956DF">
        <w:rPr>
          <w:rFonts w:asciiTheme="majorHAnsi" w:eastAsia="MS Mincho" w:hAnsiTheme="majorHAnsi" w:cstheme="majorHAnsi"/>
          <w:bCs/>
          <w:color w:val="000000"/>
          <w:lang w:bidi="ar-SA"/>
        </w:rPr>
        <w:t xml:space="preserve">Legislative access and </w:t>
      </w:r>
      <w:r w:rsidR="005956DF" w:rsidRPr="005956DF">
        <w:rPr>
          <w:rFonts w:asciiTheme="majorHAnsi" w:eastAsia="MS Mincho" w:hAnsiTheme="majorHAnsi" w:cstheme="majorHAnsi"/>
          <w:bCs/>
          <w:color w:val="000000"/>
          <w:lang w:bidi="ar-SA"/>
        </w:rPr>
        <w:t>relationships Continued</w:t>
      </w:r>
      <w:r w:rsidRPr="005956DF">
        <w:rPr>
          <w:rFonts w:asciiTheme="majorHAnsi" w:eastAsia="MS Mincho" w:hAnsiTheme="majorHAnsi" w:cstheme="majorHAnsi"/>
          <w:bCs/>
          <w:color w:val="000000"/>
          <w:lang w:bidi="ar-SA"/>
        </w:rPr>
        <w:t xml:space="preserve"> preparing for legislative office hours and maintaining working relationships so legislators and staff can obtain timely technical assistance on Tribal sovereignty, consultation, treaty rights, and the practical effects of proposed legislation.</w:t>
      </w:r>
    </w:p>
    <w:p w14:paraId="672CD6D5" w14:textId="77777777" w:rsidR="00BE4BA5" w:rsidRPr="00D17D7A" w:rsidRDefault="00BE4BA5" w:rsidP="00BE4BA5">
      <w:pPr>
        <w:keepNext/>
        <w:keepLines/>
        <w:spacing w:before="240" w:after="100" w:line="276" w:lineRule="auto"/>
        <w:outlineLvl w:val="0"/>
        <w:rPr>
          <w:rFonts w:asciiTheme="majorHAnsi" w:eastAsia="MS Gothic" w:hAnsiTheme="majorHAnsi" w:cstheme="majorHAnsi"/>
          <w:b/>
          <w:bCs/>
          <w:color w:val="000000"/>
          <w:sz w:val="30"/>
          <w:szCs w:val="28"/>
          <w:lang w:bidi="ar-SA"/>
        </w:rPr>
      </w:pPr>
      <w:r w:rsidRPr="00D17D7A">
        <w:rPr>
          <w:rFonts w:asciiTheme="majorHAnsi" w:eastAsia="MS Gothic" w:hAnsiTheme="majorHAnsi" w:cstheme="majorHAnsi"/>
          <w:b/>
          <w:bCs/>
          <w:color w:val="000000"/>
          <w:sz w:val="30"/>
          <w:szCs w:val="28"/>
          <w:lang w:bidi="ar-SA"/>
        </w:rPr>
        <w:t>Executive Board and Organizational Support</w:t>
      </w:r>
    </w:p>
    <w:p w14:paraId="3E3A8F5B" w14:textId="2787D8BB" w:rsidR="00BE4BA5" w:rsidRPr="005956DF" w:rsidRDefault="00BE4BA5" w:rsidP="005956DF">
      <w:pPr>
        <w:pStyle w:val="ListParagraph"/>
        <w:numPr>
          <w:ilvl w:val="0"/>
          <w:numId w:val="27"/>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Quarterly meeting </w:t>
      </w:r>
      <w:r w:rsidR="005956DF" w:rsidRPr="005956DF">
        <w:rPr>
          <w:rFonts w:asciiTheme="majorHAnsi" w:eastAsia="MS Mincho" w:hAnsiTheme="majorHAnsi" w:cstheme="majorHAnsi"/>
          <w:b/>
          <w:color w:val="000000"/>
          <w:lang w:bidi="ar-SA"/>
        </w:rPr>
        <w:t>preparation Prepared</w:t>
      </w:r>
      <w:r w:rsidRPr="005956DF">
        <w:rPr>
          <w:rFonts w:asciiTheme="majorHAnsi" w:eastAsia="MS Mincho" w:hAnsiTheme="majorHAnsi" w:cstheme="majorHAnsi"/>
          <w:color w:val="000000"/>
          <w:lang w:bidi="ar-SA"/>
        </w:rPr>
        <w:t xml:space="preserve"> this legislative report and supported development of meeting materials, policy recommendations, reporting expectations, and follow-up tracking for the September Executive Board meeting.</w:t>
      </w:r>
    </w:p>
    <w:p w14:paraId="679A7810" w14:textId="2C73870C" w:rsidR="00BE4BA5" w:rsidRPr="005956DF" w:rsidRDefault="00B16A6B" w:rsidP="005956DF">
      <w:pPr>
        <w:pStyle w:val="ListParagraph"/>
        <w:numPr>
          <w:ilvl w:val="0"/>
          <w:numId w:val="26"/>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Five-Year</w:t>
      </w:r>
      <w:r w:rsidR="00BE4BA5" w:rsidRPr="005956DF">
        <w:rPr>
          <w:rFonts w:asciiTheme="majorHAnsi" w:eastAsia="MS Mincho" w:hAnsiTheme="majorHAnsi" w:cstheme="majorHAnsi"/>
          <w:b/>
          <w:color w:val="000000"/>
          <w:lang w:bidi="ar-SA"/>
        </w:rPr>
        <w:t xml:space="preserve"> Review and annual </w:t>
      </w:r>
      <w:r w:rsidR="005956DF" w:rsidRPr="005956DF">
        <w:rPr>
          <w:rFonts w:asciiTheme="majorHAnsi" w:eastAsia="MS Mincho" w:hAnsiTheme="majorHAnsi" w:cstheme="majorHAnsi"/>
          <w:b/>
          <w:color w:val="000000"/>
          <w:lang w:bidi="ar-SA"/>
        </w:rPr>
        <w:t>reporting Continued</w:t>
      </w:r>
      <w:r w:rsidR="00BE4BA5" w:rsidRPr="005956DF">
        <w:rPr>
          <w:rFonts w:asciiTheme="majorHAnsi" w:eastAsia="MS Mincho" w:hAnsiTheme="majorHAnsi" w:cstheme="majorHAnsi"/>
          <w:color w:val="000000"/>
          <w:lang w:bidi="ar-SA"/>
        </w:rPr>
        <w:t xml:space="preserve"> work on MIAC's Five-Year Review, legislative history, statutory crosswalk, agency accomplishments, workload trends, and future policy and capacity needs. This work is intended to support the annual report and future budget requests.</w:t>
      </w:r>
    </w:p>
    <w:p w14:paraId="2BFCEE22" w14:textId="267B1956" w:rsidR="00BE4BA5" w:rsidRPr="005956DF" w:rsidRDefault="00BE4BA5" w:rsidP="005956DF">
      <w:pPr>
        <w:pStyle w:val="ListParagraph"/>
        <w:numPr>
          <w:ilvl w:val="0"/>
          <w:numId w:val="25"/>
        </w:numPr>
        <w:tabs>
          <w:tab w:val="num" w:pos="360"/>
        </w:tabs>
        <w:spacing w:before="0" w:after="10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b/>
          <w:color w:val="000000"/>
          <w:lang w:bidi="ar-SA"/>
        </w:rPr>
        <w:t xml:space="preserve">Legislative program </w:t>
      </w:r>
      <w:r w:rsidR="005956DF" w:rsidRPr="005956DF">
        <w:rPr>
          <w:rFonts w:asciiTheme="majorHAnsi" w:eastAsia="MS Mincho" w:hAnsiTheme="majorHAnsi" w:cstheme="majorHAnsi"/>
          <w:b/>
          <w:color w:val="000000"/>
          <w:lang w:bidi="ar-SA"/>
        </w:rPr>
        <w:t>administration Organized</w:t>
      </w:r>
      <w:r w:rsidRPr="005956DF">
        <w:rPr>
          <w:rFonts w:asciiTheme="majorHAnsi" w:eastAsia="MS Mincho" w:hAnsiTheme="majorHAnsi" w:cstheme="majorHAnsi"/>
          <w:color w:val="000000"/>
          <w:lang w:bidi="ar-SA"/>
        </w:rPr>
        <w:t xml:space="preserve"> the Legislative Director's responsibilities into recurring briefings, bill and policy analysis, Executive Director support, Board support, government relations, and measurable deliverables through December 2026.</w:t>
      </w:r>
    </w:p>
    <w:p w14:paraId="21484C8B" w14:textId="77777777" w:rsidR="00BE4BA5" w:rsidRPr="00D17D7A" w:rsidRDefault="00BE4BA5" w:rsidP="00BE4BA5">
      <w:pPr>
        <w:keepNext/>
        <w:keepLines/>
        <w:spacing w:before="240" w:after="100" w:line="276" w:lineRule="auto"/>
        <w:outlineLvl w:val="0"/>
        <w:rPr>
          <w:rFonts w:asciiTheme="majorHAnsi" w:eastAsia="MS Gothic" w:hAnsiTheme="majorHAnsi" w:cstheme="majorHAnsi"/>
          <w:b/>
          <w:bCs/>
          <w:color w:val="000000"/>
          <w:sz w:val="30"/>
          <w:szCs w:val="28"/>
          <w:lang w:bidi="ar-SA"/>
        </w:rPr>
      </w:pPr>
      <w:r w:rsidRPr="00D17D7A">
        <w:rPr>
          <w:rFonts w:asciiTheme="majorHAnsi" w:eastAsia="MS Gothic" w:hAnsiTheme="majorHAnsi" w:cstheme="majorHAnsi"/>
          <w:b/>
          <w:bCs/>
          <w:color w:val="000000"/>
          <w:sz w:val="30"/>
          <w:szCs w:val="28"/>
          <w:lang w:bidi="ar-SA"/>
        </w:rPr>
        <w:t>Next Quarter Priorities</w:t>
      </w:r>
    </w:p>
    <w:p w14:paraId="6DAD4131" w14:textId="4D547AC5" w:rsidR="00BE4BA5" w:rsidRPr="005956DF" w:rsidRDefault="00BE4BA5" w:rsidP="005956DF">
      <w:pPr>
        <w:pStyle w:val="ListParagraph"/>
        <w:numPr>
          <w:ilvl w:val="0"/>
          <w:numId w:val="25"/>
        </w:numPr>
        <w:tabs>
          <w:tab w:val="num" w:pos="360"/>
        </w:tabs>
        <w:spacing w:before="0" w:after="8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color w:val="000000"/>
          <w:lang w:bidi="ar-SA"/>
        </w:rPr>
        <w:t>Obtain Executive Board direction on the 2027 legislative agenda and proposed statutory changes.</w:t>
      </w:r>
    </w:p>
    <w:p w14:paraId="2AAAE6B2" w14:textId="7E887968" w:rsidR="00BE4BA5" w:rsidRPr="005956DF" w:rsidRDefault="00BE4BA5" w:rsidP="005956DF">
      <w:pPr>
        <w:pStyle w:val="ListParagraph"/>
        <w:numPr>
          <w:ilvl w:val="0"/>
          <w:numId w:val="25"/>
        </w:numPr>
        <w:tabs>
          <w:tab w:val="num" w:pos="360"/>
        </w:tabs>
        <w:spacing w:before="0" w:after="8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color w:val="000000"/>
          <w:lang w:bidi="ar-SA"/>
        </w:rPr>
        <w:t>Complete fiscal analysis and move approved concepts to the Revisor, legislative counsel, potential authors, and relevant committee staff.</w:t>
      </w:r>
    </w:p>
    <w:p w14:paraId="7960F1BC" w14:textId="0FFCEB2D" w:rsidR="00BE4BA5" w:rsidRPr="005956DF" w:rsidRDefault="00BE4BA5" w:rsidP="005956DF">
      <w:pPr>
        <w:pStyle w:val="ListParagraph"/>
        <w:numPr>
          <w:ilvl w:val="0"/>
          <w:numId w:val="25"/>
        </w:numPr>
        <w:tabs>
          <w:tab w:val="num" w:pos="360"/>
        </w:tabs>
        <w:spacing w:before="0" w:after="8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color w:val="000000"/>
          <w:lang w:bidi="ar-SA"/>
        </w:rPr>
        <w:t>Complete the Five-Year Review, statutory crosswalk, annual reporting framework, and budget recommendations.</w:t>
      </w:r>
    </w:p>
    <w:p w14:paraId="1726A68C" w14:textId="075916A0" w:rsidR="00BE4BA5" w:rsidRPr="005956DF" w:rsidRDefault="00BE4BA5" w:rsidP="005956DF">
      <w:pPr>
        <w:pStyle w:val="ListParagraph"/>
        <w:numPr>
          <w:ilvl w:val="0"/>
          <w:numId w:val="25"/>
        </w:numPr>
        <w:tabs>
          <w:tab w:val="num" w:pos="360"/>
        </w:tabs>
        <w:spacing w:before="0" w:after="8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color w:val="000000"/>
          <w:lang w:bidi="ar-SA"/>
        </w:rPr>
        <w:t>Continue weekly legal and policy monitoring and coordinate follow-up with affected Tribal Nations on federal and state deadlines.</w:t>
      </w:r>
    </w:p>
    <w:p w14:paraId="40CFF60B" w14:textId="17E86AD3" w:rsidR="00BE4BA5" w:rsidRPr="005956DF" w:rsidRDefault="00BE4BA5" w:rsidP="005956DF">
      <w:pPr>
        <w:pStyle w:val="ListParagraph"/>
        <w:numPr>
          <w:ilvl w:val="0"/>
          <w:numId w:val="25"/>
        </w:numPr>
        <w:tabs>
          <w:tab w:val="num" w:pos="360"/>
        </w:tabs>
        <w:spacing w:before="0" w:after="160" w:line="252" w:lineRule="auto"/>
        <w:rPr>
          <w:rFonts w:asciiTheme="majorHAnsi" w:eastAsia="MS Mincho" w:hAnsiTheme="majorHAnsi" w:cstheme="majorHAnsi"/>
          <w:color w:val="000000"/>
          <w:lang w:bidi="ar-SA"/>
        </w:rPr>
      </w:pPr>
      <w:r w:rsidRPr="005956DF">
        <w:rPr>
          <w:rFonts w:asciiTheme="majorHAnsi" w:eastAsia="MS Mincho" w:hAnsiTheme="majorHAnsi" w:cstheme="majorHAnsi"/>
          <w:color w:val="000000"/>
          <w:lang w:bidi="ar-SA"/>
        </w:rPr>
        <w:t>Develop testimony, issue briefs, and chamber office-hour schedules before the 2027 session.</w:t>
      </w:r>
    </w:p>
    <w:p w14:paraId="7D544AAC" w14:textId="77777777" w:rsidR="005956DF" w:rsidRDefault="005956DF" w:rsidP="00BE4BA5">
      <w:pPr>
        <w:spacing w:after="0" w:line="276" w:lineRule="auto"/>
        <w:rPr>
          <w:rFonts w:asciiTheme="majorHAnsi" w:eastAsia="MS Mincho" w:hAnsiTheme="majorHAnsi" w:cstheme="majorHAnsi"/>
          <w:b/>
          <w:color w:val="000000"/>
          <w:lang w:bidi="ar-SA"/>
        </w:rPr>
      </w:pPr>
    </w:p>
    <w:p w14:paraId="051ECBC8" w14:textId="4CD75E95" w:rsidR="00BE4BA5" w:rsidRPr="00D17D7A" w:rsidRDefault="00BE4BA5" w:rsidP="00BE4BA5">
      <w:pPr>
        <w:spacing w:after="0" w:line="276" w:lineRule="auto"/>
        <w:rPr>
          <w:rFonts w:asciiTheme="majorHAnsi" w:eastAsia="MS Mincho" w:hAnsiTheme="majorHAnsi" w:cstheme="majorHAnsi"/>
          <w:color w:val="000000"/>
          <w:lang w:bidi="ar-SA"/>
        </w:rPr>
      </w:pPr>
      <w:r w:rsidRPr="00D17D7A">
        <w:rPr>
          <w:rFonts w:asciiTheme="majorHAnsi" w:eastAsia="MS Mincho" w:hAnsiTheme="majorHAnsi" w:cstheme="majorHAnsi"/>
          <w:b/>
          <w:color w:val="000000"/>
          <w:lang w:bidi="ar-SA"/>
        </w:rPr>
        <w:t>Brandon Alkire</w:t>
      </w:r>
    </w:p>
    <w:p w14:paraId="097C6B96" w14:textId="77777777" w:rsidR="00BE4BA5" w:rsidRPr="00D17D7A" w:rsidRDefault="00BE4BA5" w:rsidP="00BE4BA5">
      <w:pPr>
        <w:spacing w:before="0" w:after="0" w:line="276"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21"/>
          <w:lang w:bidi="ar-SA"/>
        </w:rPr>
        <w:t>Legislative Director</w:t>
      </w:r>
    </w:p>
    <w:p w14:paraId="05380840" w14:textId="77777777" w:rsidR="00BE4BA5" w:rsidRPr="00D17D7A" w:rsidRDefault="00BE4BA5" w:rsidP="00BE4BA5">
      <w:pPr>
        <w:spacing w:before="0" w:after="0" w:line="276" w:lineRule="auto"/>
        <w:rPr>
          <w:rFonts w:asciiTheme="majorHAnsi" w:eastAsia="MS Mincho" w:hAnsiTheme="majorHAnsi" w:cstheme="majorHAnsi"/>
          <w:color w:val="000000"/>
          <w:lang w:bidi="ar-SA"/>
        </w:rPr>
      </w:pPr>
      <w:r w:rsidRPr="00D17D7A">
        <w:rPr>
          <w:rFonts w:asciiTheme="majorHAnsi" w:eastAsia="MS Mincho" w:hAnsiTheme="majorHAnsi" w:cstheme="majorHAnsi"/>
          <w:color w:val="000000"/>
          <w:sz w:val="21"/>
          <w:lang w:bidi="ar-SA"/>
        </w:rPr>
        <w:t>Minnesota Indian Affairs Council</w:t>
      </w:r>
    </w:p>
    <w:p w14:paraId="799F6DE4" w14:textId="3B3B28A1" w:rsidR="009E6BAA" w:rsidRPr="00D17D7A" w:rsidRDefault="009E6BAA" w:rsidP="009E6BAA">
      <w:pPr>
        <w:spacing w:before="0" w:after="0"/>
        <w:rPr>
          <w:rFonts w:asciiTheme="majorHAnsi" w:hAnsiTheme="majorHAnsi" w:cstheme="majorHAnsi"/>
        </w:rPr>
      </w:pPr>
    </w:p>
    <w:sectPr w:rsidR="009E6BAA" w:rsidRPr="00D17D7A" w:rsidSect="00BE4BA5">
      <w:headerReference w:type="first" r:id="rId8"/>
      <w:footerReference w:type="first" r:id="rId9"/>
      <w:pgSz w:w="12240" w:h="15840" w:code="1"/>
      <w:pgMar w:top="1080" w:right="1080" w:bottom="1440" w:left="1080" w:header="0"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494C1" w14:textId="77777777" w:rsidR="003F5C1B" w:rsidRDefault="003F5C1B">
      <w:pPr>
        <w:spacing w:before="0" w:after="0" w:line="240" w:lineRule="auto"/>
      </w:pPr>
      <w:r>
        <w:separator/>
      </w:r>
    </w:p>
  </w:endnote>
  <w:endnote w:type="continuationSeparator" w:id="0">
    <w:p w14:paraId="1DD76EDF" w14:textId="77777777" w:rsidR="003F5C1B" w:rsidRDefault="003F5C1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301162"/>
      <w:docPartObj>
        <w:docPartGallery w:val="Page Numbers (Bottom of Page)"/>
        <w:docPartUnique/>
      </w:docPartObj>
    </w:sdtPr>
    <w:sdtEndPr>
      <w:rPr>
        <w:color w:val="7F7F7F" w:themeColor="background1" w:themeShade="7F"/>
        <w:spacing w:val="60"/>
      </w:rPr>
    </w:sdtEndPr>
    <w:sdtContent>
      <w:p w14:paraId="1CC492DE" w14:textId="451B4150" w:rsidR="00E74217" w:rsidRDefault="00E7421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CE2E49B" w14:textId="77777777" w:rsidR="00E74217" w:rsidRDefault="00E74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F42FC" w14:textId="77777777" w:rsidR="003F5C1B" w:rsidRDefault="003F5C1B">
      <w:pPr>
        <w:spacing w:before="0" w:after="0" w:line="240" w:lineRule="auto"/>
      </w:pPr>
      <w:r>
        <w:separator/>
      </w:r>
    </w:p>
  </w:footnote>
  <w:footnote w:type="continuationSeparator" w:id="0">
    <w:p w14:paraId="3BD73C3A" w14:textId="77777777" w:rsidR="003F5C1B" w:rsidRDefault="003F5C1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1E724" w14:textId="13ADB3E9" w:rsidR="00BE4BA5" w:rsidRDefault="00BE4BA5">
    <w:pPr>
      <w:pStyle w:val="Header"/>
    </w:pPr>
  </w:p>
  <w:p w14:paraId="431839F9" w14:textId="77777777" w:rsidR="00BE4BA5" w:rsidRDefault="00BE4BA5">
    <w:pPr>
      <w:pStyle w:val="Header"/>
    </w:pPr>
  </w:p>
  <w:p w14:paraId="7F27CB8F" w14:textId="2CEAB46B" w:rsidR="00BE4BA5" w:rsidRDefault="00BE4BA5">
    <w:pPr>
      <w:pStyle w:val="Header"/>
    </w:pPr>
    <w:r w:rsidRPr="007B20CA">
      <w:rPr>
        <w:noProof/>
        <w:sz w:val="28"/>
        <w:szCs w:val="28"/>
        <w:lang w:bidi="ar-SA"/>
      </w:rPr>
      <w:drawing>
        <wp:anchor distT="0" distB="0" distL="114300" distR="114300" simplePos="0" relativeHeight="251659264" behindDoc="0" locked="0" layoutInCell="1" allowOverlap="1" wp14:anchorId="4AEFE135" wp14:editId="30F1EA2C">
          <wp:simplePos x="0" y="0"/>
          <wp:positionH relativeFrom="margin">
            <wp:align>center</wp:align>
          </wp:positionH>
          <wp:positionV relativeFrom="paragraph">
            <wp:posOffset>8255</wp:posOffset>
          </wp:positionV>
          <wp:extent cx="2743200" cy="704169"/>
          <wp:effectExtent l="0" t="0" r="0" b="1270"/>
          <wp:wrapNone/>
          <wp:docPr id="3" name="Picture 3"/>
          <wp:cNvGraphicFramePr/>
          <a:graphic xmlns:a="http://schemas.openxmlformats.org/drawingml/2006/main">
            <a:graphicData uri="http://schemas.openxmlformats.org/drawingml/2006/picture">
              <pic:pic xmlns:pic="http://schemas.openxmlformats.org/drawingml/2006/picture">
                <pic:nvPicPr>
                  <pic:cNvPr id="3" name="Picture 3" descr="Placeholder logo"/>
                  <pic:cNvPicPr/>
                </pic:nvPicPr>
                <pic:blipFill>
                  <a:blip r:embed="rId1">
                    <a:extLst>
                      <a:ext uri="{28A0092B-C50C-407E-A947-70E740481C1C}">
                        <a14:useLocalDpi xmlns:a14="http://schemas.microsoft.com/office/drawing/2010/main" val="0"/>
                      </a:ext>
                    </a:extLst>
                  </a:blip>
                  <a:stretch>
                    <a:fillRect/>
                  </a:stretch>
                </pic:blipFill>
                <pic:spPr>
                  <a:xfrm>
                    <a:off x="0" y="0"/>
                    <a:ext cx="2743200" cy="704169"/>
                  </a:xfrm>
                  <a:prstGeom prst="rect">
                    <a:avLst/>
                  </a:prstGeom>
                </pic:spPr>
              </pic:pic>
            </a:graphicData>
          </a:graphic>
        </wp:anchor>
      </w:drawing>
    </w:r>
  </w:p>
  <w:p w14:paraId="3F08E2B6" w14:textId="437049CA" w:rsidR="00BE4BA5" w:rsidRDefault="00BE4BA5">
    <w:pPr>
      <w:pStyle w:val="Header"/>
    </w:pPr>
  </w:p>
  <w:p w14:paraId="1782E591" w14:textId="77777777" w:rsidR="00BE4BA5" w:rsidRDefault="00BE4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60E53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B14E1"/>
    <w:multiLevelType w:val="hybridMultilevel"/>
    <w:tmpl w:val="52305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B4431"/>
    <w:multiLevelType w:val="hybridMultilevel"/>
    <w:tmpl w:val="90D6E9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67144"/>
    <w:multiLevelType w:val="hybridMultilevel"/>
    <w:tmpl w:val="F38490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BF660A"/>
    <w:multiLevelType w:val="hybridMultilevel"/>
    <w:tmpl w:val="CBE832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D771C9"/>
    <w:multiLevelType w:val="hybridMultilevel"/>
    <w:tmpl w:val="074EAB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600872"/>
    <w:multiLevelType w:val="hybridMultilevel"/>
    <w:tmpl w:val="2D2A193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184583"/>
    <w:multiLevelType w:val="hybridMultilevel"/>
    <w:tmpl w:val="ED4C1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7D555E"/>
    <w:multiLevelType w:val="hybridMultilevel"/>
    <w:tmpl w:val="D7C41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773984"/>
    <w:multiLevelType w:val="hybridMultilevel"/>
    <w:tmpl w:val="747C5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AD0BCC"/>
    <w:multiLevelType w:val="hybridMultilevel"/>
    <w:tmpl w:val="9F3EA1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F754A6A"/>
    <w:multiLevelType w:val="hybridMultilevel"/>
    <w:tmpl w:val="2F2E84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235E96"/>
    <w:multiLevelType w:val="hybridMultilevel"/>
    <w:tmpl w:val="DFEC0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7C37DE"/>
    <w:multiLevelType w:val="hybridMultilevel"/>
    <w:tmpl w:val="E3140E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D64A84"/>
    <w:multiLevelType w:val="hybridMultilevel"/>
    <w:tmpl w:val="B77CA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6097B"/>
    <w:multiLevelType w:val="hybridMultilevel"/>
    <w:tmpl w:val="A43AC7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0D1C2D"/>
    <w:multiLevelType w:val="hybridMultilevel"/>
    <w:tmpl w:val="E59AF7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5F571A6"/>
    <w:multiLevelType w:val="hybridMultilevel"/>
    <w:tmpl w:val="8028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B739CB"/>
    <w:multiLevelType w:val="hybridMultilevel"/>
    <w:tmpl w:val="B5CE0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F0298E"/>
    <w:multiLevelType w:val="hybridMultilevel"/>
    <w:tmpl w:val="C2084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901597"/>
    <w:multiLevelType w:val="hybridMultilevel"/>
    <w:tmpl w:val="DB32B0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306445"/>
    <w:multiLevelType w:val="hybridMultilevel"/>
    <w:tmpl w:val="CDF85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4E652A"/>
    <w:multiLevelType w:val="hybridMultilevel"/>
    <w:tmpl w:val="85569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1A4786"/>
    <w:multiLevelType w:val="hybridMultilevel"/>
    <w:tmpl w:val="2272B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6A08A3"/>
    <w:multiLevelType w:val="hybridMultilevel"/>
    <w:tmpl w:val="0A54B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AE208A"/>
    <w:multiLevelType w:val="hybridMultilevel"/>
    <w:tmpl w:val="F6D28F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DA76FA2"/>
    <w:multiLevelType w:val="hybridMultilevel"/>
    <w:tmpl w:val="47005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E022C0"/>
    <w:multiLevelType w:val="hybridMultilevel"/>
    <w:tmpl w:val="93F831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50E766C"/>
    <w:multiLevelType w:val="hybridMultilevel"/>
    <w:tmpl w:val="E3283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2E0F19"/>
    <w:multiLevelType w:val="hybridMultilevel"/>
    <w:tmpl w:val="B4BE597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6CE7C43"/>
    <w:multiLevelType w:val="hybridMultilevel"/>
    <w:tmpl w:val="E244D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8226265">
    <w:abstractNumId w:val="7"/>
  </w:num>
  <w:num w:numId="2" w16cid:durableId="549849215">
    <w:abstractNumId w:val="6"/>
  </w:num>
  <w:num w:numId="3" w16cid:durableId="273292874">
    <w:abstractNumId w:val="30"/>
  </w:num>
  <w:num w:numId="4" w16cid:durableId="492187458">
    <w:abstractNumId w:val="1"/>
  </w:num>
  <w:num w:numId="5" w16cid:durableId="2042703530">
    <w:abstractNumId w:val="15"/>
  </w:num>
  <w:num w:numId="6" w16cid:durableId="446386089">
    <w:abstractNumId w:val="8"/>
  </w:num>
  <w:num w:numId="7" w16cid:durableId="1230654267">
    <w:abstractNumId w:val="20"/>
  </w:num>
  <w:num w:numId="8" w16cid:durableId="1958486112">
    <w:abstractNumId w:val="19"/>
  </w:num>
  <w:num w:numId="9" w16cid:durableId="1628583744">
    <w:abstractNumId w:val="25"/>
  </w:num>
  <w:num w:numId="10" w16cid:durableId="607856449">
    <w:abstractNumId w:val="12"/>
  </w:num>
  <w:num w:numId="11" w16cid:durableId="1067806452">
    <w:abstractNumId w:val="23"/>
  </w:num>
  <w:num w:numId="12" w16cid:durableId="1339843870">
    <w:abstractNumId w:val="2"/>
  </w:num>
  <w:num w:numId="13" w16cid:durableId="121194437">
    <w:abstractNumId w:val="5"/>
  </w:num>
  <w:num w:numId="14" w16cid:durableId="1584990782">
    <w:abstractNumId w:val="10"/>
  </w:num>
  <w:num w:numId="15" w16cid:durableId="42950708">
    <w:abstractNumId w:val="29"/>
  </w:num>
  <w:num w:numId="16" w16cid:durableId="1039355636">
    <w:abstractNumId w:val="14"/>
  </w:num>
  <w:num w:numId="17" w16cid:durableId="2146964226">
    <w:abstractNumId w:val="21"/>
  </w:num>
  <w:num w:numId="18" w16cid:durableId="1723482563">
    <w:abstractNumId w:val="4"/>
  </w:num>
  <w:num w:numId="19" w16cid:durableId="954365035">
    <w:abstractNumId w:val="27"/>
  </w:num>
  <w:num w:numId="20" w16cid:durableId="196160523">
    <w:abstractNumId w:val="24"/>
  </w:num>
  <w:num w:numId="21" w16cid:durableId="1275090725">
    <w:abstractNumId w:val="22"/>
  </w:num>
  <w:num w:numId="22" w16cid:durableId="1020204981">
    <w:abstractNumId w:val="13"/>
  </w:num>
  <w:num w:numId="23" w16cid:durableId="1683580932">
    <w:abstractNumId w:val="0"/>
    <w:lvlOverride w:ilvl="0"/>
  </w:num>
  <w:num w:numId="24" w16cid:durableId="1907909359">
    <w:abstractNumId w:val="16"/>
  </w:num>
  <w:num w:numId="25" w16cid:durableId="483546602">
    <w:abstractNumId w:val="11"/>
  </w:num>
  <w:num w:numId="26" w16cid:durableId="1796480517">
    <w:abstractNumId w:val="28"/>
  </w:num>
  <w:num w:numId="27" w16cid:durableId="1872496425">
    <w:abstractNumId w:val="26"/>
  </w:num>
  <w:num w:numId="28" w16cid:durableId="67850126">
    <w:abstractNumId w:val="17"/>
  </w:num>
  <w:num w:numId="29" w16cid:durableId="1189295640">
    <w:abstractNumId w:val="3"/>
  </w:num>
  <w:num w:numId="30" w16cid:durableId="112864130">
    <w:abstractNumId w:val="18"/>
  </w:num>
  <w:num w:numId="31" w16cid:durableId="1867980285">
    <w:abstractNumId w:val="9"/>
  </w:num>
  <w:num w:numId="32" w16cid:durableId="38537655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D5B"/>
    <w:rsid w:val="00017D6F"/>
    <w:rsid w:val="0007782D"/>
    <w:rsid w:val="000813BB"/>
    <w:rsid w:val="000B2970"/>
    <w:rsid w:val="000C2B7E"/>
    <w:rsid w:val="000D50CF"/>
    <w:rsid w:val="000E1C9E"/>
    <w:rsid w:val="001277F4"/>
    <w:rsid w:val="00145046"/>
    <w:rsid w:val="001527E9"/>
    <w:rsid w:val="0017079E"/>
    <w:rsid w:val="00191EFA"/>
    <w:rsid w:val="00194F5B"/>
    <w:rsid w:val="001A17D0"/>
    <w:rsid w:val="001A50B1"/>
    <w:rsid w:val="001A7813"/>
    <w:rsid w:val="001B3C1A"/>
    <w:rsid w:val="001C4828"/>
    <w:rsid w:val="001D207C"/>
    <w:rsid w:val="001D3F59"/>
    <w:rsid w:val="001E7C2C"/>
    <w:rsid w:val="001F40CF"/>
    <w:rsid w:val="00202905"/>
    <w:rsid w:val="0023004F"/>
    <w:rsid w:val="0023054D"/>
    <w:rsid w:val="0023247E"/>
    <w:rsid w:val="00254355"/>
    <w:rsid w:val="00262C99"/>
    <w:rsid w:val="002827A5"/>
    <w:rsid w:val="00294B8E"/>
    <w:rsid w:val="00297288"/>
    <w:rsid w:val="002A2E31"/>
    <w:rsid w:val="002A47F7"/>
    <w:rsid w:val="002B24BE"/>
    <w:rsid w:val="002C2A50"/>
    <w:rsid w:val="002D7436"/>
    <w:rsid w:val="002E3C98"/>
    <w:rsid w:val="00317583"/>
    <w:rsid w:val="0032287D"/>
    <w:rsid w:val="00326224"/>
    <w:rsid w:val="00333B21"/>
    <w:rsid w:val="0034653F"/>
    <w:rsid w:val="00354240"/>
    <w:rsid w:val="00390E07"/>
    <w:rsid w:val="003A321F"/>
    <w:rsid w:val="003B58CC"/>
    <w:rsid w:val="003C2109"/>
    <w:rsid w:val="003D448C"/>
    <w:rsid w:val="003D5F82"/>
    <w:rsid w:val="003D633D"/>
    <w:rsid w:val="003E6D7A"/>
    <w:rsid w:val="003F5C1B"/>
    <w:rsid w:val="00415548"/>
    <w:rsid w:val="00417A1B"/>
    <w:rsid w:val="004242B6"/>
    <w:rsid w:val="004279DA"/>
    <w:rsid w:val="00456308"/>
    <w:rsid w:val="00462F02"/>
    <w:rsid w:val="00465AD0"/>
    <w:rsid w:val="004A44F0"/>
    <w:rsid w:val="004A61F5"/>
    <w:rsid w:val="004B51EB"/>
    <w:rsid w:val="004B5903"/>
    <w:rsid w:val="004C653F"/>
    <w:rsid w:val="004D69DA"/>
    <w:rsid w:val="004E23F9"/>
    <w:rsid w:val="004E441C"/>
    <w:rsid w:val="004F1A99"/>
    <w:rsid w:val="004F7028"/>
    <w:rsid w:val="00521377"/>
    <w:rsid w:val="00524240"/>
    <w:rsid w:val="005344DF"/>
    <w:rsid w:val="00542188"/>
    <w:rsid w:val="00554DE7"/>
    <w:rsid w:val="005654F7"/>
    <w:rsid w:val="00570796"/>
    <w:rsid w:val="005767B5"/>
    <w:rsid w:val="005956DF"/>
    <w:rsid w:val="005966F8"/>
    <w:rsid w:val="0059717A"/>
    <w:rsid w:val="005B509B"/>
    <w:rsid w:val="005B6EEA"/>
    <w:rsid w:val="005B6F0E"/>
    <w:rsid w:val="005C0EA1"/>
    <w:rsid w:val="005E2321"/>
    <w:rsid w:val="005E7831"/>
    <w:rsid w:val="00606F0D"/>
    <w:rsid w:val="00612F53"/>
    <w:rsid w:val="006235BA"/>
    <w:rsid w:val="006248E0"/>
    <w:rsid w:val="00645881"/>
    <w:rsid w:val="00661734"/>
    <w:rsid w:val="00665DD3"/>
    <w:rsid w:val="00667079"/>
    <w:rsid w:val="00667519"/>
    <w:rsid w:val="00690067"/>
    <w:rsid w:val="006B59C7"/>
    <w:rsid w:val="006C6D34"/>
    <w:rsid w:val="006D30C8"/>
    <w:rsid w:val="006E7517"/>
    <w:rsid w:val="006F4E0B"/>
    <w:rsid w:val="00700C3F"/>
    <w:rsid w:val="00705B18"/>
    <w:rsid w:val="00725A00"/>
    <w:rsid w:val="00735096"/>
    <w:rsid w:val="00742EC9"/>
    <w:rsid w:val="00760199"/>
    <w:rsid w:val="00761A6F"/>
    <w:rsid w:val="00777103"/>
    <w:rsid w:val="007A5984"/>
    <w:rsid w:val="007A61BC"/>
    <w:rsid w:val="007B386A"/>
    <w:rsid w:val="007C39B7"/>
    <w:rsid w:val="007E03BA"/>
    <w:rsid w:val="007E1D00"/>
    <w:rsid w:val="00801965"/>
    <w:rsid w:val="00813A70"/>
    <w:rsid w:val="00822EA8"/>
    <w:rsid w:val="00853EAD"/>
    <w:rsid w:val="00864417"/>
    <w:rsid w:val="008833D5"/>
    <w:rsid w:val="008B412C"/>
    <w:rsid w:val="008B4622"/>
    <w:rsid w:val="008D03F5"/>
    <w:rsid w:val="008D0DDB"/>
    <w:rsid w:val="008D4DBB"/>
    <w:rsid w:val="008D52D5"/>
    <w:rsid w:val="008E560A"/>
    <w:rsid w:val="00906ECB"/>
    <w:rsid w:val="00907C88"/>
    <w:rsid w:val="00924790"/>
    <w:rsid w:val="00943D9E"/>
    <w:rsid w:val="00944D03"/>
    <w:rsid w:val="00945B3C"/>
    <w:rsid w:val="00955E66"/>
    <w:rsid w:val="00966C1A"/>
    <w:rsid w:val="009B1CEC"/>
    <w:rsid w:val="009D1C99"/>
    <w:rsid w:val="009D289E"/>
    <w:rsid w:val="009E6BAA"/>
    <w:rsid w:val="009F1F59"/>
    <w:rsid w:val="009F4AA5"/>
    <w:rsid w:val="00A2316B"/>
    <w:rsid w:val="00A2665C"/>
    <w:rsid w:val="00A524C9"/>
    <w:rsid w:val="00A53BDD"/>
    <w:rsid w:val="00A54870"/>
    <w:rsid w:val="00A83D07"/>
    <w:rsid w:val="00A86CF4"/>
    <w:rsid w:val="00A94C22"/>
    <w:rsid w:val="00AA6235"/>
    <w:rsid w:val="00AA7FF7"/>
    <w:rsid w:val="00AB1E14"/>
    <w:rsid w:val="00AC27A6"/>
    <w:rsid w:val="00AC2F1C"/>
    <w:rsid w:val="00AD24C8"/>
    <w:rsid w:val="00AD35F5"/>
    <w:rsid w:val="00B00715"/>
    <w:rsid w:val="00B16152"/>
    <w:rsid w:val="00B1668F"/>
    <w:rsid w:val="00B16A6B"/>
    <w:rsid w:val="00B644E3"/>
    <w:rsid w:val="00B65328"/>
    <w:rsid w:val="00B6706F"/>
    <w:rsid w:val="00B6774C"/>
    <w:rsid w:val="00B754E3"/>
    <w:rsid w:val="00BB2556"/>
    <w:rsid w:val="00BC54EB"/>
    <w:rsid w:val="00BC6D07"/>
    <w:rsid w:val="00BD22AC"/>
    <w:rsid w:val="00BE43AA"/>
    <w:rsid w:val="00BE4BA5"/>
    <w:rsid w:val="00BF2DC1"/>
    <w:rsid w:val="00BF515A"/>
    <w:rsid w:val="00C3188F"/>
    <w:rsid w:val="00C342F1"/>
    <w:rsid w:val="00C34D5B"/>
    <w:rsid w:val="00C60B13"/>
    <w:rsid w:val="00C80F6E"/>
    <w:rsid w:val="00CA5213"/>
    <w:rsid w:val="00CA5292"/>
    <w:rsid w:val="00CC7475"/>
    <w:rsid w:val="00CD401C"/>
    <w:rsid w:val="00CE0369"/>
    <w:rsid w:val="00CE35F3"/>
    <w:rsid w:val="00CE4C1F"/>
    <w:rsid w:val="00CE4FD4"/>
    <w:rsid w:val="00CF7F09"/>
    <w:rsid w:val="00D17D7A"/>
    <w:rsid w:val="00D3694E"/>
    <w:rsid w:val="00D507CD"/>
    <w:rsid w:val="00D57E2E"/>
    <w:rsid w:val="00D66FCA"/>
    <w:rsid w:val="00D67A29"/>
    <w:rsid w:val="00D703F2"/>
    <w:rsid w:val="00D9154E"/>
    <w:rsid w:val="00D961D3"/>
    <w:rsid w:val="00DA6DAA"/>
    <w:rsid w:val="00DC7474"/>
    <w:rsid w:val="00DD21B1"/>
    <w:rsid w:val="00DE3559"/>
    <w:rsid w:val="00DE6312"/>
    <w:rsid w:val="00DF6026"/>
    <w:rsid w:val="00E04E32"/>
    <w:rsid w:val="00E12FAC"/>
    <w:rsid w:val="00E14B44"/>
    <w:rsid w:val="00E23F7C"/>
    <w:rsid w:val="00E24E6A"/>
    <w:rsid w:val="00E33EAE"/>
    <w:rsid w:val="00E52B70"/>
    <w:rsid w:val="00E55066"/>
    <w:rsid w:val="00E632F1"/>
    <w:rsid w:val="00E74217"/>
    <w:rsid w:val="00E93D86"/>
    <w:rsid w:val="00EA6D31"/>
    <w:rsid w:val="00EB00C2"/>
    <w:rsid w:val="00EB2676"/>
    <w:rsid w:val="00EB4391"/>
    <w:rsid w:val="00EB58A4"/>
    <w:rsid w:val="00F0297E"/>
    <w:rsid w:val="00F10D84"/>
    <w:rsid w:val="00F24878"/>
    <w:rsid w:val="00F3024D"/>
    <w:rsid w:val="00F4013D"/>
    <w:rsid w:val="00F86EFA"/>
    <w:rsid w:val="00F97A53"/>
    <w:rsid w:val="00FB307B"/>
    <w:rsid w:val="00FB6D26"/>
    <w:rsid w:val="00FE5CAF"/>
    <w:rsid w:val="00FF2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05456"/>
  <w15:chartTrackingRefBased/>
  <w15:docId w15:val="{B72F6777-FA8A-4035-8738-AE22100B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2AC"/>
    <w:pPr>
      <w:spacing w:before="200" w:after="200" w:line="271" w:lineRule="auto"/>
    </w:pPr>
    <w:rPr>
      <w:rFonts w:ascii="Calibri" w:eastAsia="Times New Roman" w:hAnsi="Calibri" w:cs="Times New Roman"/>
      <w:lang w:bidi="en-US"/>
    </w:rPr>
  </w:style>
  <w:style w:type="paragraph" w:styleId="Heading1">
    <w:name w:val="heading 1"/>
    <w:basedOn w:val="Normal"/>
    <w:next w:val="Normal"/>
    <w:link w:val="Heading1Char"/>
    <w:uiPriority w:val="9"/>
    <w:qFormat/>
    <w:rsid w:val="00612F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E4B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
    <w:qFormat/>
    <w:rsid w:val="00C34D5B"/>
    <w:rPr>
      <w:i/>
    </w:rPr>
  </w:style>
  <w:style w:type="paragraph" w:styleId="Footer">
    <w:name w:val="footer"/>
    <w:link w:val="FooterChar"/>
    <w:uiPriority w:val="99"/>
    <w:qFormat/>
    <w:rsid w:val="00C34D5B"/>
    <w:pPr>
      <w:tabs>
        <w:tab w:val="center" w:pos="4320"/>
        <w:tab w:val="right" w:pos="8640"/>
      </w:tabs>
      <w:spacing w:after="0" w:line="336" w:lineRule="auto"/>
      <w:jc w:val="right"/>
    </w:pPr>
    <w:rPr>
      <w:rFonts w:eastAsia="Times New Roman" w:cs="Times New Roman"/>
      <w:lang w:bidi="en-US"/>
    </w:rPr>
  </w:style>
  <w:style w:type="character" w:customStyle="1" w:styleId="FooterChar">
    <w:name w:val="Footer Char"/>
    <w:basedOn w:val="DefaultParagraphFont"/>
    <w:link w:val="Footer"/>
    <w:uiPriority w:val="99"/>
    <w:rsid w:val="00C34D5B"/>
    <w:rPr>
      <w:rFonts w:eastAsia="Times New Roman" w:cs="Times New Roman"/>
      <w:lang w:bidi="en-US"/>
    </w:rPr>
  </w:style>
  <w:style w:type="paragraph" w:styleId="ListParagraph">
    <w:name w:val="List Paragraph"/>
    <w:basedOn w:val="Normal"/>
    <w:uiPriority w:val="34"/>
    <w:qFormat/>
    <w:rsid w:val="00C34D5B"/>
    <w:pPr>
      <w:numPr>
        <w:numId w:val="1"/>
      </w:numPr>
      <w:contextualSpacing/>
    </w:pPr>
  </w:style>
  <w:style w:type="character" w:customStyle="1" w:styleId="Heading1Char">
    <w:name w:val="Heading 1 Char"/>
    <w:basedOn w:val="DefaultParagraphFont"/>
    <w:link w:val="Heading1"/>
    <w:uiPriority w:val="9"/>
    <w:rsid w:val="00612F53"/>
    <w:rPr>
      <w:rFonts w:asciiTheme="majorHAnsi" w:eastAsiaTheme="majorEastAsia" w:hAnsiTheme="majorHAnsi" w:cstheme="majorBidi"/>
      <w:color w:val="2F5496" w:themeColor="accent1" w:themeShade="BF"/>
      <w:sz w:val="32"/>
      <w:szCs w:val="32"/>
      <w:lang w:bidi="en-US"/>
    </w:rPr>
  </w:style>
  <w:style w:type="character" w:customStyle="1" w:styleId="Heading2Char">
    <w:name w:val="Heading 2 Char"/>
    <w:basedOn w:val="DefaultParagraphFont"/>
    <w:link w:val="Heading2"/>
    <w:uiPriority w:val="9"/>
    <w:semiHidden/>
    <w:rsid w:val="00BE4BA5"/>
    <w:rPr>
      <w:rFonts w:asciiTheme="majorHAnsi" w:eastAsiaTheme="majorEastAsia" w:hAnsiTheme="majorHAnsi" w:cstheme="majorBidi"/>
      <w:color w:val="2F5496" w:themeColor="accent1" w:themeShade="BF"/>
      <w:sz w:val="26"/>
      <w:szCs w:val="26"/>
      <w:lang w:bidi="en-US"/>
    </w:rPr>
  </w:style>
  <w:style w:type="paragraph" w:styleId="ListBullet">
    <w:name w:val="List Bullet"/>
    <w:basedOn w:val="Normal"/>
    <w:uiPriority w:val="99"/>
    <w:semiHidden/>
    <w:unhideWhenUsed/>
    <w:rsid w:val="00BE4BA5"/>
    <w:pPr>
      <w:numPr>
        <w:numId w:val="23"/>
      </w:numPr>
      <w:tabs>
        <w:tab w:val="clear" w:pos="360"/>
      </w:tabs>
      <w:spacing w:before="0" w:line="276" w:lineRule="auto"/>
      <w:ind w:left="0" w:firstLine="0"/>
      <w:contextualSpacing/>
    </w:pPr>
    <w:rPr>
      <w:rFonts w:ascii="Aptos" w:eastAsia="MS Mincho" w:hAnsi="Aptos"/>
      <w:color w:val="000000"/>
      <w:lang w:bidi="ar-SA"/>
    </w:rPr>
  </w:style>
  <w:style w:type="paragraph" w:styleId="Header">
    <w:name w:val="header"/>
    <w:basedOn w:val="Normal"/>
    <w:link w:val="HeaderChar"/>
    <w:uiPriority w:val="99"/>
    <w:unhideWhenUsed/>
    <w:rsid w:val="00BE4BA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E4BA5"/>
    <w:rPr>
      <w:rFonts w:ascii="Calibri" w:eastAsia="Times New Roman" w:hAnsi="Calibri"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91323">
      <w:bodyDiv w:val="1"/>
      <w:marLeft w:val="0"/>
      <w:marRight w:val="0"/>
      <w:marTop w:val="0"/>
      <w:marBottom w:val="0"/>
      <w:divBdr>
        <w:top w:val="none" w:sz="0" w:space="0" w:color="auto"/>
        <w:left w:val="none" w:sz="0" w:space="0" w:color="auto"/>
        <w:bottom w:val="none" w:sz="0" w:space="0" w:color="auto"/>
        <w:right w:val="none" w:sz="0" w:space="0" w:color="auto"/>
      </w:divBdr>
    </w:div>
    <w:div w:id="499926412">
      <w:bodyDiv w:val="1"/>
      <w:marLeft w:val="0"/>
      <w:marRight w:val="0"/>
      <w:marTop w:val="0"/>
      <w:marBottom w:val="0"/>
      <w:divBdr>
        <w:top w:val="none" w:sz="0" w:space="0" w:color="auto"/>
        <w:left w:val="none" w:sz="0" w:space="0" w:color="auto"/>
        <w:bottom w:val="none" w:sz="0" w:space="0" w:color="auto"/>
        <w:right w:val="none" w:sz="0" w:space="0" w:color="auto"/>
      </w:divBdr>
    </w:div>
    <w:div w:id="1183934648">
      <w:bodyDiv w:val="1"/>
      <w:marLeft w:val="0"/>
      <w:marRight w:val="0"/>
      <w:marTop w:val="0"/>
      <w:marBottom w:val="0"/>
      <w:divBdr>
        <w:top w:val="none" w:sz="0" w:space="0" w:color="auto"/>
        <w:left w:val="none" w:sz="0" w:space="0" w:color="auto"/>
        <w:bottom w:val="none" w:sz="0" w:space="0" w:color="auto"/>
        <w:right w:val="none" w:sz="0" w:space="0" w:color="auto"/>
      </w:divBdr>
    </w:div>
    <w:div w:id="1223054376">
      <w:bodyDiv w:val="1"/>
      <w:marLeft w:val="0"/>
      <w:marRight w:val="0"/>
      <w:marTop w:val="0"/>
      <w:marBottom w:val="0"/>
      <w:divBdr>
        <w:top w:val="none" w:sz="0" w:space="0" w:color="auto"/>
        <w:left w:val="none" w:sz="0" w:space="0" w:color="auto"/>
        <w:bottom w:val="none" w:sz="0" w:space="0" w:color="auto"/>
        <w:right w:val="none" w:sz="0" w:space="0" w:color="auto"/>
      </w:divBdr>
    </w:div>
    <w:div w:id="1359426928">
      <w:bodyDiv w:val="1"/>
      <w:marLeft w:val="0"/>
      <w:marRight w:val="0"/>
      <w:marTop w:val="0"/>
      <w:marBottom w:val="0"/>
      <w:divBdr>
        <w:top w:val="none" w:sz="0" w:space="0" w:color="auto"/>
        <w:left w:val="none" w:sz="0" w:space="0" w:color="auto"/>
        <w:bottom w:val="none" w:sz="0" w:space="0" w:color="auto"/>
        <w:right w:val="none" w:sz="0" w:space="0" w:color="auto"/>
      </w:divBdr>
    </w:div>
    <w:div w:id="1391929199">
      <w:bodyDiv w:val="1"/>
      <w:marLeft w:val="0"/>
      <w:marRight w:val="0"/>
      <w:marTop w:val="0"/>
      <w:marBottom w:val="0"/>
      <w:divBdr>
        <w:top w:val="none" w:sz="0" w:space="0" w:color="auto"/>
        <w:left w:val="none" w:sz="0" w:space="0" w:color="auto"/>
        <w:bottom w:val="none" w:sz="0" w:space="0" w:color="auto"/>
        <w:right w:val="none" w:sz="0" w:space="0" w:color="auto"/>
      </w:divBdr>
    </w:div>
    <w:div w:id="1754467096">
      <w:bodyDiv w:val="1"/>
      <w:marLeft w:val="0"/>
      <w:marRight w:val="0"/>
      <w:marTop w:val="0"/>
      <w:marBottom w:val="0"/>
      <w:divBdr>
        <w:top w:val="none" w:sz="0" w:space="0" w:color="auto"/>
        <w:left w:val="none" w:sz="0" w:space="0" w:color="auto"/>
        <w:bottom w:val="none" w:sz="0" w:space="0" w:color="auto"/>
        <w:right w:val="none" w:sz="0" w:space="0" w:color="auto"/>
      </w:divBdr>
    </w:div>
    <w:div w:id="1813860726">
      <w:bodyDiv w:val="1"/>
      <w:marLeft w:val="0"/>
      <w:marRight w:val="0"/>
      <w:marTop w:val="0"/>
      <w:marBottom w:val="0"/>
      <w:divBdr>
        <w:top w:val="none" w:sz="0" w:space="0" w:color="auto"/>
        <w:left w:val="none" w:sz="0" w:space="0" w:color="auto"/>
        <w:bottom w:val="none" w:sz="0" w:space="0" w:color="auto"/>
        <w:right w:val="none" w:sz="0" w:space="0" w:color="auto"/>
      </w:divBdr>
    </w:div>
    <w:div w:id="1853227215">
      <w:bodyDiv w:val="1"/>
      <w:marLeft w:val="0"/>
      <w:marRight w:val="0"/>
      <w:marTop w:val="0"/>
      <w:marBottom w:val="0"/>
      <w:divBdr>
        <w:top w:val="none" w:sz="0" w:space="0" w:color="auto"/>
        <w:left w:val="none" w:sz="0" w:space="0" w:color="auto"/>
        <w:bottom w:val="none" w:sz="0" w:space="0" w:color="auto"/>
        <w:right w:val="none" w:sz="0" w:space="0" w:color="auto"/>
      </w:divBdr>
    </w:div>
    <w:div w:id="201005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F461C-80D8-4DD0-966B-D8D8F8322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1508</Words>
  <Characters>9833</Characters>
  <Application>Microsoft Office Word</Application>
  <DocSecurity>0</DocSecurity>
  <Lines>153</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Geshick, Shannon (MIAC)</dc:creator>
  <cp:keywords/>
  <dc:description/>
  <cp:lastModifiedBy>Alkire, Brandon (MIAC)</cp:lastModifiedBy>
  <cp:revision>5</cp:revision>
  <cp:lastPrinted>2024-02-09T22:40:00Z</cp:lastPrinted>
  <dcterms:created xsi:type="dcterms:W3CDTF">2026-09-21T17:45:00Z</dcterms:created>
  <dcterms:modified xsi:type="dcterms:W3CDTF">2026-09-21T18:04:00Z</dcterms:modified>
</cp:coreProperties>
</file>