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8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609"/>
        <w:gridCol w:w="3780"/>
        <w:gridCol w:w="4519"/>
        <w:gridCol w:w="3780"/>
      </w:tblGrid>
      <w:tr w:rsidR="00CA2D5F" w:rsidRPr="00C66BB5" w14:paraId="28D40FED" w14:textId="77777777" w:rsidTr="00A0348B">
        <w:tc>
          <w:tcPr>
            <w:tcW w:w="14688" w:type="dxa"/>
            <w:gridSpan w:val="4"/>
            <w:tcBorders>
              <w:top w:val="single" w:sz="8" w:space="0" w:color="000000"/>
              <w:left w:val="single" w:sz="8" w:space="0" w:color="000000"/>
              <w:bottom w:val="single" w:sz="8" w:space="0" w:color="000000"/>
              <w:right w:val="single" w:sz="8" w:space="0" w:color="000000"/>
            </w:tcBorders>
            <w:shd w:val="clear" w:color="auto" w:fill="auto"/>
          </w:tcPr>
          <w:p w14:paraId="242C97D8" w14:textId="77777777" w:rsidR="00CA2D5F" w:rsidRPr="00C66BB5" w:rsidRDefault="00CA2D5F" w:rsidP="009A37CA">
            <w:pPr>
              <w:spacing w:line="120" w:lineRule="exact"/>
              <w:rPr>
                <w:rFonts w:asciiTheme="minorHAnsi" w:hAnsiTheme="minorHAnsi" w:cstheme="minorHAnsi"/>
              </w:rPr>
            </w:pPr>
          </w:p>
          <w:p w14:paraId="5DCA0645" w14:textId="03F8CEC4" w:rsidR="00312DE8" w:rsidRPr="00C66BB5" w:rsidRDefault="00AA796C" w:rsidP="009A37CA">
            <w:pPr>
              <w:spacing w:after="58"/>
              <w:jc w:val="center"/>
              <w:rPr>
                <w:rFonts w:asciiTheme="minorHAnsi" w:hAnsiTheme="minorHAnsi" w:cstheme="minorHAnsi"/>
                <w:b/>
                <w:bCs/>
              </w:rPr>
            </w:pPr>
            <w:r w:rsidRPr="00C66BB5">
              <w:rPr>
                <w:rFonts w:asciiTheme="minorHAnsi" w:hAnsiTheme="minorHAnsi" w:cstheme="minorHAnsi"/>
                <w:b/>
                <w:bCs/>
              </w:rPr>
              <w:t>Agency Monitoring Plan</w:t>
            </w:r>
            <w:r w:rsidR="00157626">
              <w:rPr>
                <w:rFonts w:asciiTheme="minorHAnsi" w:hAnsiTheme="minorHAnsi" w:cstheme="minorHAnsi"/>
                <w:b/>
                <w:bCs/>
              </w:rPr>
              <w:t xml:space="preserve"> Template</w:t>
            </w:r>
          </w:p>
          <w:p w14:paraId="2A5F65E0" w14:textId="3C0F0B4D" w:rsidR="0063713F" w:rsidRPr="00C66BB5" w:rsidRDefault="0063713F" w:rsidP="009A37CA">
            <w:pPr>
              <w:spacing w:after="58"/>
              <w:jc w:val="center"/>
              <w:rPr>
                <w:rFonts w:asciiTheme="minorHAnsi" w:hAnsiTheme="minorHAnsi" w:cstheme="minorHAnsi"/>
              </w:rPr>
            </w:pPr>
            <w:r w:rsidRPr="00C66BB5">
              <w:rPr>
                <w:rFonts w:asciiTheme="minorHAnsi" w:hAnsiTheme="minorHAnsi" w:cstheme="minorHAnsi"/>
                <w:b/>
                <w:bCs/>
              </w:rPr>
              <w:t>*Minimum requirement for grants $50K</w:t>
            </w:r>
            <w:r w:rsidR="00CA58A8">
              <w:rPr>
                <w:rFonts w:asciiTheme="minorHAnsi" w:hAnsiTheme="minorHAnsi" w:cstheme="minorHAnsi"/>
                <w:b/>
                <w:bCs/>
              </w:rPr>
              <w:t xml:space="preserve"> and higher</w:t>
            </w:r>
          </w:p>
        </w:tc>
      </w:tr>
      <w:tr w:rsidR="00CA2D5F" w:rsidRPr="00C66BB5" w14:paraId="671F5D75" w14:textId="77777777" w:rsidTr="00ED2462">
        <w:trPr>
          <w:trHeight w:val="1042"/>
        </w:trPr>
        <w:tc>
          <w:tcPr>
            <w:tcW w:w="2609" w:type="dxa"/>
            <w:tcBorders>
              <w:top w:val="single" w:sz="8" w:space="0" w:color="000000"/>
              <w:left w:val="single" w:sz="8" w:space="0" w:color="000000"/>
              <w:bottom w:val="single" w:sz="8" w:space="0" w:color="000000"/>
              <w:right w:val="single" w:sz="8" w:space="0" w:color="000000"/>
            </w:tcBorders>
            <w:shd w:val="clear" w:color="auto" w:fill="auto"/>
          </w:tcPr>
          <w:p w14:paraId="6A73D0DC" w14:textId="77777777" w:rsidR="00CA2D5F" w:rsidRPr="00C66BB5" w:rsidRDefault="00CA2D5F" w:rsidP="009A37CA">
            <w:pPr>
              <w:spacing w:line="120" w:lineRule="exact"/>
              <w:rPr>
                <w:rFonts w:asciiTheme="minorHAnsi" w:hAnsiTheme="minorHAnsi" w:cstheme="minorHAnsi"/>
                <w:b/>
                <w:bCs/>
              </w:rPr>
            </w:pPr>
          </w:p>
          <w:p w14:paraId="782078FC" w14:textId="77777777" w:rsidR="00CA2D5F" w:rsidRPr="00C66BB5" w:rsidRDefault="00CA2D5F" w:rsidP="009A37CA">
            <w:pPr>
              <w:spacing w:after="58"/>
              <w:rPr>
                <w:rFonts w:asciiTheme="minorHAnsi" w:hAnsiTheme="minorHAnsi" w:cstheme="minorHAnsi"/>
                <w:b/>
                <w:bCs/>
              </w:rPr>
            </w:pPr>
            <w:smartTag w:uri="urn:schemas-microsoft-com:office:smarttags" w:element="stockticker">
              <w:r w:rsidRPr="00C66BB5">
                <w:rPr>
                  <w:rFonts w:asciiTheme="minorHAnsi" w:hAnsiTheme="minorHAnsi" w:cstheme="minorHAnsi"/>
                  <w:b/>
                  <w:bCs/>
                </w:rPr>
                <w:t>ALL</w:t>
              </w:r>
            </w:smartTag>
            <w:r w:rsidRPr="00C66BB5">
              <w:rPr>
                <w:rFonts w:asciiTheme="minorHAnsi" w:hAnsiTheme="minorHAnsi" w:cstheme="minorHAnsi"/>
                <w:b/>
                <w:bCs/>
              </w:rPr>
              <w:t xml:space="preserve"> GRANTS RECEIVE:</w:t>
            </w:r>
          </w:p>
        </w:tc>
        <w:tc>
          <w:tcPr>
            <w:tcW w:w="3780" w:type="dxa"/>
            <w:tcBorders>
              <w:top w:val="single" w:sz="8" w:space="0" w:color="000000"/>
              <w:bottom w:val="single" w:sz="8" w:space="0" w:color="000000"/>
            </w:tcBorders>
            <w:shd w:val="clear" w:color="auto" w:fill="auto"/>
          </w:tcPr>
          <w:p w14:paraId="10CE5F6D" w14:textId="77777777" w:rsidR="00D814B6" w:rsidRPr="00C66BB5" w:rsidRDefault="00D814B6" w:rsidP="00EC2A18">
            <w:pPr>
              <w:pStyle w:val="Heading2"/>
              <w:rPr>
                <w:rFonts w:asciiTheme="minorHAnsi" w:hAnsiTheme="minorHAnsi" w:cstheme="minorHAnsi"/>
                <w:sz w:val="24"/>
                <w:szCs w:val="24"/>
              </w:rPr>
            </w:pPr>
          </w:p>
          <w:p w14:paraId="582F8015" w14:textId="77777777" w:rsidR="00CA2D5F" w:rsidRPr="00C66BB5" w:rsidRDefault="00CA2D5F" w:rsidP="00EC2A18">
            <w:pPr>
              <w:pStyle w:val="Heading2"/>
              <w:rPr>
                <w:rFonts w:asciiTheme="minorHAnsi" w:hAnsiTheme="minorHAnsi" w:cstheme="minorHAnsi"/>
                <w:sz w:val="24"/>
                <w:szCs w:val="24"/>
              </w:rPr>
            </w:pPr>
            <w:r w:rsidRPr="00C66BB5">
              <w:rPr>
                <w:rFonts w:asciiTheme="minorHAnsi" w:hAnsiTheme="minorHAnsi" w:cstheme="minorHAnsi"/>
                <w:sz w:val="24"/>
                <w:szCs w:val="24"/>
              </w:rPr>
              <w:t>New Grantee</w:t>
            </w:r>
          </w:p>
          <w:p w14:paraId="31519B44" w14:textId="77777777" w:rsidR="00CA2D5F" w:rsidRPr="00C66BB5" w:rsidRDefault="00CA2D5F" w:rsidP="009A37CA">
            <w:pPr>
              <w:spacing w:after="58"/>
              <w:jc w:val="center"/>
              <w:rPr>
                <w:rFonts w:asciiTheme="minorHAnsi" w:hAnsiTheme="minorHAnsi" w:cstheme="minorHAnsi"/>
                <w:b/>
                <w:bCs/>
              </w:rPr>
            </w:pPr>
            <w:r w:rsidRPr="00C66BB5">
              <w:rPr>
                <w:rFonts w:asciiTheme="minorHAnsi" w:hAnsiTheme="minorHAnsi" w:cstheme="minorHAnsi"/>
                <w:b/>
                <w:bCs/>
              </w:rPr>
              <w:t>1 year grant</w:t>
            </w:r>
          </w:p>
        </w:tc>
        <w:tc>
          <w:tcPr>
            <w:tcW w:w="4519" w:type="dxa"/>
            <w:tcBorders>
              <w:top w:val="single" w:sz="8" w:space="0" w:color="000000"/>
              <w:left w:val="single" w:sz="8" w:space="0" w:color="000000"/>
              <w:bottom w:val="single" w:sz="4" w:space="0" w:color="auto"/>
              <w:right w:val="single" w:sz="8" w:space="0" w:color="000000"/>
            </w:tcBorders>
            <w:shd w:val="clear" w:color="auto" w:fill="auto"/>
          </w:tcPr>
          <w:p w14:paraId="22BE604A" w14:textId="77777777" w:rsidR="0063713F" w:rsidRPr="00C66BB5" w:rsidRDefault="0063713F" w:rsidP="00ED2462">
            <w:pPr>
              <w:pStyle w:val="Heading2"/>
              <w:rPr>
                <w:rFonts w:asciiTheme="minorHAnsi" w:hAnsiTheme="minorHAnsi" w:cstheme="minorHAnsi"/>
                <w:sz w:val="24"/>
                <w:szCs w:val="24"/>
              </w:rPr>
            </w:pPr>
          </w:p>
          <w:p w14:paraId="7C80AF86" w14:textId="77777777" w:rsidR="00CA2D5F" w:rsidRPr="00C66BB5" w:rsidRDefault="00CA2D5F" w:rsidP="00ED2462">
            <w:pPr>
              <w:pStyle w:val="Heading2"/>
              <w:rPr>
                <w:rFonts w:asciiTheme="minorHAnsi" w:hAnsiTheme="minorHAnsi" w:cstheme="minorHAnsi"/>
                <w:sz w:val="24"/>
                <w:szCs w:val="24"/>
              </w:rPr>
            </w:pPr>
            <w:r w:rsidRPr="00C66BB5">
              <w:rPr>
                <w:rFonts w:asciiTheme="minorHAnsi" w:hAnsiTheme="minorHAnsi" w:cstheme="minorHAnsi"/>
                <w:sz w:val="24"/>
                <w:szCs w:val="24"/>
              </w:rPr>
              <w:t>New Grantee</w:t>
            </w:r>
          </w:p>
          <w:p w14:paraId="6FDAB42B" w14:textId="468437ED" w:rsidR="00CA2D5F" w:rsidRPr="00C66BB5" w:rsidRDefault="0063713F" w:rsidP="009A37CA">
            <w:pPr>
              <w:spacing w:after="58"/>
              <w:jc w:val="center"/>
              <w:rPr>
                <w:rFonts w:asciiTheme="minorHAnsi" w:hAnsiTheme="minorHAnsi" w:cstheme="minorHAnsi"/>
                <w:b/>
                <w:bCs/>
              </w:rPr>
            </w:pPr>
            <w:r w:rsidRPr="00C66BB5">
              <w:rPr>
                <w:rFonts w:asciiTheme="minorHAnsi" w:hAnsiTheme="minorHAnsi" w:cstheme="minorHAnsi"/>
                <w:b/>
                <w:bCs/>
              </w:rPr>
              <w:t xml:space="preserve">Multi-year (at least </w:t>
            </w:r>
            <w:r w:rsidR="00813852" w:rsidRPr="00C66BB5">
              <w:rPr>
                <w:rFonts w:asciiTheme="minorHAnsi" w:hAnsiTheme="minorHAnsi" w:cstheme="minorHAnsi"/>
                <w:b/>
                <w:bCs/>
              </w:rPr>
              <w:t>2-year</w:t>
            </w:r>
            <w:r w:rsidRPr="00C66BB5">
              <w:rPr>
                <w:rFonts w:asciiTheme="minorHAnsi" w:hAnsiTheme="minorHAnsi" w:cstheme="minorHAnsi"/>
                <w:b/>
                <w:bCs/>
              </w:rPr>
              <w:t xml:space="preserve"> grant)</w:t>
            </w:r>
          </w:p>
          <w:p w14:paraId="343EC5A4" w14:textId="77777777" w:rsidR="00CA2D5F" w:rsidRPr="00C66BB5" w:rsidRDefault="00CA2D5F" w:rsidP="009A37CA">
            <w:pPr>
              <w:spacing w:after="58"/>
              <w:jc w:val="center"/>
              <w:rPr>
                <w:rFonts w:asciiTheme="minorHAnsi" w:hAnsiTheme="minorHAnsi" w:cstheme="minorHAnsi"/>
              </w:rPr>
            </w:pPr>
          </w:p>
        </w:tc>
        <w:tc>
          <w:tcPr>
            <w:tcW w:w="3780" w:type="dxa"/>
            <w:tcBorders>
              <w:top w:val="single" w:sz="8" w:space="0" w:color="000000"/>
              <w:bottom w:val="single" w:sz="8" w:space="0" w:color="000000"/>
              <w:right w:val="single" w:sz="8" w:space="0" w:color="000000"/>
            </w:tcBorders>
            <w:shd w:val="clear" w:color="auto" w:fill="auto"/>
          </w:tcPr>
          <w:p w14:paraId="6730ED55" w14:textId="77777777" w:rsidR="003A5201" w:rsidRPr="00C66BB5" w:rsidRDefault="003A5201" w:rsidP="00EC2A18">
            <w:pPr>
              <w:pStyle w:val="Heading2"/>
              <w:rPr>
                <w:rFonts w:asciiTheme="minorHAnsi" w:hAnsiTheme="minorHAnsi" w:cstheme="minorHAnsi"/>
                <w:sz w:val="24"/>
                <w:szCs w:val="24"/>
              </w:rPr>
            </w:pPr>
          </w:p>
          <w:p w14:paraId="5B0DBE07" w14:textId="77777777" w:rsidR="00CA2D5F" w:rsidRPr="00C66BB5" w:rsidRDefault="00CA2D5F" w:rsidP="00EC2A18">
            <w:pPr>
              <w:pStyle w:val="Heading2"/>
              <w:rPr>
                <w:rFonts w:asciiTheme="minorHAnsi" w:hAnsiTheme="minorHAnsi" w:cstheme="minorHAnsi"/>
                <w:sz w:val="24"/>
                <w:szCs w:val="24"/>
              </w:rPr>
            </w:pPr>
            <w:r w:rsidRPr="00C66BB5">
              <w:rPr>
                <w:rFonts w:asciiTheme="minorHAnsi" w:hAnsiTheme="minorHAnsi" w:cstheme="minorHAnsi"/>
                <w:sz w:val="24"/>
                <w:szCs w:val="24"/>
              </w:rPr>
              <w:t>On-going Grantee</w:t>
            </w:r>
          </w:p>
          <w:p w14:paraId="393FFED1" w14:textId="2DC3F7CF" w:rsidR="00CA2D5F" w:rsidRPr="00C66BB5" w:rsidRDefault="0063713F" w:rsidP="0063713F">
            <w:pPr>
              <w:spacing w:after="58"/>
              <w:jc w:val="center"/>
              <w:rPr>
                <w:rFonts w:asciiTheme="minorHAnsi" w:hAnsiTheme="minorHAnsi" w:cstheme="minorHAnsi"/>
                <w:b/>
                <w:bCs/>
              </w:rPr>
            </w:pPr>
            <w:r w:rsidRPr="00C66BB5">
              <w:rPr>
                <w:rFonts w:asciiTheme="minorHAnsi" w:hAnsiTheme="minorHAnsi" w:cstheme="minorHAnsi"/>
                <w:b/>
                <w:bCs/>
              </w:rPr>
              <w:t xml:space="preserve">Multi-year (at least </w:t>
            </w:r>
            <w:r w:rsidR="00813852" w:rsidRPr="00C66BB5">
              <w:rPr>
                <w:rFonts w:asciiTheme="minorHAnsi" w:hAnsiTheme="minorHAnsi" w:cstheme="minorHAnsi"/>
                <w:b/>
                <w:bCs/>
              </w:rPr>
              <w:t>2-year</w:t>
            </w:r>
            <w:r w:rsidRPr="00C66BB5">
              <w:rPr>
                <w:rFonts w:asciiTheme="minorHAnsi" w:hAnsiTheme="minorHAnsi" w:cstheme="minorHAnsi"/>
                <w:b/>
                <w:bCs/>
              </w:rPr>
              <w:t xml:space="preserve"> grant)</w:t>
            </w:r>
          </w:p>
        </w:tc>
      </w:tr>
      <w:tr w:rsidR="00F031A8" w:rsidRPr="00C66BB5" w14:paraId="563C44D9" w14:textId="77777777" w:rsidTr="00F42154">
        <w:tc>
          <w:tcPr>
            <w:tcW w:w="2609" w:type="dxa"/>
            <w:tcBorders>
              <w:left w:val="single" w:sz="8" w:space="0" w:color="000000"/>
              <w:right w:val="single" w:sz="8" w:space="0" w:color="000000"/>
            </w:tcBorders>
            <w:shd w:val="clear" w:color="auto" w:fill="auto"/>
          </w:tcPr>
          <w:p w14:paraId="395140EC" w14:textId="77777777" w:rsidR="00F031A8" w:rsidRPr="00C66BB5" w:rsidRDefault="00F031A8" w:rsidP="009A37CA">
            <w:pPr>
              <w:spacing w:line="120" w:lineRule="exact"/>
              <w:rPr>
                <w:rFonts w:asciiTheme="minorHAnsi" w:hAnsiTheme="minorHAnsi" w:cstheme="minorHAnsi"/>
              </w:rPr>
            </w:pPr>
          </w:p>
          <w:p w14:paraId="7D347B64" w14:textId="77777777" w:rsidR="00F031A8" w:rsidRPr="00C66BB5" w:rsidRDefault="00F031A8" w:rsidP="009A37CA">
            <w:pPr>
              <w:spacing w:after="58"/>
              <w:rPr>
                <w:rFonts w:asciiTheme="minorHAnsi" w:hAnsiTheme="minorHAnsi" w:cstheme="minorHAnsi"/>
                <w:b/>
                <w:bCs/>
              </w:rPr>
            </w:pPr>
            <w:r w:rsidRPr="00C66BB5">
              <w:rPr>
                <w:rFonts w:asciiTheme="minorHAnsi" w:hAnsiTheme="minorHAnsi" w:cstheme="minorHAnsi"/>
                <w:b/>
                <w:bCs/>
              </w:rPr>
              <w:t>Grant Management Training/Orientation</w:t>
            </w:r>
          </w:p>
        </w:tc>
        <w:tc>
          <w:tcPr>
            <w:tcW w:w="8299" w:type="dxa"/>
            <w:gridSpan w:val="2"/>
            <w:tcBorders>
              <w:right w:val="single" w:sz="4" w:space="0" w:color="auto"/>
            </w:tcBorders>
            <w:shd w:val="clear" w:color="auto" w:fill="auto"/>
          </w:tcPr>
          <w:p w14:paraId="616EAD7A" w14:textId="77777777" w:rsidR="00F031A8" w:rsidRPr="00C66BB5" w:rsidRDefault="00F031A8" w:rsidP="009A37CA">
            <w:pPr>
              <w:spacing w:line="120" w:lineRule="exact"/>
              <w:rPr>
                <w:rFonts w:asciiTheme="minorHAnsi" w:hAnsiTheme="minorHAnsi" w:cstheme="minorHAnsi"/>
                <w:b/>
                <w:bCs/>
              </w:rPr>
            </w:pPr>
          </w:p>
          <w:p w14:paraId="6E020ECA" w14:textId="5F44EB8E" w:rsidR="00F031A8" w:rsidRPr="00C66BB5" w:rsidRDefault="00F031A8" w:rsidP="00C66BB5">
            <w:pPr>
              <w:spacing w:after="58"/>
              <w:rPr>
                <w:rFonts w:asciiTheme="minorHAnsi" w:hAnsiTheme="minorHAnsi" w:cstheme="minorHAnsi"/>
                <w:sz w:val="22"/>
                <w:szCs w:val="22"/>
              </w:rPr>
            </w:pPr>
            <w:r w:rsidRPr="00C66BB5">
              <w:rPr>
                <w:rFonts w:asciiTheme="minorHAnsi" w:hAnsiTheme="minorHAnsi" w:cstheme="minorHAnsi"/>
                <w:sz w:val="22"/>
                <w:szCs w:val="22"/>
              </w:rPr>
              <w:t>Information sent upon initially executing grant</w:t>
            </w:r>
            <w:r w:rsidR="009E793C">
              <w:rPr>
                <w:rFonts w:asciiTheme="minorHAnsi" w:hAnsiTheme="minorHAnsi" w:cstheme="minorHAnsi"/>
                <w:sz w:val="22"/>
                <w:szCs w:val="22"/>
              </w:rPr>
              <w:t xml:space="preserve"> contract</w:t>
            </w:r>
            <w:r w:rsidRPr="00C66BB5">
              <w:rPr>
                <w:rFonts w:asciiTheme="minorHAnsi" w:hAnsiTheme="minorHAnsi" w:cstheme="minorHAnsi"/>
                <w:sz w:val="22"/>
                <w:szCs w:val="22"/>
              </w:rPr>
              <w:t xml:space="preserve"> agreement,</w:t>
            </w:r>
            <w:r w:rsidR="00ED2462" w:rsidRPr="00C66BB5">
              <w:rPr>
                <w:rFonts w:asciiTheme="minorHAnsi" w:hAnsiTheme="minorHAnsi" w:cstheme="minorHAnsi"/>
                <w:sz w:val="22"/>
                <w:szCs w:val="22"/>
              </w:rPr>
              <w:t xml:space="preserve"> - </w:t>
            </w:r>
            <w:r w:rsidR="00813852" w:rsidRPr="00C66BB5">
              <w:rPr>
                <w:rFonts w:asciiTheme="minorHAnsi" w:hAnsiTheme="minorHAnsi" w:cstheme="minorHAnsi"/>
                <w:sz w:val="22"/>
                <w:szCs w:val="22"/>
              </w:rPr>
              <w:t>i.e.,</w:t>
            </w:r>
            <w:r w:rsidR="00ED2462" w:rsidRPr="00C66BB5">
              <w:rPr>
                <w:rFonts w:asciiTheme="minorHAnsi" w:hAnsiTheme="minorHAnsi" w:cstheme="minorHAnsi"/>
                <w:sz w:val="22"/>
                <w:szCs w:val="22"/>
              </w:rPr>
              <w:t xml:space="preserve"> </w:t>
            </w:r>
            <w:r w:rsidR="009E793C">
              <w:rPr>
                <w:rFonts w:asciiTheme="minorHAnsi" w:hAnsiTheme="minorHAnsi" w:cstheme="minorHAnsi"/>
                <w:sz w:val="22"/>
                <w:szCs w:val="22"/>
              </w:rPr>
              <w:t xml:space="preserve">incorporating actions and results from preaward risk assessment, </w:t>
            </w:r>
            <w:r w:rsidR="00ED2462" w:rsidRPr="00C66BB5">
              <w:rPr>
                <w:rFonts w:asciiTheme="minorHAnsi" w:hAnsiTheme="minorHAnsi" w:cstheme="minorHAnsi"/>
                <w:sz w:val="22"/>
                <w:szCs w:val="22"/>
              </w:rPr>
              <w:t xml:space="preserve">front-load training and best practice is to utilize multiple resource formats – </w:t>
            </w:r>
            <w:r w:rsidR="00813852" w:rsidRPr="00C66BB5">
              <w:rPr>
                <w:rFonts w:asciiTheme="minorHAnsi" w:hAnsiTheme="minorHAnsi" w:cstheme="minorHAnsi"/>
                <w:sz w:val="22"/>
                <w:szCs w:val="22"/>
              </w:rPr>
              <w:t>i.e.,</w:t>
            </w:r>
            <w:r w:rsidR="00ED2462" w:rsidRPr="00C66BB5">
              <w:rPr>
                <w:rFonts w:asciiTheme="minorHAnsi" w:hAnsiTheme="minorHAnsi" w:cstheme="minorHAnsi"/>
                <w:sz w:val="22"/>
                <w:szCs w:val="22"/>
              </w:rPr>
              <w:t xml:space="preserve"> online manuals, webinars, conference call blocks, videos, etc.  Agencies can choose to schedule a pre-award site visit that</w:t>
            </w:r>
            <w:r w:rsidR="009E793C">
              <w:rPr>
                <w:rFonts w:asciiTheme="minorHAnsi" w:hAnsiTheme="minorHAnsi" w:cstheme="minorHAnsi"/>
                <w:sz w:val="22"/>
                <w:szCs w:val="22"/>
              </w:rPr>
              <w:t xml:space="preserve">, as applicable, meets actions and results from the preaward risk assessment, </w:t>
            </w:r>
            <w:r w:rsidR="00ED2462" w:rsidRPr="00C66BB5">
              <w:rPr>
                <w:rFonts w:asciiTheme="minorHAnsi" w:hAnsiTheme="minorHAnsi" w:cstheme="minorHAnsi"/>
                <w:sz w:val="22"/>
                <w:szCs w:val="22"/>
              </w:rPr>
              <w:t>provides the option for in-person introduction, relationship building, etc.</w:t>
            </w:r>
          </w:p>
        </w:tc>
        <w:tc>
          <w:tcPr>
            <w:tcW w:w="3780" w:type="dxa"/>
            <w:tcBorders>
              <w:left w:val="single" w:sz="4" w:space="0" w:color="auto"/>
            </w:tcBorders>
            <w:shd w:val="clear" w:color="auto" w:fill="auto"/>
          </w:tcPr>
          <w:p w14:paraId="5FFE43AE" w14:textId="77777777" w:rsidR="00F031A8" w:rsidRPr="00C66BB5" w:rsidRDefault="00F031A8" w:rsidP="009A37CA">
            <w:pPr>
              <w:spacing w:line="120" w:lineRule="exact"/>
              <w:rPr>
                <w:rFonts w:asciiTheme="minorHAnsi" w:hAnsiTheme="minorHAnsi" w:cstheme="minorHAnsi"/>
              </w:rPr>
            </w:pPr>
          </w:p>
          <w:p w14:paraId="3877646B" w14:textId="77777777" w:rsidR="00F031A8" w:rsidRPr="00C66BB5" w:rsidRDefault="00F031A8" w:rsidP="00C66BB5">
            <w:pPr>
              <w:spacing w:after="58"/>
              <w:rPr>
                <w:rFonts w:asciiTheme="minorHAnsi" w:hAnsiTheme="minorHAnsi" w:cstheme="minorHAnsi"/>
                <w:sz w:val="22"/>
                <w:szCs w:val="22"/>
              </w:rPr>
            </w:pPr>
            <w:r w:rsidRPr="00C66BB5">
              <w:rPr>
                <w:rFonts w:asciiTheme="minorHAnsi" w:hAnsiTheme="minorHAnsi" w:cstheme="minorHAnsi"/>
                <w:sz w:val="22"/>
                <w:szCs w:val="22"/>
              </w:rPr>
              <w:t>As needed</w:t>
            </w:r>
          </w:p>
          <w:p w14:paraId="57544086" w14:textId="77777777" w:rsidR="00F031A8" w:rsidRPr="00C66BB5" w:rsidRDefault="00F031A8" w:rsidP="00C66BB5">
            <w:pPr>
              <w:spacing w:after="58"/>
              <w:rPr>
                <w:rFonts w:asciiTheme="minorHAnsi" w:hAnsiTheme="minorHAnsi" w:cstheme="minorHAnsi"/>
              </w:rPr>
            </w:pPr>
            <w:r w:rsidRPr="00C66BB5">
              <w:rPr>
                <w:rFonts w:asciiTheme="minorHAnsi" w:hAnsiTheme="minorHAnsi" w:cstheme="minorHAnsi"/>
                <w:sz w:val="22"/>
                <w:szCs w:val="22"/>
              </w:rPr>
              <w:t>(New staff, new policies, etc.)</w:t>
            </w:r>
          </w:p>
        </w:tc>
      </w:tr>
      <w:tr w:rsidR="00F031A8" w:rsidRPr="00C66BB5" w14:paraId="198A4A37" w14:textId="77777777" w:rsidTr="00C66BB5">
        <w:trPr>
          <w:trHeight w:val="727"/>
        </w:trPr>
        <w:tc>
          <w:tcPr>
            <w:tcW w:w="2609" w:type="dxa"/>
            <w:tcBorders>
              <w:top w:val="single" w:sz="8" w:space="0" w:color="000000"/>
              <w:left w:val="single" w:sz="8" w:space="0" w:color="000000"/>
              <w:bottom w:val="single" w:sz="8" w:space="0" w:color="000000"/>
              <w:right w:val="single" w:sz="8" w:space="0" w:color="000000"/>
            </w:tcBorders>
            <w:shd w:val="clear" w:color="auto" w:fill="auto"/>
          </w:tcPr>
          <w:p w14:paraId="612A0F73" w14:textId="77777777" w:rsidR="00F031A8" w:rsidRPr="00C66BB5" w:rsidRDefault="00F031A8" w:rsidP="009A37CA">
            <w:pPr>
              <w:spacing w:line="120" w:lineRule="exact"/>
              <w:rPr>
                <w:rFonts w:asciiTheme="minorHAnsi" w:hAnsiTheme="minorHAnsi" w:cstheme="minorHAnsi"/>
              </w:rPr>
            </w:pPr>
          </w:p>
          <w:p w14:paraId="259F87B8" w14:textId="77777777" w:rsidR="00F031A8" w:rsidRPr="00C66BB5" w:rsidRDefault="00F031A8" w:rsidP="009A37CA">
            <w:pPr>
              <w:spacing w:after="58"/>
              <w:rPr>
                <w:rFonts w:asciiTheme="minorHAnsi" w:hAnsiTheme="minorHAnsi" w:cstheme="minorHAnsi"/>
                <w:b/>
                <w:bCs/>
              </w:rPr>
            </w:pPr>
            <w:r w:rsidRPr="00C66BB5">
              <w:rPr>
                <w:rFonts w:asciiTheme="minorHAnsi" w:hAnsiTheme="minorHAnsi" w:cstheme="minorHAnsi"/>
                <w:b/>
                <w:bCs/>
              </w:rPr>
              <w:t>Pre-Approvals Required</w:t>
            </w:r>
          </w:p>
        </w:tc>
        <w:tc>
          <w:tcPr>
            <w:tcW w:w="12079" w:type="dxa"/>
            <w:gridSpan w:val="3"/>
            <w:tcBorders>
              <w:top w:val="single" w:sz="8" w:space="0" w:color="000000"/>
              <w:bottom w:val="single" w:sz="8" w:space="0" w:color="000000"/>
              <w:right w:val="single" w:sz="8" w:space="0" w:color="000000"/>
            </w:tcBorders>
            <w:shd w:val="clear" w:color="auto" w:fill="auto"/>
          </w:tcPr>
          <w:p w14:paraId="0088803F" w14:textId="77777777" w:rsidR="00F031A8" w:rsidRPr="009E793C" w:rsidRDefault="00F031A8" w:rsidP="009E793C">
            <w:pPr>
              <w:spacing w:line="120" w:lineRule="exact"/>
              <w:rPr>
                <w:rFonts w:asciiTheme="minorHAnsi" w:hAnsiTheme="minorHAnsi" w:cstheme="minorHAnsi"/>
                <w:sz w:val="22"/>
                <w:szCs w:val="22"/>
              </w:rPr>
            </w:pPr>
          </w:p>
          <w:p w14:paraId="0FAC9455" w14:textId="6B0D427E" w:rsidR="00F031A8" w:rsidRPr="009E793C" w:rsidRDefault="00F031A8" w:rsidP="00C66BB5">
            <w:pPr>
              <w:jc w:val="center"/>
              <w:rPr>
                <w:rFonts w:asciiTheme="minorHAnsi" w:hAnsiTheme="minorHAnsi" w:cstheme="minorHAnsi"/>
                <w:sz w:val="22"/>
                <w:szCs w:val="22"/>
              </w:rPr>
            </w:pPr>
            <w:r w:rsidRPr="009E793C">
              <w:rPr>
                <w:rFonts w:asciiTheme="minorHAnsi" w:hAnsiTheme="minorHAnsi" w:cstheme="minorHAnsi"/>
                <w:sz w:val="22"/>
                <w:szCs w:val="22"/>
              </w:rPr>
              <w:t xml:space="preserve">* </w:t>
            </w:r>
            <w:r w:rsidR="00813852" w:rsidRPr="009E793C">
              <w:rPr>
                <w:rFonts w:asciiTheme="minorHAnsi" w:hAnsiTheme="minorHAnsi" w:cstheme="minorHAnsi"/>
                <w:sz w:val="22"/>
                <w:szCs w:val="22"/>
              </w:rPr>
              <w:t>Line-item</w:t>
            </w:r>
            <w:r w:rsidRPr="009E793C">
              <w:rPr>
                <w:rFonts w:asciiTheme="minorHAnsi" w:hAnsiTheme="minorHAnsi" w:cstheme="minorHAnsi"/>
                <w:sz w:val="22"/>
                <w:szCs w:val="22"/>
              </w:rPr>
              <w:t xml:space="preserve"> budget changes &gt; 10%</w:t>
            </w:r>
          </w:p>
          <w:p w14:paraId="6AC33122" w14:textId="77777777" w:rsidR="00F031A8" w:rsidRPr="009E793C" w:rsidRDefault="00F031A8" w:rsidP="00C66BB5">
            <w:pPr>
              <w:jc w:val="center"/>
              <w:rPr>
                <w:rFonts w:asciiTheme="minorHAnsi" w:hAnsiTheme="minorHAnsi" w:cstheme="minorHAnsi"/>
                <w:sz w:val="22"/>
                <w:szCs w:val="22"/>
              </w:rPr>
            </w:pPr>
            <w:r w:rsidRPr="009E793C">
              <w:rPr>
                <w:rFonts w:asciiTheme="minorHAnsi" w:hAnsiTheme="minorHAnsi" w:cstheme="minorHAnsi"/>
                <w:sz w:val="22"/>
                <w:szCs w:val="22"/>
              </w:rPr>
              <w:t>* Work plan/project period changes</w:t>
            </w:r>
          </w:p>
          <w:p w14:paraId="5D40C9CB" w14:textId="77777777" w:rsidR="00F031A8" w:rsidRPr="00C66BB5" w:rsidRDefault="00F031A8" w:rsidP="00C66BB5">
            <w:pPr>
              <w:jc w:val="center"/>
              <w:rPr>
                <w:rFonts w:asciiTheme="minorHAnsi" w:hAnsiTheme="minorHAnsi" w:cstheme="minorHAnsi"/>
              </w:rPr>
            </w:pPr>
            <w:r w:rsidRPr="009E793C">
              <w:rPr>
                <w:rFonts w:asciiTheme="minorHAnsi" w:hAnsiTheme="minorHAnsi" w:cstheme="minorHAnsi"/>
                <w:sz w:val="22"/>
                <w:szCs w:val="22"/>
              </w:rPr>
              <w:t>* Out-of state travel</w:t>
            </w:r>
          </w:p>
        </w:tc>
      </w:tr>
      <w:tr w:rsidR="00ED2462" w:rsidRPr="00C66BB5" w14:paraId="6F1DDB56" w14:textId="77777777" w:rsidTr="009212C4">
        <w:tc>
          <w:tcPr>
            <w:tcW w:w="2609" w:type="dxa"/>
            <w:tcBorders>
              <w:left w:val="single" w:sz="8" w:space="0" w:color="000000"/>
              <w:right w:val="single" w:sz="8" w:space="0" w:color="000000"/>
            </w:tcBorders>
            <w:shd w:val="clear" w:color="auto" w:fill="auto"/>
          </w:tcPr>
          <w:p w14:paraId="694DCECF" w14:textId="77777777" w:rsidR="00ED2462" w:rsidRPr="00C66BB5" w:rsidRDefault="00ED2462" w:rsidP="009A37CA">
            <w:pPr>
              <w:spacing w:line="120" w:lineRule="exact"/>
              <w:rPr>
                <w:rFonts w:asciiTheme="minorHAnsi" w:hAnsiTheme="minorHAnsi" w:cstheme="minorHAnsi"/>
              </w:rPr>
            </w:pPr>
          </w:p>
          <w:p w14:paraId="6903C931" w14:textId="77777777" w:rsidR="00ED2462" w:rsidRPr="00C66BB5" w:rsidRDefault="00ED2462" w:rsidP="009A37CA">
            <w:pPr>
              <w:spacing w:after="58"/>
              <w:rPr>
                <w:rFonts w:asciiTheme="minorHAnsi" w:hAnsiTheme="minorHAnsi" w:cstheme="minorHAnsi"/>
                <w:b/>
                <w:bCs/>
              </w:rPr>
            </w:pPr>
            <w:r w:rsidRPr="00C66BB5">
              <w:rPr>
                <w:rFonts w:asciiTheme="minorHAnsi" w:hAnsiTheme="minorHAnsi" w:cstheme="minorHAnsi"/>
                <w:b/>
                <w:bCs/>
              </w:rPr>
              <w:t>Grantee Reimbursement Request Review</w:t>
            </w:r>
          </w:p>
        </w:tc>
        <w:tc>
          <w:tcPr>
            <w:tcW w:w="12079" w:type="dxa"/>
            <w:gridSpan w:val="3"/>
            <w:shd w:val="clear" w:color="auto" w:fill="auto"/>
          </w:tcPr>
          <w:p w14:paraId="514A4F84" w14:textId="77777777" w:rsidR="00ED2462" w:rsidRPr="00C66BB5" w:rsidRDefault="00ED2462" w:rsidP="009A37CA">
            <w:pPr>
              <w:spacing w:line="120" w:lineRule="exact"/>
              <w:rPr>
                <w:rFonts w:asciiTheme="minorHAnsi" w:hAnsiTheme="minorHAnsi" w:cstheme="minorHAnsi"/>
                <w:b/>
                <w:bCs/>
              </w:rPr>
            </w:pPr>
          </w:p>
          <w:p w14:paraId="2AD95851" w14:textId="77777777" w:rsidR="00ED2462" w:rsidRPr="00C66BB5" w:rsidRDefault="00C812CE" w:rsidP="00C66BB5">
            <w:pPr>
              <w:spacing w:after="58"/>
              <w:rPr>
                <w:rFonts w:asciiTheme="minorHAnsi" w:hAnsiTheme="minorHAnsi" w:cstheme="minorHAnsi"/>
                <w:sz w:val="22"/>
                <w:szCs w:val="22"/>
              </w:rPr>
            </w:pPr>
            <w:r w:rsidRPr="00C66BB5">
              <w:rPr>
                <w:rFonts w:asciiTheme="minorHAnsi" w:hAnsiTheme="minorHAnsi" w:cstheme="minorHAnsi"/>
                <w:sz w:val="22"/>
                <w:szCs w:val="22"/>
              </w:rPr>
              <w:t>All grantee reimbursement r</w:t>
            </w:r>
            <w:r w:rsidR="00ED2462" w:rsidRPr="00C66BB5">
              <w:rPr>
                <w:rFonts w:asciiTheme="minorHAnsi" w:hAnsiTheme="minorHAnsi" w:cstheme="minorHAnsi"/>
                <w:sz w:val="22"/>
                <w:szCs w:val="22"/>
              </w:rPr>
              <w:t>equest</w:t>
            </w:r>
            <w:r w:rsidRPr="00C66BB5">
              <w:rPr>
                <w:rFonts w:asciiTheme="minorHAnsi" w:hAnsiTheme="minorHAnsi" w:cstheme="minorHAnsi"/>
                <w:sz w:val="22"/>
                <w:szCs w:val="22"/>
              </w:rPr>
              <w:t>s</w:t>
            </w:r>
            <w:r w:rsidR="00ED2462" w:rsidRPr="00C66BB5">
              <w:rPr>
                <w:rFonts w:asciiTheme="minorHAnsi" w:hAnsiTheme="minorHAnsi" w:cstheme="minorHAnsi"/>
                <w:sz w:val="22"/>
                <w:szCs w:val="22"/>
              </w:rPr>
              <w:t xml:space="preserve"> </w:t>
            </w:r>
            <w:r w:rsidRPr="00C66BB5">
              <w:rPr>
                <w:rFonts w:asciiTheme="minorHAnsi" w:hAnsiTheme="minorHAnsi" w:cstheme="minorHAnsi"/>
                <w:sz w:val="22"/>
                <w:szCs w:val="22"/>
              </w:rPr>
              <w:t>are</w:t>
            </w:r>
            <w:r w:rsidR="00ED2462" w:rsidRPr="00C66BB5">
              <w:rPr>
                <w:rFonts w:asciiTheme="minorHAnsi" w:hAnsiTheme="minorHAnsi" w:cstheme="minorHAnsi"/>
                <w:sz w:val="22"/>
                <w:szCs w:val="22"/>
              </w:rPr>
              <w:t xml:space="preserve"> reviewed to confirm that expenses are within budget and correlate to activities underway</w:t>
            </w:r>
            <w:r w:rsidRPr="00C66BB5">
              <w:rPr>
                <w:rFonts w:asciiTheme="minorHAnsi" w:hAnsiTheme="minorHAnsi" w:cstheme="minorHAnsi"/>
                <w:sz w:val="22"/>
                <w:szCs w:val="22"/>
              </w:rPr>
              <w:t>.</w:t>
            </w:r>
          </w:p>
        </w:tc>
      </w:tr>
      <w:tr w:rsidR="00ED2462" w:rsidRPr="00C66BB5" w14:paraId="7BDC5A39" w14:textId="77777777" w:rsidTr="00535CB4">
        <w:tc>
          <w:tcPr>
            <w:tcW w:w="2609" w:type="dxa"/>
            <w:tcBorders>
              <w:top w:val="single" w:sz="8" w:space="0" w:color="000000"/>
              <w:left w:val="single" w:sz="8" w:space="0" w:color="000000"/>
              <w:bottom w:val="single" w:sz="8" w:space="0" w:color="000000"/>
              <w:right w:val="single" w:sz="8" w:space="0" w:color="000000"/>
            </w:tcBorders>
            <w:shd w:val="clear" w:color="auto" w:fill="auto"/>
          </w:tcPr>
          <w:p w14:paraId="6774701F" w14:textId="77777777" w:rsidR="00ED2462" w:rsidRPr="00C66BB5" w:rsidRDefault="00ED2462" w:rsidP="009A37CA">
            <w:pPr>
              <w:spacing w:line="120" w:lineRule="exact"/>
              <w:rPr>
                <w:rFonts w:asciiTheme="minorHAnsi" w:hAnsiTheme="minorHAnsi" w:cstheme="minorHAnsi"/>
              </w:rPr>
            </w:pPr>
          </w:p>
          <w:p w14:paraId="78FE3518" w14:textId="77777777" w:rsidR="00ED2462" w:rsidRPr="00C66BB5" w:rsidRDefault="00ED2462" w:rsidP="009A37CA">
            <w:pPr>
              <w:spacing w:after="58"/>
              <w:rPr>
                <w:rFonts w:asciiTheme="minorHAnsi" w:hAnsiTheme="minorHAnsi" w:cstheme="minorHAnsi"/>
                <w:b/>
                <w:bCs/>
              </w:rPr>
            </w:pPr>
            <w:r w:rsidRPr="00C66BB5">
              <w:rPr>
                <w:rFonts w:asciiTheme="minorHAnsi" w:hAnsiTheme="minorHAnsi" w:cstheme="minorHAnsi"/>
                <w:b/>
                <w:bCs/>
              </w:rPr>
              <w:t>Report Review</w:t>
            </w:r>
          </w:p>
        </w:tc>
        <w:tc>
          <w:tcPr>
            <w:tcW w:w="12079" w:type="dxa"/>
            <w:gridSpan w:val="3"/>
            <w:tcBorders>
              <w:top w:val="single" w:sz="8" w:space="0" w:color="000000"/>
              <w:bottom w:val="single" w:sz="8" w:space="0" w:color="000000"/>
              <w:right w:val="single" w:sz="8" w:space="0" w:color="000000"/>
            </w:tcBorders>
            <w:shd w:val="clear" w:color="auto" w:fill="auto"/>
          </w:tcPr>
          <w:p w14:paraId="4B47BFC5" w14:textId="77777777" w:rsidR="00ED2462" w:rsidRPr="00C66BB5" w:rsidRDefault="00ED2462" w:rsidP="009A37CA">
            <w:pPr>
              <w:spacing w:line="120" w:lineRule="exact"/>
              <w:rPr>
                <w:rFonts w:asciiTheme="minorHAnsi" w:hAnsiTheme="minorHAnsi" w:cstheme="minorHAnsi"/>
                <w:b/>
                <w:bCs/>
                <w:sz w:val="22"/>
                <w:szCs w:val="22"/>
              </w:rPr>
            </w:pPr>
          </w:p>
          <w:p w14:paraId="1A94D1B2" w14:textId="77777777" w:rsidR="00ED2462" w:rsidRPr="00C66BB5" w:rsidRDefault="00ED2462" w:rsidP="00C66BB5">
            <w:pPr>
              <w:rPr>
                <w:rFonts w:asciiTheme="minorHAnsi" w:hAnsiTheme="minorHAnsi" w:cstheme="minorHAnsi"/>
                <w:sz w:val="22"/>
                <w:szCs w:val="22"/>
              </w:rPr>
            </w:pPr>
            <w:r w:rsidRPr="00C66BB5">
              <w:rPr>
                <w:rFonts w:asciiTheme="minorHAnsi" w:hAnsiTheme="minorHAnsi" w:cstheme="minorHAnsi"/>
                <w:sz w:val="22"/>
                <w:szCs w:val="22"/>
              </w:rPr>
              <w:t>Quarterly or Annually based on grant type, appropriation requirements, etc.</w:t>
            </w:r>
            <w:r w:rsidR="00C812CE" w:rsidRPr="00C66BB5">
              <w:rPr>
                <w:rFonts w:asciiTheme="minorHAnsi" w:hAnsiTheme="minorHAnsi" w:cstheme="minorHAnsi"/>
                <w:sz w:val="22"/>
                <w:szCs w:val="22"/>
              </w:rPr>
              <w:t xml:space="preserve">  Align with grant monitoring schedule.</w:t>
            </w:r>
          </w:p>
          <w:p w14:paraId="5A3D4712" w14:textId="77777777" w:rsidR="00ED2462" w:rsidRPr="00C66BB5" w:rsidRDefault="00ED2462" w:rsidP="009A37CA">
            <w:pPr>
              <w:jc w:val="center"/>
              <w:rPr>
                <w:rFonts w:asciiTheme="minorHAnsi" w:hAnsiTheme="minorHAnsi" w:cstheme="minorHAnsi"/>
              </w:rPr>
            </w:pPr>
          </w:p>
        </w:tc>
      </w:tr>
      <w:tr w:rsidR="00ED2462" w:rsidRPr="00C66BB5" w14:paraId="38C2C879" w14:textId="77777777" w:rsidTr="00825936">
        <w:trPr>
          <w:trHeight w:val="934"/>
        </w:trPr>
        <w:tc>
          <w:tcPr>
            <w:tcW w:w="2609" w:type="dxa"/>
            <w:tcBorders>
              <w:top w:val="single" w:sz="8" w:space="0" w:color="000000"/>
              <w:left w:val="single" w:sz="8" w:space="0" w:color="000000"/>
              <w:bottom w:val="single" w:sz="8" w:space="0" w:color="000000"/>
              <w:right w:val="single" w:sz="8" w:space="0" w:color="000000"/>
            </w:tcBorders>
            <w:shd w:val="clear" w:color="auto" w:fill="auto"/>
          </w:tcPr>
          <w:p w14:paraId="4F7E30FF" w14:textId="77777777" w:rsidR="00ED2462" w:rsidRPr="00C66BB5" w:rsidRDefault="00ED2462" w:rsidP="009A37CA">
            <w:pPr>
              <w:spacing w:line="120" w:lineRule="exact"/>
              <w:rPr>
                <w:rFonts w:asciiTheme="minorHAnsi" w:hAnsiTheme="minorHAnsi" w:cstheme="minorHAnsi"/>
              </w:rPr>
            </w:pPr>
          </w:p>
          <w:p w14:paraId="372A7CE1" w14:textId="77777777" w:rsidR="00ED2462" w:rsidRPr="00C66BB5" w:rsidRDefault="00ED2462" w:rsidP="008E1CEF">
            <w:pPr>
              <w:rPr>
                <w:rFonts w:asciiTheme="minorHAnsi" w:hAnsiTheme="minorHAnsi" w:cstheme="minorHAnsi"/>
                <w:b/>
              </w:rPr>
            </w:pPr>
            <w:r w:rsidRPr="00C66BB5">
              <w:rPr>
                <w:rFonts w:asciiTheme="minorHAnsi" w:hAnsiTheme="minorHAnsi" w:cstheme="minorHAnsi"/>
                <w:b/>
                <w:bCs/>
              </w:rPr>
              <w:t>Financial Reconciliation</w:t>
            </w:r>
          </w:p>
        </w:tc>
        <w:tc>
          <w:tcPr>
            <w:tcW w:w="3780" w:type="dxa"/>
            <w:tcBorders>
              <w:top w:val="single" w:sz="8" w:space="0" w:color="000000"/>
              <w:bottom w:val="single" w:sz="8" w:space="0" w:color="000000"/>
            </w:tcBorders>
            <w:shd w:val="clear" w:color="auto" w:fill="auto"/>
          </w:tcPr>
          <w:p w14:paraId="7405A032" w14:textId="77777777" w:rsidR="00ED2462" w:rsidRPr="00C66BB5" w:rsidRDefault="00ED2462" w:rsidP="00C66BB5">
            <w:pPr>
              <w:spacing w:line="120" w:lineRule="exact"/>
              <w:rPr>
                <w:rFonts w:asciiTheme="minorHAnsi" w:hAnsiTheme="minorHAnsi" w:cstheme="minorHAnsi"/>
                <w:b/>
                <w:bCs/>
              </w:rPr>
            </w:pPr>
          </w:p>
          <w:p w14:paraId="16DFA3EA" w14:textId="77777777" w:rsidR="00ED2462" w:rsidRPr="00C66BB5" w:rsidRDefault="00ED2462" w:rsidP="00C66BB5">
            <w:pPr>
              <w:pStyle w:val="NoSpacing"/>
              <w:rPr>
                <w:rFonts w:asciiTheme="minorHAnsi" w:hAnsiTheme="minorHAnsi" w:cstheme="minorHAnsi"/>
                <w:sz w:val="22"/>
                <w:szCs w:val="22"/>
              </w:rPr>
            </w:pPr>
            <w:r w:rsidRPr="00C66BB5">
              <w:rPr>
                <w:rFonts w:asciiTheme="minorHAnsi" w:hAnsiTheme="minorHAnsi" w:cstheme="minorHAnsi"/>
                <w:sz w:val="22"/>
                <w:szCs w:val="22"/>
              </w:rPr>
              <w:t>Best practice is for source documentation to be reconciled for one grantee reimbursement within first six months of the grant in order to identify any potential questions or practices that grantee needs to adjust</w:t>
            </w:r>
            <w:r w:rsidR="009A3BBA" w:rsidRPr="00C66BB5">
              <w:rPr>
                <w:rFonts w:asciiTheme="minorHAnsi" w:hAnsiTheme="minorHAnsi" w:cstheme="minorHAnsi"/>
                <w:sz w:val="22"/>
                <w:szCs w:val="22"/>
              </w:rPr>
              <w:t>.</w:t>
            </w:r>
            <w:r w:rsidRPr="00C66BB5">
              <w:rPr>
                <w:rFonts w:asciiTheme="minorHAnsi" w:hAnsiTheme="minorHAnsi" w:cstheme="minorHAnsi"/>
                <w:sz w:val="22"/>
                <w:szCs w:val="22"/>
              </w:rPr>
              <w:t xml:space="preserve">  Minimum requirement is to complete before grant final payment.  </w:t>
            </w:r>
          </w:p>
        </w:tc>
        <w:tc>
          <w:tcPr>
            <w:tcW w:w="8299" w:type="dxa"/>
            <w:gridSpan w:val="2"/>
            <w:tcBorders>
              <w:top w:val="single" w:sz="8" w:space="0" w:color="000000"/>
              <w:left w:val="single" w:sz="8" w:space="0" w:color="000000"/>
              <w:bottom w:val="single" w:sz="8" w:space="0" w:color="000000"/>
              <w:right w:val="single" w:sz="8" w:space="0" w:color="000000"/>
            </w:tcBorders>
            <w:shd w:val="clear" w:color="auto" w:fill="auto"/>
          </w:tcPr>
          <w:p w14:paraId="1CA00454" w14:textId="77777777" w:rsidR="00ED2462" w:rsidRPr="00C66BB5" w:rsidRDefault="00ED2462" w:rsidP="00C66BB5">
            <w:pPr>
              <w:spacing w:line="120" w:lineRule="exact"/>
              <w:rPr>
                <w:rFonts w:asciiTheme="minorHAnsi" w:hAnsiTheme="minorHAnsi" w:cstheme="minorHAnsi"/>
                <w:sz w:val="22"/>
                <w:szCs w:val="22"/>
              </w:rPr>
            </w:pPr>
          </w:p>
          <w:p w14:paraId="41D2C675" w14:textId="77777777" w:rsidR="00ED2462" w:rsidRPr="00C66BB5" w:rsidRDefault="00C812CE" w:rsidP="00C66BB5">
            <w:pPr>
              <w:pStyle w:val="NoSpacing"/>
              <w:rPr>
                <w:rFonts w:asciiTheme="minorHAnsi" w:hAnsiTheme="minorHAnsi" w:cstheme="minorHAnsi"/>
                <w:sz w:val="22"/>
                <w:szCs w:val="22"/>
              </w:rPr>
            </w:pPr>
            <w:r w:rsidRPr="00C66BB5">
              <w:rPr>
                <w:rFonts w:asciiTheme="minorHAnsi" w:hAnsiTheme="minorHAnsi" w:cstheme="minorHAnsi"/>
                <w:sz w:val="22"/>
                <w:szCs w:val="22"/>
              </w:rPr>
              <w:t>Best practice is for source documentation to be reconciled mid-grant period in order to identify any potential questions or practices that grantee needs to adjust. Minimum requirement is to complete before grant final payment.</w:t>
            </w:r>
            <w:r w:rsidR="00ED2462" w:rsidRPr="00C66BB5">
              <w:rPr>
                <w:rFonts w:asciiTheme="minorHAnsi" w:hAnsiTheme="minorHAnsi" w:cstheme="minorHAnsi"/>
                <w:sz w:val="22"/>
                <w:szCs w:val="22"/>
              </w:rPr>
              <w:t xml:space="preserve"> </w:t>
            </w:r>
          </w:p>
          <w:p w14:paraId="4E145C55" w14:textId="77777777" w:rsidR="00ED2462" w:rsidRPr="00C66BB5" w:rsidRDefault="00ED2462" w:rsidP="00C66BB5">
            <w:pPr>
              <w:spacing w:line="120" w:lineRule="exact"/>
              <w:rPr>
                <w:rFonts w:asciiTheme="minorHAnsi" w:hAnsiTheme="minorHAnsi" w:cstheme="minorHAnsi"/>
                <w:sz w:val="22"/>
                <w:szCs w:val="22"/>
              </w:rPr>
            </w:pPr>
          </w:p>
          <w:p w14:paraId="7E26FCF2" w14:textId="77777777" w:rsidR="00ED2462" w:rsidRPr="00C66BB5" w:rsidRDefault="00ED2462" w:rsidP="00C66BB5">
            <w:pPr>
              <w:pStyle w:val="NoSpacing"/>
              <w:rPr>
                <w:rFonts w:asciiTheme="minorHAnsi" w:hAnsiTheme="minorHAnsi" w:cstheme="minorHAnsi"/>
                <w:sz w:val="22"/>
                <w:szCs w:val="22"/>
              </w:rPr>
            </w:pPr>
          </w:p>
        </w:tc>
      </w:tr>
      <w:tr w:rsidR="00CB6218" w:rsidRPr="00C66BB5" w14:paraId="105EE183" w14:textId="77777777" w:rsidTr="0016625A">
        <w:trPr>
          <w:trHeight w:val="1762"/>
        </w:trPr>
        <w:tc>
          <w:tcPr>
            <w:tcW w:w="2609" w:type="dxa"/>
            <w:tcBorders>
              <w:left w:val="single" w:sz="8" w:space="0" w:color="000000"/>
              <w:right w:val="single" w:sz="8" w:space="0" w:color="000000"/>
            </w:tcBorders>
            <w:shd w:val="clear" w:color="auto" w:fill="auto"/>
          </w:tcPr>
          <w:p w14:paraId="2391ADD7" w14:textId="77777777" w:rsidR="00CB6218" w:rsidRPr="00C66BB5" w:rsidRDefault="00CB6218" w:rsidP="009A37CA">
            <w:pPr>
              <w:spacing w:line="120" w:lineRule="exact"/>
              <w:rPr>
                <w:rFonts w:asciiTheme="minorHAnsi" w:hAnsiTheme="minorHAnsi" w:cstheme="minorHAnsi"/>
              </w:rPr>
            </w:pPr>
          </w:p>
          <w:p w14:paraId="26C6C974" w14:textId="77777777" w:rsidR="00CB6218" w:rsidRPr="00C66BB5" w:rsidRDefault="00CB6218" w:rsidP="009A37CA">
            <w:pPr>
              <w:spacing w:after="58"/>
              <w:rPr>
                <w:rFonts w:asciiTheme="minorHAnsi" w:hAnsiTheme="minorHAnsi" w:cstheme="minorHAnsi"/>
                <w:b/>
                <w:bCs/>
              </w:rPr>
            </w:pPr>
            <w:r w:rsidRPr="00C66BB5">
              <w:rPr>
                <w:rFonts w:asciiTheme="minorHAnsi" w:hAnsiTheme="minorHAnsi" w:cstheme="minorHAnsi"/>
                <w:b/>
                <w:bCs/>
              </w:rPr>
              <w:t>Comprehensive Monitoring Site Visit &amp; Report</w:t>
            </w:r>
          </w:p>
          <w:p w14:paraId="332B3165" w14:textId="77777777" w:rsidR="00CB6218" w:rsidRPr="00C66BB5" w:rsidRDefault="00CB6218" w:rsidP="009A37CA">
            <w:pPr>
              <w:spacing w:after="58"/>
              <w:rPr>
                <w:rFonts w:asciiTheme="minorHAnsi" w:hAnsiTheme="minorHAnsi" w:cstheme="minorHAnsi"/>
                <w:b/>
                <w:bCs/>
              </w:rPr>
            </w:pPr>
            <w:r w:rsidRPr="00C66BB5">
              <w:rPr>
                <w:rFonts w:asciiTheme="minorHAnsi" w:hAnsiTheme="minorHAnsi" w:cstheme="minorHAnsi"/>
                <w:b/>
                <w:bCs/>
              </w:rPr>
              <w:t>(preferably in person)</w:t>
            </w:r>
          </w:p>
        </w:tc>
        <w:tc>
          <w:tcPr>
            <w:tcW w:w="3780" w:type="dxa"/>
            <w:shd w:val="clear" w:color="auto" w:fill="auto"/>
          </w:tcPr>
          <w:p w14:paraId="1B12C9C2" w14:textId="77777777" w:rsidR="00CB6218" w:rsidRPr="00C66BB5" w:rsidRDefault="00CB6218" w:rsidP="009A37CA">
            <w:pPr>
              <w:spacing w:line="120" w:lineRule="exact"/>
              <w:rPr>
                <w:rFonts w:asciiTheme="minorHAnsi" w:hAnsiTheme="minorHAnsi" w:cstheme="minorHAnsi"/>
                <w:b/>
                <w:bCs/>
                <w:sz w:val="22"/>
                <w:szCs w:val="22"/>
              </w:rPr>
            </w:pPr>
          </w:p>
          <w:p w14:paraId="45A96E54" w14:textId="77777777" w:rsidR="00CB6218" w:rsidRPr="00C66BB5" w:rsidRDefault="00CB6218" w:rsidP="00C66BB5">
            <w:pPr>
              <w:spacing w:after="58"/>
              <w:rPr>
                <w:rFonts w:asciiTheme="minorHAnsi" w:hAnsiTheme="minorHAnsi" w:cstheme="minorHAnsi"/>
                <w:sz w:val="22"/>
                <w:szCs w:val="22"/>
              </w:rPr>
            </w:pPr>
            <w:r w:rsidRPr="00C66BB5">
              <w:rPr>
                <w:rFonts w:asciiTheme="minorHAnsi" w:hAnsiTheme="minorHAnsi" w:cstheme="minorHAnsi"/>
                <w:sz w:val="22"/>
                <w:szCs w:val="22"/>
              </w:rPr>
              <w:t xml:space="preserve">Best practice is within first six months of the grant.  Minimum requirement is to complete before grant final payment.  </w:t>
            </w:r>
          </w:p>
        </w:tc>
        <w:tc>
          <w:tcPr>
            <w:tcW w:w="8299" w:type="dxa"/>
            <w:gridSpan w:val="2"/>
            <w:tcBorders>
              <w:left w:val="single" w:sz="8" w:space="0" w:color="000000"/>
              <w:bottom w:val="single" w:sz="8" w:space="0" w:color="000000"/>
            </w:tcBorders>
            <w:shd w:val="clear" w:color="auto" w:fill="auto"/>
          </w:tcPr>
          <w:p w14:paraId="0FFA5BDE" w14:textId="77777777" w:rsidR="00CB6218" w:rsidRPr="00C66BB5" w:rsidRDefault="00CB6218" w:rsidP="009A37CA">
            <w:pPr>
              <w:spacing w:line="120" w:lineRule="exact"/>
              <w:rPr>
                <w:rFonts w:asciiTheme="minorHAnsi" w:hAnsiTheme="minorHAnsi" w:cstheme="minorHAnsi"/>
              </w:rPr>
            </w:pPr>
          </w:p>
          <w:p w14:paraId="6E5F441C" w14:textId="482CFBDE" w:rsidR="00C66BB5" w:rsidRDefault="00CB6218" w:rsidP="00C66BB5">
            <w:pPr>
              <w:spacing w:after="58"/>
              <w:rPr>
                <w:rFonts w:asciiTheme="minorHAnsi" w:hAnsiTheme="minorHAnsi" w:cstheme="minorHAnsi"/>
                <w:sz w:val="22"/>
                <w:szCs w:val="22"/>
              </w:rPr>
            </w:pPr>
            <w:r w:rsidRPr="00C66BB5">
              <w:rPr>
                <w:rFonts w:asciiTheme="minorHAnsi" w:hAnsiTheme="minorHAnsi" w:cstheme="minorHAnsi"/>
                <w:sz w:val="22"/>
                <w:szCs w:val="22"/>
              </w:rPr>
              <w:t xml:space="preserve">Best practice is within first 9 months - year of the grant. Minimum requirement is to complete before grant final payment. Frequency based on grant amount </w:t>
            </w:r>
            <w:r w:rsidR="003523D6" w:rsidRPr="00CA58A8">
              <w:rPr>
                <w:rFonts w:asciiTheme="minorHAnsi" w:hAnsiTheme="minorHAnsi" w:cstheme="minorHAnsi"/>
                <w:sz w:val="22"/>
                <w:szCs w:val="22"/>
              </w:rPr>
              <w:t>and</w:t>
            </w:r>
            <w:r w:rsidRPr="00CA58A8">
              <w:rPr>
                <w:rFonts w:asciiTheme="minorHAnsi" w:hAnsiTheme="minorHAnsi" w:cstheme="minorHAnsi"/>
                <w:sz w:val="22"/>
                <w:szCs w:val="22"/>
              </w:rPr>
              <w:t xml:space="preserve"> </w:t>
            </w:r>
            <w:r w:rsidR="005049B6" w:rsidRPr="00CA58A8">
              <w:rPr>
                <w:rFonts w:asciiTheme="minorHAnsi" w:hAnsiTheme="minorHAnsi" w:cstheme="minorHAnsi"/>
                <w:sz w:val="22"/>
                <w:szCs w:val="22"/>
              </w:rPr>
              <w:t xml:space="preserve">preaward </w:t>
            </w:r>
            <w:r w:rsidRPr="00C66BB5">
              <w:rPr>
                <w:rFonts w:asciiTheme="minorHAnsi" w:hAnsiTheme="minorHAnsi" w:cstheme="minorHAnsi"/>
                <w:sz w:val="22"/>
                <w:szCs w:val="22"/>
              </w:rPr>
              <w:t>risk assessment – i.e.</w:t>
            </w:r>
            <w:r w:rsidR="00C66BB5" w:rsidRPr="00C66BB5">
              <w:rPr>
                <w:rFonts w:asciiTheme="minorHAnsi" w:hAnsiTheme="minorHAnsi" w:cstheme="minorHAnsi"/>
                <w:sz w:val="22"/>
                <w:szCs w:val="22"/>
              </w:rPr>
              <w:t xml:space="preserve"> </w:t>
            </w:r>
          </w:p>
          <w:p w14:paraId="156330A2" w14:textId="56809960" w:rsidR="00CB6218" w:rsidRDefault="00CB6218" w:rsidP="00C66BB5">
            <w:pPr>
              <w:pStyle w:val="ListParagraph"/>
              <w:numPr>
                <w:ilvl w:val="0"/>
                <w:numId w:val="2"/>
              </w:numPr>
              <w:spacing w:after="58"/>
              <w:rPr>
                <w:rFonts w:asciiTheme="minorHAnsi" w:hAnsiTheme="minorHAnsi" w:cstheme="minorHAnsi"/>
                <w:sz w:val="22"/>
                <w:szCs w:val="22"/>
              </w:rPr>
            </w:pPr>
            <w:r w:rsidRPr="00C66BB5">
              <w:rPr>
                <w:rFonts w:asciiTheme="minorHAnsi" w:hAnsiTheme="minorHAnsi" w:cstheme="minorHAnsi"/>
                <w:sz w:val="22"/>
                <w:szCs w:val="22"/>
              </w:rPr>
              <w:t xml:space="preserve">$250,000 &amp; above – </w:t>
            </w:r>
            <w:r w:rsidR="00B36798" w:rsidRPr="00CA58A8">
              <w:rPr>
                <w:rFonts w:asciiTheme="minorHAnsi" w:hAnsiTheme="minorHAnsi" w:cstheme="minorHAnsi"/>
                <w:sz w:val="22"/>
                <w:szCs w:val="22"/>
              </w:rPr>
              <w:t xml:space="preserve">at least </w:t>
            </w:r>
            <w:r w:rsidRPr="00C66BB5">
              <w:rPr>
                <w:rFonts w:asciiTheme="minorHAnsi" w:hAnsiTheme="minorHAnsi" w:cstheme="minorHAnsi"/>
                <w:sz w:val="22"/>
                <w:szCs w:val="22"/>
              </w:rPr>
              <w:t>annually</w:t>
            </w:r>
            <w:r w:rsidR="00D35C3F">
              <w:rPr>
                <w:rFonts w:asciiTheme="minorHAnsi" w:hAnsiTheme="minorHAnsi" w:cstheme="minorHAnsi"/>
                <w:sz w:val="22"/>
                <w:szCs w:val="22"/>
              </w:rPr>
              <w:t xml:space="preserve"> </w:t>
            </w:r>
            <w:r w:rsidR="00D35C3F" w:rsidRPr="00CA58A8">
              <w:rPr>
                <w:rFonts w:asciiTheme="minorHAnsi" w:hAnsiTheme="minorHAnsi" w:cstheme="minorHAnsi"/>
                <w:sz w:val="22"/>
                <w:szCs w:val="22"/>
              </w:rPr>
              <w:t>and based on preaward risk assessment</w:t>
            </w:r>
          </w:p>
          <w:p w14:paraId="2044F45A" w14:textId="32D01EC9" w:rsidR="008B3FCF" w:rsidRPr="000E1A16" w:rsidRDefault="00CB6218" w:rsidP="000E1A16">
            <w:pPr>
              <w:pStyle w:val="ListParagraph"/>
              <w:numPr>
                <w:ilvl w:val="0"/>
                <w:numId w:val="2"/>
              </w:numPr>
              <w:spacing w:after="58"/>
              <w:rPr>
                <w:rFonts w:asciiTheme="minorHAnsi" w:hAnsiTheme="minorHAnsi" w:cstheme="minorHAnsi"/>
              </w:rPr>
            </w:pPr>
            <w:r w:rsidRPr="00C66BB5">
              <w:rPr>
                <w:rFonts w:asciiTheme="minorHAnsi" w:hAnsiTheme="minorHAnsi" w:cstheme="minorHAnsi"/>
                <w:sz w:val="22"/>
                <w:szCs w:val="22"/>
              </w:rPr>
              <w:t xml:space="preserve">$50,000 –$249,999: </w:t>
            </w:r>
            <w:r w:rsidR="00B36798" w:rsidRPr="00CA58A8">
              <w:rPr>
                <w:rFonts w:asciiTheme="minorHAnsi" w:hAnsiTheme="minorHAnsi" w:cstheme="minorHAnsi"/>
                <w:sz w:val="22"/>
                <w:szCs w:val="22"/>
              </w:rPr>
              <w:t xml:space="preserve">at least </w:t>
            </w:r>
            <w:r w:rsidRPr="00C66BB5">
              <w:rPr>
                <w:rFonts w:asciiTheme="minorHAnsi" w:hAnsiTheme="minorHAnsi" w:cstheme="minorHAnsi"/>
                <w:sz w:val="22"/>
                <w:szCs w:val="22"/>
              </w:rPr>
              <w:t xml:space="preserve">once within grant period </w:t>
            </w:r>
            <w:r w:rsidR="00D35C3F" w:rsidRPr="00CA58A8">
              <w:rPr>
                <w:rFonts w:asciiTheme="minorHAnsi" w:hAnsiTheme="minorHAnsi" w:cstheme="minorHAnsi"/>
                <w:sz w:val="22"/>
                <w:szCs w:val="22"/>
              </w:rPr>
              <w:t>and based on preaward risk assessment</w:t>
            </w:r>
          </w:p>
        </w:tc>
      </w:tr>
    </w:tbl>
    <w:p w14:paraId="22FE16A3" w14:textId="77777777" w:rsidR="00CA2D5F" w:rsidRPr="000E1A16" w:rsidRDefault="00CA2D5F" w:rsidP="000E1A16">
      <w:pPr>
        <w:rPr>
          <w:rFonts w:asciiTheme="minorHAnsi" w:hAnsiTheme="minorHAnsi" w:cstheme="minorHAnsi"/>
          <w:sz w:val="2"/>
          <w:szCs w:val="2"/>
        </w:rPr>
      </w:pPr>
    </w:p>
    <w:sectPr w:rsidR="00CA2D5F" w:rsidRPr="000E1A16" w:rsidSect="00484900">
      <w:type w:val="continuous"/>
      <w:pgSz w:w="15840" w:h="12240" w:orient="landscape"/>
      <w:pgMar w:top="245" w:right="720" w:bottom="245" w:left="720" w:header="547"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8C0EC" w14:textId="77777777" w:rsidR="00253117" w:rsidRDefault="00253117" w:rsidP="009473BC">
      <w:r>
        <w:separator/>
      </w:r>
    </w:p>
  </w:endnote>
  <w:endnote w:type="continuationSeparator" w:id="0">
    <w:p w14:paraId="7CF635DD" w14:textId="77777777" w:rsidR="00253117" w:rsidRDefault="00253117" w:rsidP="0094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A3685" w14:textId="77777777" w:rsidR="00253117" w:rsidRDefault="00253117" w:rsidP="009473BC">
      <w:r>
        <w:separator/>
      </w:r>
    </w:p>
  </w:footnote>
  <w:footnote w:type="continuationSeparator" w:id="0">
    <w:p w14:paraId="54531B6A" w14:textId="77777777" w:rsidR="00253117" w:rsidRDefault="00253117" w:rsidP="00947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B1622"/>
    <w:multiLevelType w:val="hybridMultilevel"/>
    <w:tmpl w:val="73F89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C433A1"/>
    <w:multiLevelType w:val="hybridMultilevel"/>
    <w:tmpl w:val="529E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010744">
    <w:abstractNumId w:val="0"/>
  </w:num>
  <w:num w:numId="2" w16cid:durableId="608468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5B"/>
    <w:rsid w:val="000372A3"/>
    <w:rsid w:val="00073B4C"/>
    <w:rsid w:val="000837DF"/>
    <w:rsid w:val="00094FDE"/>
    <w:rsid w:val="000E1A16"/>
    <w:rsid w:val="000F153B"/>
    <w:rsid w:val="000F3F34"/>
    <w:rsid w:val="00153AF6"/>
    <w:rsid w:val="00157626"/>
    <w:rsid w:val="0016625A"/>
    <w:rsid w:val="001C6D79"/>
    <w:rsid w:val="00220D1B"/>
    <w:rsid w:val="00244966"/>
    <w:rsid w:val="00253117"/>
    <w:rsid w:val="0028535B"/>
    <w:rsid w:val="00312DE8"/>
    <w:rsid w:val="003142B9"/>
    <w:rsid w:val="00343BA6"/>
    <w:rsid w:val="003523D6"/>
    <w:rsid w:val="003A5201"/>
    <w:rsid w:val="003B01E8"/>
    <w:rsid w:val="003D325D"/>
    <w:rsid w:val="00471BA8"/>
    <w:rsid w:val="00484900"/>
    <w:rsid w:val="0049226C"/>
    <w:rsid w:val="005049B6"/>
    <w:rsid w:val="00542DB1"/>
    <w:rsid w:val="00551121"/>
    <w:rsid w:val="00571347"/>
    <w:rsid w:val="005B08A7"/>
    <w:rsid w:val="00620A2D"/>
    <w:rsid w:val="0063554D"/>
    <w:rsid w:val="0063713F"/>
    <w:rsid w:val="006C0A79"/>
    <w:rsid w:val="006C0F74"/>
    <w:rsid w:val="00703D18"/>
    <w:rsid w:val="00704B7F"/>
    <w:rsid w:val="007874B9"/>
    <w:rsid w:val="007A4543"/>
    <w:rsid w:val="007E12A9"/>
    <w:rsid w:val="00813852"/>
    <w:rsid w:val="00830C65"/>
    <w:rsid w:val="00840FE2"/>
    <w:rsid w:val="00854682"/>
    <w:rsid w:val="00867961"/>
    <w:rsid w:val="00890DE5"/>
    <w:rsid w:val="008B0B9B"/>
    <w:rsid w:val="008B3FCF"/>
    <w:rsid w:val="008C683B"/>
    <w:rsid w:val="008E1CEF"/>
    <w:rsid w:val="009119D8"/>
    <w:rsid w:val="009473BC"/>
    <w:rsid w:val="009A37CA"/>
    <w:rsid w:val="009A39BF"/>
    <w:rsid w:val="009A3BBA"/>
    <w:rsid w:val="009E793C"/>
    <w:rsid w:val="00A0348B"/>
    <w:rsid w:val="00A93026"/>
    <w:rsid w:val="00AA796C"/>
    <w:rsid w:val="00AC0122"/>
    <w:rsid w:val="00B22880"/>
    <w:rsid w:val="00B36798"/>
    <w:rsid w:val="00BB05BD"/>
    <w:rsid w:val="00BD233D"/>
    <w:rsid w:val="00C66BB5"/>
    <w:rsid w:val="00C812CE"/>
    <w:rsid w:val="00CA2D5F"/>
    <w:rsid w:val="00CA58A8"/>
    <w:rsid w:val="00CB6218"/>
    <w:rsid w:val="00CD1858"/>
    <w:rsid w:val="00CE0FFA"/>
    <w:rsid w:val="00D35C3F"/>
    <w:rsid w:val="00D814B6"/>
    <w:rsid w:val="00D90BB1"/>
    <w:rsid w:val="00E514C5"/>
    <w:rsid w:val="00E60F46"/>
    <w:rsid w:val="00E85339"/>
    <w:rsid w:val="00E85C4B"/>
    <w:rsid w:val="00EC1C60"/>
    <w:rsid w:val="00EC2A18"/>
    <w:rsid w:val="00EC6B8B"/>
    <w:rsid w:val="00ED2462"/>
    <w:rsid w:val="00F031A8"/>
    <w:rsid w:val="00F45F94"/>
    <w:rsid w:val="00F5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52E901C"/>
  <w15:docId w15:val="{6BC7A900-8F48-453B-8E6E-AFBFAB7B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line="120" w:lineRule="exact"/>
      <w:outlineLvl w:val="0"/>
    </w:pPr>
    <w:rPr>
      <w:rFonts w:cs="Arial"/>
      <w:b/>
      <w:bCs/>
      <w:sz w:val="22"/>
      <w:szCs w:val="22"/>
    </w:rPr>
  </w:style>
  <w:style w:type="paragraph" w:styleId="Heading2">
    <w:name w:val="heading 2"/>
    <w:basedOn w:val="Normal"/>
    <w:next w:val="Normal"/>
    <w:qFormat/>
    <w:pPr>
      <w:keepNext/>
      <w:spacing w:after="58"/>
      <w:jc w:val="center"/>
      <w:outlineLvl w:val="1"/>
    </w:pPr>
    <w:rPr>
      <w:rFonts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NoSpacing">
    <w:name w:val="No Spacing"/>
    <w:uiPriority w:val="1"/>
    <w:qFormat/>
    <w:rsid w:val="00E85C4B"/>
    <w:pPr>
      <w:widowControl w:val="0"/>
      <w:autoSpaceDE w:val="0"/>
      <w:autoSpaceDN w:val="0"/>
      <w:adjustRightInd w:val="0"/>
    </w:pPr>
    <w:rPr>
      <w:rFonts w:ascii="Arial" w:hAnsi="Arial"/>
      <w:sz w:val="24"/>
      <w:szCs w:val="24"/>
    </w:rPr>
  </w:style>
  <w:style w:type="paragraph" w:styleId="BalloonText">
    <w:name w:val="Balloon Text"/>
    <w:basedOn w:val="Normal"/>
    <w:link w:val="BalloonTextChar"/>
    <w:uiPriority w:val="99"/>
    <w:semiHidden/>
    <w:unhideWhenUsed/>
    <w:rsid w:val="00854682"/>
    <w:rPr>
      <w:rFonts w:ascii="Tahoma" w:hAnsi="Tahoma" w:cs="Tahoma"/>
      <w:sz w:val="16"/>
      <w:szCs w:val="16"/>
    </w:rPr>
  </w:style>
  <w:style w:type="character" w:customStyle="1" w:styleId="BalloonTextChar">
    <w:name w:val="Balloon Text Char"/>
    <w:link w:val="BalloonText"/>
    <w:uiPriority w:val="99"/>
    <w:semiHidden/>
    <w:rsid w:val="00854682"/>
    <w:rPr>
      <w:rFonts w:ascii="Tahoma" w:hAnsi="Tahoma" w:cs="Tahoma"/>
      <w:sz w:val="16"/>
      <w:szCs w:val="16"/>
    </w:rPr>
  </w:style>
  <w:style w:type="paragraph" w:styleId="Header">
    <w:name w:val="header"/>
    <w:basedOn w:val="Normal"/>
    <w:link w:val="HeaderChar"/>
    <w:uiPriority w:val="99"/>
    <w:unhideWhenUsed/>
    <w:rsid w:val="009473BC"/>
    <w:pPr>
      <w:tabs>
        <w:tab w:val="center" w:pos="4680"/>
        <w:tab w:val="right" w:pos="9360"/>
      </w:tabs>
    </w:pPr>
  </w:style>
  <w:style w:type="character" w:customStyle="1" w:styleId="HeaderChar">
    <w:name w:val="Header Char"/>
    <w:link w:val="Header"/>
    <w:uiPriority w:val="99"/>
    <w:rsid w:val="009473BC"/>
    <w:rPr>
      <w:rFonts w:ascii="Arial" w:hAnsi="Arial"/>
      <w:sz w:val="24"/>
      <w:szCs w:val="24"/>
    </w:rPr>
  </w:style>
  <w:style w:type="paragraph" w:styleId="Footer">
    <w:name w:val="footer"/>
    <w:basedOn w:val="Normal"/>
    <w:link w:val="FooterChar"/>
    <w:uiPriority w:val="99"/>
    <w:unhideWhenUsed/>
    <w:rsid w:val="009473BC"/>
    <w:pPr>
      <w:tabs>
        <w:tab w:val="center" w:pos="4680"/>
        <w:tab w:val="right" w:pos="9360"/>
      </w:tabs>
    </w:pPr>
  </w:style>
  <w:style w:type="character" w:customStyle="1" w:styleId="FooterChar">
    <w:name w:val="Footer Char"/>
    <w:link w:val="Footer"/>
    <w:uiPriority w:val="99"/>
    <w:rsid w:val="009473BC"/>
    <w:rPr>
      <w:rFonts w:ascii="Arial" w:hAnsi="Arial"/>
      <w:sz w:val="24"/>
      <w:szCs w:val="24"/>
    </w:rPr>
  </w:style>
  <w:style w:type="table" w:styleId="LightList">
    <w:name w:val="Light List"/>
    <w:basedOn w:val="TableNormal"/>
    <w:uiPriority w:val="61"/>
    <w:rsid w:val="00542DB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CommentReference">
    <w:name w:val="annotation reference"/>
    <w:basedOn w:val="DefaultParagraphFont"/>
    <w:uiPriority w:val="99"/>
    <w:semiHidden/>
    <w:unhideWhenUsed/>
    <w:rsid w:val="00CB6218"/>
    <w:rPr>
      <w:sz w:val="16"/>
      <w:szCs w:val="16"/>
    </w:rPr>
  </w:style>
  <w:style w:type="paragraph" w:styleId="CommentText">
    <w:name w:val="annotation text"/>
    <w:basedOn w:val="Normal"/>
    <w:link w:val="CommentTextChar"/>
    <w:uiPriority w:val="99"/>
    <w:unhideWhenUsed/>
    <w:rsid w:val="00CB6218"/>
    <w:rPr>
      <w:sz w:val="20"/>
      <w:szCs w:val="20"/>
    </w:rPr>
  </w:style>
  <w:style w:type="character" w:customStyle="1" w:styleId="CommentTextChar">
    <w:name w:val="Comment Text Char"/>
    <w:basedOn w:val="DefaultParagraphFont"/>
    <w:link w:val="CommentText"/>
    <w:uiPriority w:val="99"/>
    <w:rsid w:val="00CB6218"/>
    <w:rPr>
      <w:rFonts w:ascii="Arial" w:hAnsi="Arial"/>
    </w:rPr>
  </w:style>
  <w:style w:type="paragraph" w:styleId="CommentSubject">
    <w:name w:val="annotation subject"/>
    <w:basedOn w:val="CommentText"/>
    <w:next w:val="CommentText"/>
    <w:link w:val="CommentSubjectChar"/>
    <w:uiPriority w:val="99"/>
    <w:semiHidden/>
    <w:unhideWhenUsed/>
    <w:rsid w:val="00CB6218"/>
    <w:rPr>
      <w:b/>
      <w:bCs/>
    </w:rPr>
  </w:style>
  <w:style w:type="character" w:customStyle="1" w:styleId="CommentSubjectChar">
    <w:name w:val="Comment Subject Char"/>
    <w:basedOn w:val="CommentTextChar"/>
    <w:link w:val="CommentSubject"/>
    <w:uiPriority w:val="99"/>
    <w:semiHidden/>
    <w:rsid w:val="00CB6218"/>
    <w:rPr>
      <w:rFonts w:ascii="Arial" w:hAnsi="Arial"/>
      <w:b/>
      <w:bCs/>
    </w:rPr>
  </w:style>
  <w:style w:type="paragraph" w:styleId="ListParagraph">
    <w:name w:val="List Paragraph"/>
    <w:basedOn w:val="Normal"/>
    <w:uiPriority w:val="34"/>
    <w:qFormat/>
    <w:rsid w:val="00C66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D3F5EB1DE5A049BE5BC3F12EE33367" ma:contentTypeVersion="5" ma:contentTypeDescription="Create a new document." ma:contentTypeScope="" ma:versionID="21e20cc1c2bf7f7d49c4be927b8c4925">
  <xsd:schema xmlns:xsd="http://www.w3.org/2001/XMLSchema" xmlns:xs="http://www.w3.org/2001/XMLSchema" xmlns:p="http://schemas.microsoft.com/office/2006/metadata/properties" xmlns:ns2="a19d4af5-8eba-45d1-a528-530be9829484" xmlns:ns3="79f6f53a-7778-40bd-a56a-35fc03ca2efa" targetNamespace="http://schemas.microsoft.com/office/2006/metadata/properties" ma:root="true" ma:fieldsID="292d90c4416b47d0fa837d77752ac504" ns2:_="" ns3:_="">
    <xsd:import namespace="a19d4af5-8eba-45d1-a528-530be9829484"/>
    <xsd:import namespace="79f6f53a-7778-40bd-a56a-35fc03ca2e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d4af5-8eba-45d1-a528-530be9829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6f53a-7778-40bd-a56a-35fc03ca2e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61E931-C9DC-4A52-BEDD-A2E1F92D3DD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a19d4af5-8eba-45d1-a528-530be9829484"/>
    <ds:schemaRef ds:uri="http://purl.org/dc/terms/"/>
    <ds:schemaRef ds:uri="http://schemas.openxmlformats.org/package/2006/metadata/core-properties"/>
    <ds:schemaRef ds:uri="79f6f53a-7778-40bd-a56a-35fc03ca2efa"/>
    <ds:schemaRef ds:uri="http://www.w3.org/XML/1998/namespace"/>
  </ds:schemaRefs>
</ds:datastoreItem>
</file>

<file path=customXml/itemProps2.xml><?xml version="1.0" encoding="utf-8"?>
<ds:datastoreItem xmlns:ds="http://schemas.openxmlformats.org/officeDocument/2006/customXml" ds:itemID="{2577694F-99AE-4CF0-A9F4-D10210C53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d4af5-8eba-45d1-a528-530be9829484"/>
    <ds:schemaRef ds:uri="79f6f53a-7778-40bd-a56a-35fc03ca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2F08E-C51C-44DA-9762-9143C32511C3}">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331</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Agency Monitoring Plan</vt:lpstr>
    </vt:vector>
  </TitlesOfParts>
  <Company>State of Minnesota</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Monitoring Plan</dc:title>
  <dc:creator>Office of Grants Management</dc:creator>
  <cp:keywords>Template; Monitoring</cp:keywords>
  <cp:lastModifiedBy>Bloomcroft, Isaiah (He/Him/His) (ADM)</cp:lastModifiedBy>
  <cp:revision>2</cp:revision>
  <cp:lastPrinted>2014-03-28T20:10:00Z</cp:lastPrinted>
  <dcterms:created xsi:type="dcterms:W3CDTF">2026-05-08T15:42:00Z</dcterms:created>
  <dcterms:modified xsi:type="dcterms:W3CDTF">2026-05-08T15:42:00Z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0x0101007AD3F5EB1DE5A049BE5BC3F12EE33367</vt:lpwstr>
  </property>
</Properties>
</file>