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49E3" w14:textId="58236922" w:rsidR="00B134D1" w:rsidRDefault="00B134D1" w:rsidP="00B134D1">
      <w:pPr>
        <w:pStyle w:val="Heading1"/>
      </w:pPr>
      <w:r w:rsidRPr="006820AF">
        <w:t>Decision Points</w:t>
      </w:r>
      <w:r>
        <w:t xml:space="preserve"> – Discussion Guide for June 12, </w:t>
      </w:r>
      <w:r w:rsidR="004F625F">
        <w:t>2026,</w:t>
      </w:r>
      <w:r>
        <w:t xml:space="preserve"> meeting</w:t>
      </w:r>
    </w:p>
    <w:p w14:paraId="6E10EBCD" w14:textId="77777777" w:rsidR="00F90026" w:rsidRDefault="00C32160" w:rsidP="004F625F">
      <w:pPr>
        <w:spacing w:after="0"/>
        <w:rPr>
          <w:sz w:val="22"/>
          <w:szCs w:val="22"/>
        </w:rPr>
      </w:pPr>
      <w:r w:rsidRPr="004F625F">
        <w:rPr>
          <w:b/>
          <w:bCs/>
          <w:sz w:val="22"/>
          <w:szCs w:val="22"/>
        </w:rPr>
        <w:t>Instructions for Task Force Members</w:t>
      </w:r>
      <w:r w:rsidRPr="004F625F">
        <w:rPr>
          <w:sz w:val="22"/>
          <w:szCs w:val="22"/>
        </w:rPr>
        <w:t xml:space="preserve"> - This document contains decision points developed from prior Task Force and committee discussions. It is intended to support structured review and discussion at the upcoming meeting. This document is organized into sections based on Minnesota Statutes § 609.11 (weapon enhancements), Chapter 152 (controlled substances), and Minnesota Statutes § 243.166 (predatory offender registration). </w:t>
      </w:r>
    </w:p>
    <w:p w14:paraId="0CE6E786" w14:textId="77777777" w:rsidR="00F90026" w:rsidRDefault="00F90026" w:rsidP="004F625F">
      <w:pPr>
        <w:spacing w:after="0"/>
        <w:rPr>
          <w:sz w:val="22"/>
          <w:szCs w:val="22"/>
        </w:rPr>
      </w:pPr>
    </w:p>
    <w:p w14:paraId="467657B8" w14:textId="2F737FA2" w:rsidR="00F90026" w:rsidRDefault="00F90026" w:rsidP="004F625F">
      <w:pPr>
        <w:spacing w:after="0"/>
        <w:rPr>
          <w:sz w:val="22"/>
          <w:szCs w:val="22"/>
        </w:rPr>
      </w:pPr>
      <w:r>
        <w:rPr>
          <w:sz w:val="22"/>
          <w:szCs w:val="22"/>
        </w:rPr>
        <w:t>The questions are designed to enable the Task Force to make recommendations on how Minnesota should structure mandatory minimum sentences for</w:t>
      </w:r>
      <w:r w:rsidRPr="00F90026">
        <w:rPr>
          <w:sz w:val="22"/>
          <w:szCs w:val="22"/>
        </w:rPr>
        <w:t xml:space="preserve"> weapon offenses, drug offenses, and registration violations</w:t>
      </w:r>
      <w:r>
        <w:rPr>
          <w:sz w:val="22"/>
          <w:szCs w:val="22"/>
        </w:rPr>
        <w:t xml:space="preserve">, </w:t>
      </w:r>
      <w:r w:rsidRPr="00F90026">
        <w:rPr>
          <w:sz w:val="22"/>
          <w:szCs w:val="22"/>
        </w:rPr>
        <w:t>and how much discretion should remain with courts, prosecutors, and the Sentencing Guidelines Commission.</w:t>
      </w:r>
    </w:p>
    <w:p w14:paraId="3553D744" w14:textId="77777777" w:rsidR="00F90026" w:rsidRDefault="00F90026" w:rsidP="004F625F">
      <w:pPr>
        <w:spacing w:after="0"/>
        <w:rPr>
          <w:sz w:val="22"/>
          <w:szCs w:val="22"/>
        </w:rPr>
      </w:pPr>
    </w:p>
    <w:p w14:paraId="71F680F6" w14:textId="1A331907" w:rsidR="00C32160" w:rsidRPr="004F625F" w:rsidRDefault="00C32160" w:rsidP="004F625F">
      <w:pPr>
        <w:spacing w:after="0"/>
        <w:rPr>
          <w:sz w:val="22"/>
          <w:szCs w:val="22"/>
        </w:rPr>
      </w:pPr>
      <w:r w:rsidRPr="004F625F">
        <w:rPr>
          <w:sz w:val="22"/>
          <w:szCs w:val="22"/>
        </w:rPr>
        <w:t>Task Force Members are asked to:</w:t>
      </w:r>
    </w:p>
    <w:p w14:paraId="58DC60F0" w14:textId="4227D6F1" w:rsidR="00C32160" w:rsidRPr="004F625F" w:rsidRDefault="00C32160" w:rsidP="00430585">
      <w:pPr>
        <w:pStyle w:val="ListParagraph"/>
        <w:numPr>
          <w:ilvl w:val="0"/>
          <w:numId w:val="18"/>
        </w:numPr>
        <w:spacing w:after="0"/>
        <w:rPr>
          <w:sz w:val="22"/>
          <w:szCs w:val="22"/>
        </w:rPr>
      </w:pPr>
      <w:r w:rsidRPr="004F625F">
        <w:rPr>
          <w:sz w:val="22"/>
          <w:szCs w:val="22"/>
        </w:rPr>
        <w:t>Review all background materials and decision points in advance of the meeting.</w:t>
      </w:r>
    </w:p>
    <w:p w14:paraId="197FC6D5" w14:textId="286B68FD" w:rsidR="00C32160" w:rsidRPr="004F625F" w:rsidRDefault="00C32160" w:rsidP="00430585">
      <w:pPr>
        <w:pStyle w:val="ListParagraph"/>
        <w:numPr>
          <w:ilvl w:val="0"/>
          <w:numId w:val="18"/>
        </w:numPr>
        <w:spacing w:after="0"/>
        <w:rPr>
          <w:sz w:val="22"/>
          <w:szCs w:val="22"/>
        </w:rPr>
      </w:pPr>
      <w:r w:rsidRPr="004F625F">
        <w:rPr>
          <w:sz w:val="22"/>
          <w:szCs w:val="22"/>
        </w:rPr>
        <w:t xml:space="preserve">Consider whether each </w:t>
      </w:r>
      <w:proofErr w:type="gramStart"/>
      <w:r w:rsidRPr="004F625F">
        <w:rPr>
          <w:sz w:val="22"/>
          <w:szCs w:val="22"/>
        </w:rPr>
        <w:t>decision point</w:t>
      </w:r>
      <w:proofErr w:type="gramEnd"/>
      <w:r w:rsidRPr="004F625F">
        <w:rPr>
          <w:sz w:val="22"/>
          <w:szCs w:val="22"/>
        </w:rPr>
        <w:t xml:space="preserve"> clearly reflects prior Task Force discussion and intent.</w:t>
      </w:r>
    </w:p>
    <w:p w14:paraId="55FBA594" w14:textId="20AFAFB7" w:rsidR="00C32160" w:rsidRPr="004F625F" w:rsidRDefault="00C32160" w:rsidP="00430585">
      <w:pPr>
        <w:pStyle w:val="ListParagraph"/>
        <w:numPr>
          <w:ilvl w:val="0"/>
          <w:numId w:val="18"/>
        </w:numPr>
        <w:spacing w:after="0"/>
        <w:rPr>
          <w:sz w:val="22"/>
          <w:szCs w:val="22"/>
        </w:rPr>
      </w:pPr>
      <w:r w:rsidRPr="004F625F">
        <w:rPr>
          <w:sz w:val="22"/>
          <w:szCs w:val="22"/>
        </w:rPr>
        <w:t>Identify any areas where additional information, data, or clarification is needed before a decision can be made.</w:t>
      </w:r>
    </w:p>
    <w:p w14:paraId="320C148E" w14:textId="5FD22C86" w:rsidR="00C32160" w:rsidRPr="004F625F" w:rsidRDefault="00C32160" w:rsidP="00430585">
      <w:pPr>
        <w:pStyle w:val="ListParagraph"/>
        <w:numPr>
          <w:ilvl w:val="0"/>
          <w:numId w:val="18"/>
        </w:numPr>
        <w:spacing w:after="0"/>
        <w:rPr>
          <w:sz w:val="22"/>
          <w:szCs w:val="22"/>
        </w:rPr>
      </w:pPr>
      <w:r w:rsidRPr="004F625F">
        <w:rPr>
          <w:sz w:val="22"/>
          <w:szCs w:val="22"/>
        </w:rPr>
        <w:t>Note questions, concerns, or suggested revisions for discussion during the meeting.</w:t>
      </w:r>
    </w:p>
    <w:p w14:paraId="147D53BF" w14:textId="7D374606" w:rsidR="00C32160" w:rsidRPr="004F625F" w:rsidRDefault="00C32160" w:rsidP="00430585">
      <w:pPr>
        <w:pStyle w:val="ListParagraph"/>
        <w:numPr>
          <w:ilvl w:val="0"/>
          <w:numId w:val="18"/>
        </w:numPr>
        <w:spacing w:after="0"/>
        <w:rPr>
          <w:sz w:val="22"/>
          <w:szCs w:val="22"/>
        </w:rPr>
      </w:pPr>
      <w:r w:rsidRPr="004F625F">
        <w:rPr>
          <w:sz w:val="22"/>
          <w:szCs w:val="22"/>
        </w:rPr>
        <w:t>Be prepared to help prioritize which decision points require further refinement versus which are ready for action.</w:t>
      </w:r>
    </w:p>
    <w:p w14:paraId="2EB79BB5" w14:textId="77777777" w:rsidR="00F90026" w:rsidRDefault="00F90026" w:rsidP="004F625F">
      <w:pPr>
        <w:spacing w:after="0"/>
        <w:rPr>
          <w:i/>
          <w:iCs/>
          <w:sz w:val="22"/>
          <w:szCs w:val="22"/>
        </w:rPr>
      </w:pPr>
    </w:p>
    <w:p w14:paraId="4E5C6C9A" w14:textId="7D9A979F" w:rsidR="00C32160" w:rsidRDefault="00C32160" w:rsidP="004F625F">
      <w:pPr>
        <w:spacing w:after="0"/>
        <w:rPr>
          <w:i/>
          <w:iCs/>
          <w:sz w:val="22"/>
          <w:szCs w:val="22"/>
        </w:rPr>
      </w:pPr>
      <w:r w:rsidRPr="004F625F">
        <w:rPr>
          <w:i/>
          <w:iCs/>
          <w:sz w:val="22"/>
          <w:szCs w:val="22"/>
        </w:rPr>
        <w:t>Important Note - Some areas may involve complex legal or sentencing policy interactions. If any decision point lacks sufficient context, data, or clarity, members should flag it explicitly so it can be addressed prior to or during deliberation.</w:t>
      </w:r>
    </w:p>
    <w:p w14:paraId="41431592" w14:textId="77777777" w:rsidR="00F90026" w:rsidRDefault="00F90026" w:rsidP="004F625F">
      <w:pPr>
        <w:spacing w:after="0"/>
        <w:rPr>
          <w:i/>
          <w:iCs/>
          <w:sz w:val="22"/>
          <w:szCs w:val="22"/>
        </w:rPr>
      </w:pPr>
    </w:p>
    <w:p w14:paraId="0A86BB97" w14:textId="77777777" w:rsidR="00F90026" w:rsidRDefault="00F90026" w:rsidP="004F625F">
      <w:pPr>
        <w:spacing w:after="0"/>
        <w:rPr>
          <w:i/>
          <w:iCs/>
          <w:sz w:val="22"/>
          <w:szCs w:val="22"/>
        </w:rPr>
      </w:pPr>
    </w:p>
    <w:p w14:paraId="776F97D7" w14:textId="77777777" w:rsidR="00F90026" w:rsidRDefault="00F90026" w:rsidP="004F625F">
      <w:pPr>
        <w:spacing w:after="0"/>
        <w:rPr>
          <w:i/>
          <w:iCs/>
          <w:sz w:val="22"/>
          <w:szCs w:val="22"/>
        </w:rPr>
      </w:pPr>
    </w:p>
    <w:p w14:paraId="00A429D5" w14:textId="77777777" w:rsidR="00F90026" w:rsidRDefault="00F90026" w:rsidP="004F625F">
      <w:pPr>
        <w:spacing w:after="0"/>
        <w:rPr>
          <w:i/>
          <w:iCs/>
          <w:sz w:val="22"/>
          <w:szCs w:val="22"/>
        </w:rPr>
      </w:pPr>
    </w:p>
    <w:p w14:paraId="647BD4AB" w14:textId="77777777" w:rsidR="00F90026" w:rsidRPr="004F625F" w:rsidRDefault="00F90026" w:rsidP="004F625F">
      <w:pPr>
        <w:spacing w:after="0"/>
        <w:rPr>
          <w:i/>
          <w:iCs/>
          <w:sz w:val="22"/>
          <w:szCs w:val="22"/>
        </w:rPr>
      </w:pPr>
    </w:p>
    <w:p w14:paraId="14068CF2" w14:textId="77777777" w:rsidR="004F625F" w:rsidRDefault="004F625F" w:rsidP="00C32160">
      <w:pPr>
        <w:pStyle w:val="Heading3"/>
        <w:spacing w:before="0" w:after="0"/>
        <w:rPr>
          <w:rStyle w:val="IntenseReference"/>
        </w:rPr>
      </w:pPr>
    </w:p>
    <w:p w14:paraId="7B846041" w14:textId="77777777" w:rsidR="004F625F" w:rsidRPr="00762748" w:rsidRDefault="004F625F" w:rsidP="004F625F">
      <w:pPr>
        <w:pStyle w:val="IntenseQuote"/>
        <w:spacing w:before="0" w:after="0" w:line="240" w:lineRule="auto"/>
        <w:ind w:left="0" w:right="0"/>
      </w:pPr>
      <w:r>
        <w:t xml:space="preserve">Overarching </w:t>
      </w:r>
      <w:r w:rsidRPr="00762748">
        <w:t>Idea 1: Replace § 609.11 with a new penalty framework for committing crimes with dangerous weapons</w:t>
      </w:r>
    </w:p>
    <w:p w14:paraId="5FF096E0" w14:textId="2E126DAF" w:rsidR="00CE3058" w:rsidRDefault="001274D9" w:rsidP="00C32160">
      <w:pPr>
        <w:pStyle w:val="Heading3"/>
        <w:spacing w:before="0" w:after="0"/>
        <w:rPr>
          <w:rStyle w:val="IntenseReference"/>
        </w:rPr>
      </w:pPr>
      <w:r>
        <w:rPr>
          <w:rStyle w:val="IntenseReference"/>
        </w:rPr>
        <w:t xml:space="preserve">Background: </w:t>
      </w:r>
      <w:r w:rsidR="00D26C51" w:rsidRPr="00D26C51">
        <w:rPr>
          <w:rStyle w:val="IntenseReference"/>
        </w:rPr>
        <w:t>Section § 609.11</w:t>
      </w:r>
      <w:r w:rsidR="00D26C51">
        <w:rPr>
          <w:rStyle w:val="IntenseReference"/>
        </w:rPr>
        <w:t xml:space="preserve"> - </w:t>
      </w:r>
      <w:r w:rsidR="00CE3058" w:rsidRPr="00CE3058">
        <w:rPr>
          <w:rStyle w:val="IntenseReference"/>
        </w:rPr>
        <w:t>Minnesota's weapon-enhancement statute, which requires minimum prison sentences when certain crimes are committed with a firearm or dangerous weapon.</w:t>
      </w:r>
    </w:p>
    <w:p w14:paraId="2D9186A2" w14:textId="34C902BD" w:rsidR="00965962" w:rsidRPr="00D26C51" w:rsidRDefault="00965962" w:rsidP="00430585">
      <w:pPr>
        <w:pStyle w:val="ListParagraph"/>
        <w:numPr>
          <w:ilvl w:val="0"/>
          <w:numId w:val="2"/>
        </w:numPr>
        <w:spacing w:after="0" w:line="240" w:lineRule="auto"/>
        <w:ind w:left="360"/>
        <w:rPr>
          <w:b/>
          <w:bCs/>
        </w:rPr>
      </w:pPr>
      <w:r w:rsidRPr="00D26C51">
        <w:rPr>
          <w:b/>
          <w:bCs/>
        </w:rPr>
        <w:t>D</w:t>
      </w:r>
      <w:r w:rsidR="00400ECA">
        <w:rPr>
          <w:b/>
          <w:bCs/>
        </w:rPr>
        <w:t xml:space="preserve">ecision </w:t>
      </w:r>
      <w:r w:rsidRPr="00D26C51">
        <w:rPr>
          <w:b/>
          <w:bCs/>
        </w:rPr>
        <w:t>P</w:t>
      </w:r>
      <w:r w:rsidR="00400ECA">
        <w:rPr>
          <w:b/>
          <w:bCs/>
        </w:rPr>
        <w:t>oint</w:t>
      </w:r>
      <w:r w:rsidRPr="00D26C51">
        <w:rPr>
          <w:b/>
          <w:bCs/>
        </w:rPr>
        <w:t xml:space="preserve"> 1–1: </w:t>
      </w:r>
      <w:r w:rsidR="007E37B2" w:rsidRPr="00D26C51">
        <w:rPr>
          <w:b/>
          <w:bCs/>
        </w:rPr>
        <w:t>S</w:t>
      </w:r>
      <w:r w:rsidRPr="00D26C51">
        <w:rPr>
          <w:b/>
          <w:bCs/>
        </w:rPr>
        <w:t>hould a special penalty framework for committing crimes with dangerous weapons assign the most serious penalties to those with the most serious criminal histories who most seriously involve dangerous weapons in committing the most serious crimes?</w:t>
      </w:r>
    </w:p>
    <w:p w14:paraId="42E6CD1E" w14:textId="76D7D5F5" w:rsidR="00965962" w:rsidRPr="00965962" w:rsidRDefault="00965962" w:rsidP="00430585">
      <w:pPr>
        <w:pStyle w:val="ListParagraph"/>
        <w:numPr>
          <w:ilvl w:val="0"/>
          <w:numId w:val="13"/>
        </w:numPr>
        <w:spacing w:after="0" w:line="240" w:lineRule="auto"/>
      </w:pPr>
      <w:r w:rsidRPr="00965962">
        <w:t>Yes – we need a new framework</w:t>
      </w:r>
    </w:p>
    <w:p w14:paraId="2B57D0B1" w14:textId="7467A811" w:rsidR="00965962" w:rsidRPr="00965962" w:rsidRDefault="00965962" w:rsidP="00430585">
      <w:pPr>
        <w:pStyle w:val="ListParagraph"/>
        <w:numPr>
          <w:ilvl w:val="0"/>
          <w:numId w:val="13"/>
        </w:numPr>
        <w:spacing w:after="0" w:line="240" w:lineRule="auto"/>
      </w:pPr>
      <w:r w:rsidRPr="00965962">
        <w:t>Yes – but § 609.11 accomplishes this</w:t>
      </w:r>
    </w:p>
    <w:p w14:paraId="62EDD324" w14:textId="5F9F7099" w:rsidR="00965962" w:rsidRPr="00965962" w:rsidRDefault="00965962" w:rsidP="00430585">
      <w:pPr>
        <w:pStyle w:val="ListParagraph"/>
        <w:numPr>
          <w:ilvl w:val="0"/>
          <w:numId w:val="13"/>
        </w:numPr>
        <w:spacing w:after="0" w:line="240" w:lineRule="auto"/>
      </w:pPr>
      <w:r w:rsidRPr="00965962">
        <w:t>No</w:t>
      </w:r>
    </w:p>
    <w:p w14:paraId="53D7A1D7" w14:textId="77777777" w:rsidR="00965962" w:rsidRDefault="00965962" w:rsidP="00965962">
      <w:pPr>
        <w:spacing w:after="0" w:line="240" w:lineRule="auto"/>
      </w:pPr>
    </w:p>
    <w:p w14:paraId="58C9F8CC" w14:textId="364E9C99" w:rsidR="00965962" w:rsidRPr="00D26C51"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1–2: Should we incorporate the Sentencing Guidelines’ recommended sentences into this new penalty framework?</w:t>
      </w:r>
    </w:p>
    <w:p w14:paraId="575A9974" w14:textId="3C658EF6" w:rsidR="00965962" w:rsidRPr="00965962" w:rsidRDefault="00965962" w:rsidP="00430585">
      <w:pPr>
        <w:pStyle w:val="ListParagraph"/>
        <w:numPr>
          <w:ilvl w:val="0"/>
          <w:numId w:val="12"/>
        </w:numPr>
        <w:spacing w:after="0" w:line="240" w:lineRule="auto"/>
      </w:pPr>
      <w:r w:rsidRPr="00965962">
        <w:t>Yes – the Guidelines-recommended sentences already account for criminal history and offense severity, so we can build on that</w:t>
      </w:r>
    </w:p>
    <w:p w14:paraId="49BDCDD5" w14:textId="2746133A" w:rsidR="00965962" w:rsidRPr="00965962" w:rsidRDefault="00965962" w:rsidP="00430585">
      <w:pPr>
        <w:pStyle w:val="ListParagraph"/>
        <w:numPr>
          <w:ilvl w:val="0"/>
          <w:numId w:val="12"/>
        </w:numPr>
        <w:spacing w:after="0" w:line="240" w:lineRule="auto"/>
      </w:pPr>
      <w:r w:rsidRPr="00965962">
        <w:t>No – we can design our own framework to account for criminal history or offense severity</w:t>
      </w:r>
    </w:p>
    <w:p w14:paraId="118E444A" w14:textId="76C1335F" w:rsidR="00965962" w:rsidRPr="00965962" w:rsidRDefault="00965962" w:rsidP="00430585">
      <w:pPr>
        <w:pStyle w:val="ListParagraph"/>
        <w:numPr>
          <w:ilvl w:val="0"/>
          <w:numId w:val="12"/>
        </w:numPr>
        <w:spacing w:after="0" w:line="240" w:lineRule="auto"/>
      </w:pPr>
      <w:r w:rsidRPr="00965962">
        <w:t>No – criminal history and offense severity are not important</w:t>
      </w:r>
    </w:p>
    <w:p w14:paraId="52C76E7D" w14:textId="77777777" w:rsidR="00965962" w:rsidRDefault="00965962" w:rsidP="00965962">
      <w:pPr>
        <w:spacing w:after="0" w:line="240" w:lineRule="auto"/>
      </w:pPr>
    </w:p>
    <w:p w14:paraId="4E0A629F" w14:textId="567F73EF" w:rsidR="00965962" w:rsidRPr="00400ECA"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1–3: The following types of weapons involvement in committing a designated offense have been ranked by seriousness and grouped into severity tiers. Is this the right ranking/</w:t>
      </w:r>
      <w:commentRangeStart w:id="0"/>
      <w:r w:rsidR="00965962" w:rsidRPr="00D26C51">
        <w:rPr>
          <w:b/>
          <w:bCs/>
        </w:rPr>
        <w:t>grouping</w:t>
      </w:r>
      <w:commentRangeEnd w:id="0"/>
      <w:r w:rsidRPr="00D26C51">
        <w:rPr>
          <w:rStyle w:val="CommentReference"/>
          <w:b/>
          <w:bCs/>
          <w:sz w:val="24"/>
          <w:szCs w:val="24"/>
        </w:rPr>
        <w:commentReference w:id="0"/>
      </w:r>
      <w:r w:rsidR="00965962" w:rsidRPr="00D26C51">
        <w:rPr>
          <w:b/>
          <w:bCs/>
        </w:rPr>
        <w:t>?</w:t>
      </w:r>
    </w:p>
    <w:tbl>
      <w:tblPr>
        <w:tblStyle w:val="TableGrid"/>
        <w:tblW w:w="12976" w:type="dxa"/>
        <w:tblLook w:val="04A0" w:firstRow="1" w:lastRow="0" w:firstColumn="1" w:lastColumn="0" w:noHBand="0" w:noVBand="1"/>
      </w:tblPr>
      <w:tblGrid>
        <w:gridCol w:w="7357"/>
        <w:gridCol w:w="2569"/>
        <w:gridCol w:w="3050"/>
      </w:tblGrid>
      <w:tr w:rsidR="007E37B2" w:rsidRPr="00E7526A" w14:paraId="4D8E81C2" w14:textId="77777777" w:rsidTr="001274D9">
        <w:trPr>
          <w:trHeight w:val="306"/>
        </w:trPr>
        <w:tc>
          <w:tcPr>
            <w:tcW w:w="0" w:type="auto"/>
            <w:shd w:val="clear" w:color="auto" w:fill="000000" w:themeFill="text1"/>
            <w:hideMark/>
          </w:tcPr>
          <w:p w14:paraId="21DE630B" w14:textId="77777777" w:rsidR="007E37B2" w:rsidRPr="00E7526A" w:rsidRDefault="007E37B2" w:rsidP="007E37B2">
            <w:pPr>
              <w:rPr>
                <w:b/>
                <w:bCs/>
                <w:sz w:val="22"/>
                <w:szCs w:val="22"/>
              </w:rPr>
            </w:pPr>
            <w:r w:rsidRPr="00E7526A">
              <w:rPr>
                <w:b/>
                <w:bCs/>
                <w:sz w:val="22"/>
                <w:szCs w:val="22"/>
              </w:rPr>
              <w:t>Weapon Conduct</w:t>
            </w:r>
          </w:p>
        </w:tc>
        <w:tc>
          <w:tcPr>
            <w:tcW w:w="0" w:type="auto"/>
            <w:shd w:val="clear" w:color="auto" w:fill="000000" w:themeFill="text1"/>
            <w:hideMark/>
          </w:tcPr>
          <w:p w14:paraId="6B8A647A" w14:textId="77777777" w:rsidR="007E37B2" w:rsidRPr="00E7526A" w:rsidRDefault="007E37B2" w:rsidP="007E37B2">
            <w:pPr>
              <w:rPr>
                <w:b/>
                <w:bCs/>
                <w:sz w:val="22"/>
                <w:szCs w:val="22"/>
              </w:rPr>
            </w:pPr>
            <w:r w:rsidRPr="00E7526A">
              <w:rPr>
                <w:b/>
                <w:bCs/>
                <w:sz w:val="22"/>
                <w:szCs w:val="22"/>
              </w:rPr>
              <w:t>Lawful Possessor</w:t>
            </w:r>
          </w:p>
        </w:tc>
        <w:tc>
          <w:tcPr>
            <w:tcW w:w="0" w:type="auto"/>
            <w:shd w:val="clear" w:color="auto" w:fill="000000" w:themeFill="text1"/>
            <w:hideMark/>
          </w:tcPr>
          <w:p w14:paraId="373D811A" w14:textId="77777777" w:rsidR="007E37B2" w:rsidRPr="00E7526A" w:rsidRDefault="007E37B2" w:rsidP="007E37B2">
            <w:pPr>
              <w:rPr>
                <w:b/>
                <w:bCs/>
                <w:sz w:val="22"/>
                <w:szCs w:val="22"/>
              </w:rPr>
            </w:pPr>
            <w:r w:rsidRPr="00E7526A">
              <w:rPr>
                <w:b/>
                <w:bCs/>
                <w:sz w:val="22"/>
                <w:szCs w:val="22"/>
              </w:rPr>
              <w:t>Prohibited Possessor</w:t>
            </w:r>
          </w:p>
        </w:tc>
      </w:tr>
      <w:tr w:rsidR="007E37B2" w:rsidRPr="00E7526A" w14:paraId="2DDC548B" w14:textId="77777777" w:rsidTr="001274D9">
        <w:trPr>
          <w:trHeight w:val="289"/>
        </w:trPr>
        <w:tc>
          <w:tcPr>
            <w:tcW w:w="0" w:type="auto"/>
            <w:hideMark/>
          </w:tcPr>
          <w:p w14:paraId="6F14DBF8" w14:textId="77777777" w:rsidR="007E37B2" w:rsidRPr="00E7526A" w:rsidRDefault="007E37B2" w:rsidP="007E37B2">
            <w:pPr>
              <w:rPr>
                <w:sz w:val="22"/>
                <w:szCs w:val="22"/>
              </w:rPr>
            </w:pPr>
            <w:r w:rsidRPr="00E7526A">
              <w:rPr>
                <w:sz w:val="22"/>
                <w:szCs w:val="22"/>
              </w:rPr>
              <w:t>Off-person firearm possession</w:t>
            </w:r>
          </w:p>
        </w:tc>
        <w:tc>
          <w:tcPr>
            <w:tcW w:w="0" w:type="auto"/>
            <w:hideMark/>
          </w:tcPr>
          <w:p w14:paraId="0E47B9E6" w14:textId="77777777" w:rsidR="007E37B2" w:rsidRPr="00E7526A" w:rsidRDefault="007E37B2" w:rsidP="007E37B2">
            <w:pPr>
              <w:rPr>
                <w:sz w:val="22"/>
                <w:szCs w:val="22"/>
              </w:rPr>
            </w:pPr>
            <w:r w:rsidRPr="00E7526A">
              <w:rPr>
                <w:sz w:val="22"/>
                <w:szCs w:val="22"/>
              </w:rPr>
              <w:t>Tier 0</w:t>
            </w:r>
          </w:p>
        </w:tc>
        <w:tc>
          <w:tcPr>
            <w:tcW w:w="0" w:type="auto"/>
            <w:hideMark/>
          </w:tcPr>
          <w:p w14:paraId="70B36952" w14:textId="77777777" w:rsidR="007E37B2" w:rsidRPr="00E7526A" w:rsidRDefault="007E37B2" w:rsidP="007E37B2">
            <w:pPr>
              <w:rPr>
                <w:sz w:val="22"/>
                <w:szCs w:val="22"/>
              </w:rPr>
            </w:pPr>
            <w:r w:rsidRPr="00E7526A">
              <w:rPr>
                <w:sz w:val="22"/>
                <w:szCs w:val="22"/>
              </w:rPr>
              <w:t>Tier 1</w:t>
            </w:r>
          </w:p>
        </w:tc>
      </w:tr>
      <w:tr w:rsidR="007E37B2" w:rsidRPr="00E7526A" w14:paraId="538884F5" w14:textId="77777777" w:rsidTr="001274D9">
        <w:trPr>
          <w:trHeight w:val="306"/>
        </w:trPr>
        <w:tc>
          <w:tcPr>
            <w:tcW w:w="0" w:type="auto"/>
            <w:hideMark/>
          </w:tcPr>
          <w:p w14:paraId="78A425BE" w14:textId="77777777" w:rsidR="007E37B2" w:rsidRPr="00E7526A" w:rsidRDefault="007E37B2" w:rsidP="007E37B2">
            <w:pPr>
              <w:rPr>
                <w:sz w:val="22"/>
                <w:szCs w:val="22"/>
              </w:rPr>
            </w:pPr>
            <w:r w:rsidRPr="00E7526A">
              <w:rPr>
                <w:sz w:val="22"/>
                <w:szCs w:val="22"/>
              </w:rPr>
              <w:t>On-person firearm possession</w:t>
            </w:r>
          </w:p>
        </w:tc>
        <w:tc>
          <w:tcPr>
            <w:tcW w:w="0" w:type="auto"/>
            <w:hideMark/>
          </w:tcPr>
          <w:p w14:paraId="4C48F4A4" w14:textId="77777777" w:rsidR="007E37B2" w:rsidRPr="00E7526A" w:rsidRDefault="007E37B2" w:rsidP="007E37B2">
            <w:pPr>
              <w:rPr>
                <w:sz w:val="22"/>
                <w:szCs w:val="22"/>
              </w:rPr>
            </w:pPr>
            <w:r w:rsidRPr="00E7526A">
              <w:rPr>
                <w:sz w:val="22"/>
                <w:szCs w:val="22"/>
              </w:rPr>
              <w:t>Tier 1</w:t>
            </w:r>
          </w:p>
        </w:tc>
        <w:tc>
          <w:tcPr>
            <w:tcW w:w="0" w:type="auto"/>
            <w:hideMark/>
          </w:tcPr>
          <w:p w14:paraId="25DE12EB" w14:textId="77777777" w:rsidR="007E37B2" w:rsidRPr="00E7526A" w:rsidRDefault="007E37B2" w:rsidP="007E37B2">
            <w:pPr>
              <w:rPr>
                <w:sz w:val="22"/>
                <w:szCs w:val="22"/>
              </w:rPr>
            </w:pPr>
            <w:r w:rsidRPr="00E7526A">
              <w:rPr>
                <w:sz w:val="22"/>
                <w:szCs w:val="22"/>
              </w:rPr>
              <w:t>Tier 2</w:t>
            </w:r>
          </w:p>
        </w:tc>
      </w:tr>
      <w:tr w:rsidR="007E37B2" w:rsidRPr="00E7526A" w14:paraId="2A73E332" w14:textId="77777777" w:rsidTr="001274D9">
        <w:trPr>
          <w:trHeight w:val="289"/>
        </w:trPr>
        <w:tc>
          <w:tcPr>
            <w:tcW w:w="0" w:type="auto"/>
            <w:hideMark/>
          </w:tcPr>
          <w:p w14:paraId="37617EB3" w14:textId="77777777" w:rsidR="007E37B2" w:rsidRPr="00E7526A" w:rsidRDefault="007E37B2" w:rsidP="007E37B2">
            <w:pPr>
              <w:rPr>
                <w:sz w:val="22"/>
                <w:szCs w:val="22"/>
              </w:rPr>
            </w:pPr>
            <w:r w:rsidRPr="00E7526A">
              <w:rPr>
                <w:sz w:val="22"/>
                <w:szCs w:val="22"/>
              </w:rPr>
              <w:t>Firearm use</w:t>
            </w:r>
          </w:p>
        </w:tc>
        <w:tc>
          <w:tcPr>
            <w:tcW w:w="0" w:type="auto"/>
            <w:hideMark/>
          </w:tcPr>
          <w:p w14:paraId="32466EBF" w14:textId="77777777" w:rsidR="007E37B2" w:rsidRPr="00E7526A" w:rsidRDefault="007E37B2" w:rsidP="007E37B2">
            <w:pPr>
              <w:rPr>
                <w:sz w:val="22"/>
                <w:szCs w:val="22"/>
              </w:rPr>
            </w:pPr>
            <w:r w:rsidRPr="00E7526A">
              <w:rPr>
                <w:sz w:val="22"/>
                <w:szCs w:val="22"/>
              </w:rPr>
              <w:t>Tier 3</w:t>
            </w:r>
          </w:p>
        </w:tc>
        <w:tc>
          <w:tcPr>
            <w:tcW w:w="0" w:type="auto"/>
            <w:hideMark/>
          </w:tcPr>
          <w:p w14:paraId="5313676F" w14:textId="77777777" w:rsidR="007E37B2" w:rsidRPr="00E7526A" w:rsidRDefault="007E37B2" w:rsidP="007E37B2">
            <w:pPr>
              <w:rPr>
                <w:sz w:val="22"/>
                <w:szCs w:val="22"/>
              </w:rPr>
            </w:pPr>
            <w:r w:rsidRPr="00E7526A">
              <w:rPr>
                <w:sz w:val="22"/>
                <w:szCs w:val="22"/>
              </w:rPr>
              <w:t>Tier 4</w:t>
            </w:r>
          </w:p>
        </w:tc>
      </w:tr>
      <w:tr w:rsidR="007E37B2" w:rsidRPr="00E7526A" w14:paraId="75E9576D" w14:textId="77777777" w:rsidTr="001274D9">
        <w:trPr>
          <w:trHeight w:val="306"/>
        </w:trPr>
        <w:tc>
          <w:tcPr>
            <w:tcW w:w="0" w:type="auto"/>
            <w:hideMark/>
          </w:tcPr>
          <w:p w14:paraId="3ADFAEC9" w14:textId="77777777" w:rsidR="007E37B2" w:rsidRPr="00E7526A" w:rsidRDefault="007E37B2" w:rsidP="007E37B2">
            <w:pPr>
              <w:rPr>
                <w:sz w:val="22"/>
                <w:szCs w:val="22"/>
              </w:rPr>
            </w:pPr>
            <w:r w:rsidRPr="00E7526A">
              <w:rPr>
                <w:sz w:val="22"/>
                <w:szCs w:val="22"/>
              </w:rPr>
              <w:t>Firearm discharge</w:t>
            </w:r>
          </w:p>
        </w:tc>
        <w:tc>
          <w:tcPr>
            <w:tcW w:w="0" w:type="auto"/>
            <w:hideMark/>
          </w:tcPr>
          <w:p w14:paraId="324122A5" w14:textId="77777777" w:rsidR="007E37B2" w:rsidRPr="00E7526A" w:rsidRDefault="007E37B2" w:rsidP="007E37B2">
            <w:pPr>
              <w:rPr>
                <w:sz w:val="22"/>
                <w:szCs w:val="22"/>
              </w:rPr>
            </w:pPr>
            <w:r w:rsidRPr="00E7526A">
              <w:rPr>
                <w:sz w:val="22"/>
                <w:szCs w:val="22"/>
              </w:rPr>
              <w:t>Tier 5</w:t>
            </w:r>
          </w:p>
        </w:tc>
        <w:tc>
          <w:tcPr>
            <w:tcW w:w="0" w:type="auto"/>
            <w:hideMark/>
          </w:tcPr>
          <w:p w14:paraId="07DAF4AD" w14:textId="77777777" w:rsidR="007E37B2" w:rsidRPr="00E7526A" w:rsidRDefault="007E37B2" w:rsidP="007E37B2">
            <w:pPr>
              <w:rPr>
                <w:sz w:val="22"/>
                <w:szCs w:val="22"/>
              </w:rPr>
            </w:pPr>
            <w:r w:rsidRPr="00E7526A">
              <w:rPr>
                <w:sz w:val="22"/>
                <w:szCs w:val="22"/>
              </w:rPr>
              <w:t>Tier 5+</w:t>
            </w:r>
          </w:p>
        </w:tc>
      </w:tr>
      <w:tr w:rsidR="007E37B2" w:rsidRPr="00E7526A" w14:paraId="429F6C72" w14:textId="77777777" w:rsidTr="001274D9">
        <w:trPr>
          <w:trHeight w:val="70"/>
        </w:trPr>
        <w:tc>
          <w:tcPr>
            <w:tcW w:w="0" w:type="auto"/>
            <w:hideMark/>
          </w:tcPr>
          <w:p w14:paraId="13CBF4D9" w14:textId="37733AF9" w:rsidR="007E37B2" w:rsidRPr="00E7526A" w:rsidRDefault="007E37B2" w:rsidP="007E37B2">
            <w:pPr>
              <w:rPr>
                <w:sz w:val="22"/>
                <w:szCs w:val="22"/>
              </w:rPr>
            </w:pPr>
            <w:r w:rsidRPr="00E7526A">
              <w:rPr>
                <w:sz w:val="22"/>
                <w:szCs w:val="22"/>
              </w:rPr>
              <w:t>Firearm use with a prior firearm-enhancement conviction</w:t>
            </w:r>
          </w:p>
        </w:tc>
        <w:tc>
          <w:tcPr>
            <w:tcW w:w="0" w:type="auto"/>
            <w:hideMark/>
          </w:tcPr>
          <w:p w14:paraId="127CF33D" w14:textId="77777777" w:rsidR="007E37B2" w:rsidRPr="00E7526A" w:rsidRDefault="007E37B2" w:rsidP="007E37B2">
            <w:pPr>
              <w:rPr>
                <w:sz w:val="22"/>
                <w:szCs w:val="22"/>
              </w:rPr>
            </w:pPr>
            <w:r w:rsidRPr="00E7526A">
              <w:rPr>
                <w:sz w:val="22"/>
                <w:szCs w:val="22"/>
              </w:rPr>
              <w:t>Tier 5</w:t>
            </w:r>
          </w:p>
        </w:tc>
        <w:tc>
          <w:tcPr>
            <w:tcW w:w="0" w:type="auto"/>
            <w:hideMark/>
          </w:tcPr>
          <w:p w14:paraId="5E8C2CCC" w14:textId="799D5103" w:rsidR="007E37B2" w:rsidRPr="00E7526A" w:rsidRDefault="007E37B2" w:rsidP="007E37B2">
            <w:pPr>
              <w:rPr>
                <w:sz w:val="22"/>
                <w:szCs w:val="22"/>
              </w:rPr>
            </w:pPr>
            <w:r w:rsidRPr="00E7526A">
              <w:rPr>
                <w:sz w:val="22"/>
                <w:szCs w:val="22"/>
              </w:rPr>
              <w:t>Tier 5+</w:t>
            </w:r>
            <w:r w:rsidR="000F4188">
              <w:rPr>
                <w:sz w:val="22"/>
                <w:szCs w:val="22"/>
              </w:rPr>
              <w:t>Ov</w:t>
            </w:r>
          </w:p>
        </w:tc>
      </w:tr>
    </w:tbl>
    <w:p w14:paraId="7C396946" w14:textId="77777777" w:rsidR="001274D9" w:rsidRPr="001274D9" w:rsidRDefault="001274D9" w:rsidP="001274D9">
      <w:pPr>
        <w:pStyle w:val="ListParagraph"/>
        <w:spacing w:after="0" w:line="240" w:lineRule="auto"/>
      </w:pPr>
    </w:p>
    <w:p w14:paraId="6D7ED0FE" w14:textId="3E55CA29" w:rsidR="00965962" w:rsidRPr="00762748" w:rsidRDefault="00400ECA" w:rsidP="00430585">
      <w:pPr>
        <w:pStyle w:val="ListParagraph"/>
        <w:numPr>
          <w:ilvl w:val="0"/>
          <w:numId w:val="2"/>
        </w:numPr>
        <w:spacing w:after="0" w:line="240" w:lineRule="auto"/>
        <w:ind w:left="360"/>
      </w:pPr>
      <w:r>
        <w:rPr>
          <w:b/>
          <w:bCs/>
        </w:rPr>
        <w:lastRenderedPageBreak/>
        <w:t>Decision Point</w:t>
      </w:r>
      <w:r w:rsidR="00965962" w:rsidRPr="00D26C51">
        <w:rPr>
          <w:b/>
          <w:bCs/>
        </w:rPr>
        <w:t xml:space="preserve"> 1–4: Consider how an accomplice’s firearm </w:t>
      </w:r>
      <w:proofErr w:type="gramStart"/>
      <w:r w:rsidR="00965962" w:rsidRPr="00D26C51">
        <w:rPr>
          <w:b/>
          <w:bCs/>
        </w:rPr>
        <w:t>use</w:t>
      </w:r>
      <w:proofErr w:type="gramEnd"/>
      <w:r w:rsidR="00965962" w:rsidRPr="00D26C51">
        <w:rPr>
          <w:b/>
          <w:bCs/>
        </w:rPr>
        <w:t xml:space="preserve"> or possession fits </w:t>
      </w:r>
    </w:p>
    <w:tbl>
      <w:tblPr>
        <w:tblStyle w:val="TableGrid"/>
        <w:tblW w:w="0" w:type="auto"/>
        <w:tblLook w:val="04A0" w:firstRow="1" w:lastRow="0" w:firstColumn="1" w:lastColumn="0" w:noHBand="0" w:noVBand="1"/>
      </w:tblPr>
      <w:tblGrid>
        <w:gridCol w:w="898"/>
        <w:gridCol w:w="12052"/>
      </w:tblGrid>
      <w:tr w:rsidR="00762748" w:rsidRPr="00E7526A" w14:paraId="4F3E4141" w14:textId="77777777" w:rsidTr="00E7526A">
        <w:tc>
          <w:tcPr>
            <w:tcW w:w="0" w:type="auto"/>
            <w:shd w:val="clear" w:color="auto" w:fill="000000" w:themeFill="text1"/>
            <w:hideMark/>
          </w:tcPr>
          <w:p w14:paraId="538A8F54" w14:textId="77777777" w:rsidR="00762748" w:rsidRPr="00E7526A" w:rsidRDefault="00762748" w:rsidP="00762748">
            <w:pPr>
              <w:rPr>
                <w:b/>
                <w:bCs/>
                <w:color w:val="FFFFFF" w:themeColor="background1"/>
                <w:sz w:val="22"/>
                <w:szCs w:val="22"/>
              </w:rPr>
            </w:pPr>
            <w:r w:rsidRPr="00E7526A">
              <w:rPr>
                <w:b/>
                <w:bCs/>
                <w:color w:val="FFFFFF" w:themeColor="background1"/>
                <w:sz w:val="22"/>
                <w:szCs w:val="22"/>
              </w:rPr>
              <w:t>Option</w:t>
            </w:r>
          </w:p>
        </w:tc>
        <w:tc>
          <w:tcPr>
            <w:tcW w:w="0" w:type="auto"/>
            <w:shd w:val="clear" w:color="auto" w:fill="000000" w:themeFill="text1"/>
            <w:hideMark/>
          </w:tcPr>
          <w:p w14:paraId="05A9696D" w14:textId="77777777" w:rsidR="00762748" w:rsidRPr="00E7526A" w:rsidRDefault="00762748" w:rsidP="00762748">
            <w:pPr>
              <w:pStyle w:val="ListParagraph"/>
              <w:ind w:left="0"/>
              <w:rPr>
                <w:b/>
                <w:bCs/>
                <w:color w:val="FFFFFF" w:themeColor="background1"/>
                <w:sz w:val="22"/>
                <w:szCs w:val="22"/>
              </w:rPr>
            </w:pPr>
            <w:r w:rsidRPr="00E7526A">
              <w:rPr>
                <w:b/>
                <w:bCs/>
                <w:color w:val="FFFFFF" w:themeColor="background1"/>
                <w:sz w:val="22"/>
                <w:szCs w:val="22"/>
              </w:rPr>
              <w:t>Rule for Accomplice Firearm Conduct</w:t>
            </w:r>
          </w:p>
        </w:tc>
      </w:tr>
      <w:tr w:rsidR="00762748" w:rsidRPr="00E7526A" w14:paraId="205C2DE2" w14:textId="77777777" w:rsidTr="00762748">
        <w:tc>
          <w:tcPr>
            <w:tcW w:w="0" w:type="auto"/>
            <w:hideMark/>
          </w:tcPr>
          <w:p w14:paraId="225A3F78" w14:textId="68EF6C9A" w:rsidR="00762748" w:rsidRPr="00E7526A" w:rsidRDefault="000F4188" w:rsidP="00762748">
            <w:pPr>
              <w:pStyle w:val="ListParagraph"/>
              <w:ind w:left="0"/>
              <w:rPr>
                <w:sz w:val="22"/>
                <w:szCs w:val="22"/>
              </w:rPr>
            </w:pPr>
            <w:r>
              <w:rPr>
                <w:sz w:val="22"/>
                <w:szCs w:val="22"/>
              </w:rPr>
              <w:t>A</w:t>
            </w:r>
          </w:p>
        </w:tc>
        <w:tc>
          <w:tcPr>
            <w:tcW w:w="0" w:type="auto"/>
            <w:hideMark/>
          </w:tcPr>
          <w:p w14:paraId="7B41A4CC" w14:textId="77777777" w:rsidR="00762748" w:rsidRPr="00E7526A" w:rsidRDefault="00762748" w:rsidP="00762748">
            <w:pPr>
              <w:pStyle w:val="ListParagraph"/>
              <w:ind w:left="0"/>
              <w:rPr>
                <w:sz w:val="22"/>
                <w:szCs w:val="22"/>
              </w:rPr>
            </w:pPr>
            <w:r w:rsidRPr="00E7526A">
              <w:rPr>
                <w:sz w:val="22"/>
                <w:szCs w:val="22"/>
              </w:rPr>
              <w:t>The defendant’s punishment should be the same as if the defendant personally used or possessed the firearm</w:t>
            </w:r>
          </w:p>
        </w:tc>
      </w:tr>
      <w:tr w:rsidR="00762748" w:rsidRPr="00E7526A" w14:paraId="16F41FA5" w14:textId="77777777" w:rsidTr="00762748">
        <w:tc>
          <w:tcPr>
            <w:tcW w:w="0" w:type="auto"/>
            <w:hideMark/>
          </w:tcPr>
          <w:p w14:paraId="0B58EFAD" w14:textId="0DA14FAE" w:rsidR="00762748" w:rsidRPr="00E7526A" w:rsidRDefault="000F4188" w:rsidP="00762748">
            <w:pPr>
              <w:pStyle w:val="ListParagraph"/>
              <w:ind w:left="0"/>
              <w:rPr>
                <w:sz w:val="22"/>
                <w:szCs w:val="22"/>
              </w:rPr>
            </w:pPr>
            <w:r>
              <w:rPr>
                <w:sz w:val="22"/>
                <w:szCs w:val="22"/>
              </w:rPr>
              <w:t>B</w:t>
            </w:r>
          </w:p>
        </w:tc>
        <w:tc>
          <w:tcPr>
            <w:tcW w:w="0" w:type="auto"/>
            <w:hideMark/>
          </w:tcPr>
          <w:p w14:paraId="6DEF78A4" w14:textId="77777777" w:rsidR="00762748" w:rsidRPr="00E7526A" w:rsidRDefault="00762748" w:rsidP="00762748">
            <w:pPr>
              <w:pStyle w:val="ListParagraph"/>
              <w:ind w:left="0"/>
              <w:rPr>
                <w:sz w:val="22"/>
                <w:szCs w:val="22"/>
              </w:rPr>
            </w:pPr>
            <w:r w:rsidRPr="00E7526A">
              <w:rPr>
                <w:sz w:val="22"/>
                <w:szCs w:val="22"/>
              </w:rPr>
              <w:t>The defendant’s punishment should be the same only if the defendant knew in advance that the accomplice was likely to possess the firearm during the crime</w:t>
            </w:r>
          </w:p>
        </w:tc>
      </w:tr>
      <w:tr w:rsidR="00762748" w:rsidRPr="00E7526A" w14:paraId="58F9FF8C" w14:textId="77777777" w:rsidTr="00762748">
        <w:tc>
          <w:tcPr>
            <w:tcW w:w="0" w:type="auto"/>
            <w:hideMark/>
          </w:tcPr>
          <w:p w14:paraId="2E6EBE5B" w14:textId="6DD4D434" w:rsidR="00762748" w:rsidRPr="00E7526A" w:rsidRDefault="000F4188" w:rsidP="00762748">
            <w:pPr>
              <w:pStyle w:val="ListParagraph"/>
              <w:ind w:left="0"/>
              <w:rPr>
                <w:sz w:val="22"/>
                <w:szCs w:val="22"/>
              </w:rPr>
            </w:pPr>
            <w:r>
              <w:rPr>
                <w:sz w:val="22"/>
                <w:szCs w:val="22"/>
              </w:rPr>
              <w:t>C</w:t>
            </w:r>
          </w:p>
        </w:tc>
        <w:tc>
          <w:tcPr>
            <w:tcW w:w="0" w:type="auto"/>
            <w:hideMark/>
          </w:tcPr>
          <w:p w14:paraId="6989727C" w14:textId="77777777" w:rsidR="00762748" w:rsidRPr="00E7526A" w:rsidRDefault="00762748" w:rsidP="00762748">
            <w:pPr>
              <w:pStyle w:val="ListParagraph"/>
              <w:ind w:left="0"/>
              <w:rPr>
                <w:sz w:val="22"/>
                <w:szCs w:val="22"/>
              </w:rPr>
            </w:pPr>
            <w:r w:rsidRPr="00E7526A">
              <w:rPr>
                <w:sz w:val="22"/>
                <w:szCs w:val="22"/>
              </w:rPr>
              <w:t>The defendant’s punishment should be less severe</w:t>
            </w:r>
          </w:p>
        </w:tc>
      </w:tr>
      <w:tr w:rsidR="00762748" w:rsidRPr="00E7526A" w14:paraId="516A78A9" w14:textId="77777777" w:rsidTr="00762748">
        <w:tc>
          <w:tcPr>
            <w:tcW w:w="0" w:type="auto"/>
            <w:hideMark/>
          </w:tcPr>
          <w:p w14:paraId="09CD8B68" w14:textId="5F99FFAD" w:rsidR="00762748" w:rsidRPr="00E7526A" w:rsidRDefault="000F4188" w:rsidP="00762748">
            <w:pPr>
              <w:pStyle w:val="ListParagraph"/>
              <w:ind w:left="0"/>
              <w:rPr>
                <w:sz w:val="22"/>
                <w:szCs w:val="22"/>
              </w:rPr>
            </w:pPr>
            <w:r>
              <w:rPr>
                <w:sz w:val="22"/>
                <w:szCs w:val="22"/>
              </w:rPr>
              <w:t>D</w:t>
            </w:r>
          </w:p>
        </w:tc>
        <w:tc>
          <w:tcPr>
            <w:tcW w:w="0" w:type="auto"/>
            <w:hideMark/>
          </w:tcPr>
          <w:p w14:paraId="2D69DDB0" w14:textId="77777777" w:rsidR="00762748" w:rsidRPr="00E7526A" w:rsidRDefault="00762748" w:rsidP="00762748">
            <w:pPr>
              <w:pStyle w:val="ListParagraph"/>
              <w:ind w:left="0"/>
              <w:rPr>
                <w:sz w:val="22"/>
                <w:szCs w:val="22"/>
              </w:rPr>
            </w:pPr>
            <w:r w:rsidRPr="00E7526A">
              <w:rPr>
                <w:sz w:val="22"/>
                <w:szCs w:val="22"/>
              </w:rPr>
              <w:t xml:space="preserve">The defendant should not be punished for an </w:t>
            </w:r>
            <w:proofErr w:type="gramStart"/>
            <w:r w:rsidRPr="00E7526A">
              <w:rPr>
                <w:sz w:val="22"/>
                <w:szCs w:val="22"/>
              </w:rPr>
              <w:t>accomplice’s firearm</w:t>
            </w:r>
            <w:proofErr w:type="gramEnd"/>
            <w:r w:rsidRPr="00E7526A">
              <w:rPr>
                <w:sz w:val="22"/>
                <w:szCs w:val="22"/>
              </w:rPr>
              <w:t xml:space="preserve"> possession or use</w:t>
            </w:r>
          </w:p>
        </w:tc>
      </w:tr>
      <w:tr w:rsidR="00762748" w:rsidRPr="00E7526A" w14:paraId="0433F644" w14:textId="77777777" w:rsidTr="00762748">
        <w:tc>
          <w:tcPr>
            <w:tcW w:w="0" w:type="auto"/>
            <w:hideMark/>
          </w:tcPr>
          <w:p w14:paraId="7CA3CF6C" w14:textId="5EF2C0B8" w:rsidR="00762748" w:rsidRPr="00E7526A" w:rsidRDefault="000F4188" w:rsidP="00762748">
            <w:pPr>
              <w:pStyle w:val="ListParagraph"/>
              <w:ind w:left="0"/>
              <w:rPr>
                <w:sz w:val="22"/>
                <w:szCs w:val="22"/>
              </w:rPr>
            </w:pPr>
            <w:r>
              <w:rPr>
                <w:sz w:val="22"/>
                <w:szCs w:val="22"/>
              </w:rPr>
              <w:t>E</w:t>
            </w:r>
          </w:p>
        </w:tc>
        <w:tc>
          <w:tcPr>
            <w:tcW w:w="0" w:type="auto"/>
            <w:hideMark/>
          </w:tcPr>
          <w:p w14:paraId="33594EE2" w14:textId="77777777" w:rsidR="00762748" w:rsidRPr="00E7526A" w:rsidRDefault="00762748" w:rsidP="00762748">
            <w:pPr>
              <w:pStyle w:val="ListParagraph"/>
              <w:ind w:left="0"/>
              <w:rPr>
                <w:sz w:val="22"/>
                <w:szCs w:val="22"/>
              </w:rPr>
            </w:pPr>
            <w:r w:rsidRPr="00E7526A">
              <w:rPr>
                <w:sz w:val="22"/>
                <w:szCs w:val="22"/>
              </w:rPr>
              <w:t>Other</w:t>
            </w:r>
          </w:p>
        </w:tc>
      </w:tr>
    </w:tbl>
    <w:p w14:paraId="23D6C5F0" w14:textId="77777777" w:rsidR="009C688E" w:rsidRDefault="009C688E" w:rsidP="009C688E">
      <w:pPr>
        <w:pStyle w:val="ListParagraph"/>
        <w:spacing w:after="0" w:line="240" w:lineRule="auto"/>
        <w:rPr>
          <w:b/>
          <w:bCs/>
        </w:rPr>
      </w:pPr>
    </w:p>
    <w:p w14:paraId="58531EC9" w14:textId="5B08D21B" w:rsidR="00C32160" w:rsidRDefault="00C32160" w:rsidP="00430585">
      <w:pPr>
        <w:pStyle w:val="ListParagraph"/>
        <w:numPr>
          <w:ilvl w:val="0"/>
          <w:numId w:val="2"/>
        </w:numPr>
        <w:spacing w:after="0" w:line="240" w:lineRule="auto"/>
        <w:ind w:left="360"/>
        <w:rPr>
          <w:b/>
          <w:bCs/>
        </w:rPr>
      </w:pPr>
      <w:r>
        <w:rPr>
          <w:b/>
          <w:bCs/>
        </w:rPr>
        <w:t xml:space="preserve">Decision Point 1-5: </w:t>
      </w:r>
      <w:r w:rsidRPr="00844D7D">
        <w:rPr>
          <w:b/>
          <w:bCs/>
        </w:rPr>
        <w:t>How should additional punishment be structured across escalating levels of weapon involvement under the Sentencing Guidelines framework?</w:t>
      </w:r>
    </w:p>
    <w:p w14:paraId="58A17E63" w14:textId="38EFEBD8" w:rsidR="009C688E" w:rsidRPr="009C688E" w:rsidRDefault="009C688E" w:rsidP="009C688E">
      <w:pPr>
        <w:spacing w:after="0" w:line="240" w:lineRule="auto"/>
        <w:ind w:left="360"/>
        <w:rPr>
          <w:rStyle w:val="IntenseReference"/>
        </w:rPr>
      </w:pPr>
      <w:r w:rsidRPr="009C688E">
        <w:rPr>
          <w:rStyle w:val="IntenseReference"/>
        </w:rPr>
        <w:t>For reference: Application of Selected Framework to Weapon-Involvement Tiers</w:t>
      </w:r>
    </w:p>
    <w:tbl>
      <w:tblPr>
        <w:tblStyle w:val="TableGrid"/>
        <w:tblW w:w="0" w:type="auto"/>
        <w:tblLook w:val="04A0" w:firstRow="1" w:lastRow="0" w:firstColumn="1" w:lastColumn="0" w:noHBand="0" w:noVBand="1"/>
      </w:tblPr>
      <w:tblGrid>
        <w:gridCol w:w="895"/>
        <w:gridCol w:w="12055"/>
      </w:tblGrid>
      <w:tr w:rsidR="009C688E" w:rsidRPr="000F4188" w14:paraId="58652D45" w14:textId="77777777" w:rsidTr="00B411BB">
        <w:tc>
          <w:tcPr>
            <w:tcW w:w="895" w:type="dxa"/>
            <w:shd w:val="clear" w:color="auto" w:fill="000000" w:themeFill="text1"/>
            <w:vAlign w:val="center"/>
            <w:hideMark/>
          </w:tcPr>
          <w:p w14:paraId="467A708F" w14:textId="77777777" w:rsidR="009C688E" w:rsidRPr="000F4188" w:rsidRDefault="009C688E" w:rsidP="00B411BB">
            <w:pPr>
              <w:rPr>
                <w:b/>
                <w:bCs/>
              </w:rPr>
            </w:pPr>
            <w:r>
              <w:rPr>
                <w:b/>
                <w:bCs/>
              </w:rPr>
              <w:t>Tier</w:t>
            </w:r>
          </w:p>
        </w:tc>
        <w:tc>
          <w:tcPr>
            <w:tcW w:w="12055" w:type="dxa"/>
            <w:shd w:val="clear" w:color="auto" w:fill="000000" w:themeFill="text1"/>
            <w:vAlign w:val="center"/>
            <w:hideMark/>
          </w:tcPr>
          <w:p w14:paraId="623CFA8F" w14:textId="77777777" w:rsidR="009C688E" w:rsidRPr="000F4188" w:rsidRDefault="009C688E" w:rsidP="00B411BB">
            <w:pPr>
              <w:rPr>
                <w:b/>
                <w:bCs/>
              </w:rPr>
            </w:pPr>
            <w:r>
              <w:rPr>
                <w:b/>
                <w:bCs/>
              </w:rPr>
              <w:t>Weapon-Involvement Conduct</w:t>
            </w:r>
          </w:p>
        </w:tc>
      </w:tr>
      <w:tr w:rsidR="009C688E" w:rsidRPr="000F4188" w14:paraId="1F4C0144" w14:textId="77777777" w:rsidTr="00B411BB">
        <w:tc>
          <w:tcPr>
            <w:tcW w:w="895" w:type="dxa"/>
            <w:vAlign w:val="center"/>
            <w:hideMark/>
          </w:tcPr>
          <w:p w14:paraId="3C868A6E" w14:textId="77777777" w:rsidR="009C688E" w:rsidRPr="000F4188" w:rsidRDefault="009C688E" w:rsidP="00B411BB">
            <w:r>
              <w:t>Tier 0</w:t>
            </w:r>
          </w:p>
        </w:tc>
        <w:tc>
          <w:tcPr>
            <w:tcW w:w="12055" w:type="dxa"/>
            <w:vAlign w:val="center"/>
            <w:hideMark/>
          </w:tcPr>
          <w:p w14:paraId="10797A0D" w14:textId="77777777" w:rsidR="009C688E" w:rsidRPr="000F4188" w:rsidRDefault="009C688E" w:rsidP="00B411BB">
            <w:r>
              <w:t>Firearm possessed off-person and not within immediate reach</w:t>
            </w:r>
          </w:p>
        </w:tc>
      </w:tr>
      <w:tr w:rsidR="009C688E" w:rsidRPr="000F4188" w14:paraId="51ABD521" w14:textId="77777777" w:rsidTr="00B411BB">
        <w:tc>
          <w:tcPr>
            <w:tcW w:w="895" w:type="dxa"/>
            <w:vAlign w:val="center"/>
            <w:hideMark/>
          </w:tcPr>
          <w:p w14:paraId="41D95E8D" w14:textId="77777777" w:rsidR="009C688E" w:rsidRPr="000F4188" w:rsidRDefault="009C688E" w:rsidP="00B411BB">
            <w:r>
              <w:t>Tier 1</w:t>
            </w:r>
          </w:p>
        </w:tc>
        <w:tc>
          <w:tcPr>
            <w:tcW w:w="12055" w:type="dxa"/>
            <w:vAlign w:val="center"/>
            <w:hideMark/>
          </w:tcPr>
          <w:p w14:paraId="4B0D20B0" w14:textId="77777777" w:rsidR="009C688E" w:rsidRPr="000F4188" w:rsidRDefault="009C688E" w:rsidP="00B411BB">
            <w:r>
              <w:t xml:space="preserve">Use of dangerous </w:t>
            </w:r>
            <w:proofErr w:type="gramStart"/>
            <w:r>
              <w:t>weapon</w:t>
            </w:r>
            <w:proofErr w:type="gramEnd"/>
            <w:r>
              <w:t xml:space="preserve"> other than firearm, or firearm possessed on person/immediate reach</w:t>
            </w:r>
          </w:p>
        </w:tc>
      </w:tr>
      <w:tr w:rsidR="009C688E" w:rsidRPr="000F4188" w14:paraId="373587EB" w14:textId="77777777" w:rsidTr="00B411BB">
        <w:tc>
          <w:tcPr>
            <w:tcW w:w="895" w:type="dxa"/>
            <w:vAlign w:val="center"/>
          </w:tcPr>
          <w:p w14:paraId="481C40FC" w14:textId="77777777" w:rsidR="009C688E" w:rsidRPr="000F4188" w:rsidRDefault="009C688E" w:rsidP="00B411BB">
            <w:r>
              <w:t>Tier 2</w:t>
            </w:r>
          </w:p>
        </w:tc>
        <w:tc>
          <w:tcPr>
            <w:tcW w:w="12055" w:type="dxa"/>
            <w:vAlign w:val="center"/>
          </w:tcPr>
          <w:p w14:paraId="7EF5CFE5" w14:textId="77777777" w:rsidR="009C688E" w:rsidRPr="000F4188" w:rsidRDefault="009C688E" w:rsidP="00B411BB">
            <w:r>
              <w:t>Firearm possessed on person/immediate reach when possession is prohibited due to prior qualifying conviction or adjudication</w:t>
            </w:r>
          </w:p>
        </w:tc>
      </w:tr>
      <w:tr w:rsidR="009C688E" w:rsidRPr="000F4188" w14:paraId="0C7646E3" w14:textId="77777777" w:rsidTr="00B411BB">
        <w:tc>
          <w:tcPr>
            <w:tcW w:w="895" w:type="dxa"/>
            <w:vAlign w:val="center"/>
          </w:tcPr>
          <w:p w14:paraId="1BAC0270" w14:textId="77777777" w:rsidR="009C688E" w:rsidRPr="000F4188" w:rsidRDefault="009C688E" w:rsidP="00B411BB">
            <w:r>
              <w:t>Tier 3</w:t>
            </w:r>
          </w:p>
        </w:tc>
        <w:tc>
          <w:tcPr>
            <w:tcW w:w="12055" w:type="dxa"/>
            <w:vAlign w:val="center"/>
          </w:tcPr>
          <w:p w14:paraId="30E641C7" w14:textId="77777777" w:rsidR="009C688E" w:rsidRPr="000F4188" w:rsidRDefault="009C688E" w:rsidP="00B411BB">
            <w:r>
              <w:t>Firearm used (brandishing, displaying, threatening) during offense</w:t>
            </w:r>
          </w:p>
        </w:tc>
      </w:tr>
      <w:tr w:rsidR="009C688E" w:rsidRPr="000F4188" w14:paraId="79B3D32E" w14:textId="77777777" w:rsidTr="00B411BB">
        <w:tc>
          <w:tcPr>
            <w:tcW w:w="895" w:type="dxa"/>
            <w:vAlign w:val="center"/>
          </w:tcPr>
          <w:p w14:paraId="308A32E8" w14:textId="77777777" w:rsidR="009C688E" w:rsidRPr="000F4188" w:rsidRDefault="009C688E" w:rsidP="00B411BB">
            <w:r>
              <w:t>Tier 4</w:t>
            </w:r>
          </w:p>
        </w:tc>
        <w:tc>
          <w:tcPr>
            <w:tcW w:w="12055" w:type="dxa"/>
            <w:vAlign w:val="center"/>
          </w:tcPr>
          <w:p w14:paraId="40CFA9D9" w14:textId="77777777" w:rsidR="009C688E" w:rsidRPr="000F4188" w:rsidRDefault="009C688E" w:rsidP="00B411BB">
            <w:r>
              <w:t>Firearm used during offense while legally prohibited due to prior conviction or adjudication</w:t>
            </w:r>
          </w:p>
        </w:tc>
      </w:tr>
      <w:tr w:rsidR="009C688E" w:rsidRPr="000F4188" w14:paraId="290A27CF" w14:textId="77777777" w:rsidTr="00B411BB">
        <w:tc>
          <w:tcPr>
            <w:tcW w:w="895" w:type="dxa"/>
            <w:vAlign w:val="center"/>
          </w:tcPr>
          <w:p w14:paraId="02B97464" w14:textId="77777777" w:rsidR="009C688E" w:rsidRPr="000F4188" w:rsidRDefault="009C688E" w:rsidP="00B411BB">
            <w:r>
              <w:t>Tier 5</w:t>
            </w:r>
          </w:p>
        </w:tc>
        <w:tc>
          <w:tcPr>
            <w:tcW w:w="12055" w:type="dxa"/>
            <w:vAlign w:val="center"/>
          </w:tcPr>
          <w:p w14:paraId="1FB2CA5D" w14:textId="77777777" w:rsidR="009C688E" w:rsidRPr="000F4188" w:rsidRDefault="009C688E" w:rsidP="00B411BB">
            <w:r>
              <w:t>Firearm discharged, or repeat firearm-enhanced offense following prior non-decayed enhancement sentence</w:t>
            </w:r>
          </w:p>
        </w:tc>
      </w:tr>
    </w:tbl>
    <w:p w14:paraId="09462BE5" w14:textId="77777777" w:rsidR="009C688E" w:rsidRDefault="009C688E" w:rsidP="009C688E">
      <w:pPr>
        <w:pStyle w:val="ListParagraph"/>
        <w:spacing w:after="0" w:line="240" w:lineRule="auto"/>
        <w:rPr>
          <w:b/>
          <w:bCs/>
        </w:rPr>
      </w:pPr>
    </w:p>
    <w:p w14:paraId="4EA2530F" w14:textId="6987BC0B" w:rsidR="000F4188" w:rsidRPr="000F4188" w:rsidRDefault="000F4188" w:rsidP="000F4188">
      <w:pPr>
        <w:spacing w:after="0" w:line="240" w:lineRule="auto"/>
        <w:ind w:left="360"/>
        <w:rPr>
          <w:b/>
          <w:bCs/>
        </w:rPr>
      </w:pPr>
      <w:proofErr w:type="gramStart"/>
      <w:r>
        <w:rPr>
          <w:b/>
          <w:bCs/>
        </w:rPr>
        <w:t xml:space="preserve">5a. </w:t>
      </w:r>
      <w:r w:rsidRPr="000F4188">
        <w:rPr>
          <w:b/>
          <w:bCs/>
        </w:rPr>
        <w:t>Decision</w:t>
      </w:r>
      <w:proofErr w:type="gramEnd"/>
      <w:r w:rsidRPr="000F4188">
        <w:rPr>
          <w:b/>
          <w:bCs/>
        </w:rPr>
        <w:t xml:space="preserve"> Point 1-5a: </w:t>
      </w:r>
      <w:r w:rsidR="00844D7D" w:rsidRPr="00844D7D">
        <w:rPr>
          <w:b/>
          <w:bCs/>
        </w:rPr>
        <w:t>S</w:t>
      </w:r>
      <w:r w:rsidR="00844D7D">
        <w:rPr>
          <w:b/>
          <w:bCs/>
        </w:rPr>
        <w:t>tep 1 - s</w:t>
      </w:r>
      <w:r w:rsidR="00844D7D" w:rsidRPr="00844D7D">
        <w:rPr>
          <w:b/>
          <w:bCs/>
        </w:rPr>
        <w:t>elect Overall Enhancement Framework</w:t>
      </w:r>
    </w:p>
    <w:tbl>
      <w:tblPr>
        <w:tblStyle w:val="TableGrid"/>
        <w:tblW w:w="13642" w:type="dxa"/>
        <w:tblLook w:val="04A0" w:firstRow="1" w:lastRow="0" w:firstColumn="1" w:lastColumn="0" w:noHBand="0" w:noVBand="1"/>
      </w:tblPr>
      <w:tblGrid>
        <w:gridCol w:w="960"/>
        <w:gridCol w:w="12682"/>
      </w:tblGrid>
      <w:tr w:rsidR="000F4188" w:rsidRPr="000F4188" w14:paraId="1DEB7D71" w14:textId="77777777" w:rsidTr="009C688E">
        <w:trPr>
          <w:trHeight w:val="286"/>
        </w:trPr>
        <w:tc>
          <w:tcPr>
            <w:tcW w:w="535" w:type="dxa"/>
            <w:shd w:val="clear" w:color="auto" w:fill="000000" w:themeFill="text1"/>
            <w:hideMark/>
          </w:tcPr>
          <w:p w14:paraId="33C91D00" w14:textId="77777777" w:rsidR="000F4188" w:rsidRPr="000F4188" w:rsidRDefault="000F4188" w:rsidP="000F4188">
            <w:pPr>
              <w:rPr>
                <w:b/>
                <w:bCs/>
              </w:rPr>
            </w:pPr>
            <w:r w:rsidRPr="000F4188">
              <w:rPr>
                <w:b/>
                <w:bCs/>
              </w:rPr>
              <w:t>Option</w:t>
            </w:r>
          </w:p>
        </w:tc>
        <w:tc>
          <w:tcPr>
            <w:tcW w:w="13107" w:type="dxa"/>
            <w:shd w:val="clear" w:color="auto" w:fill="000000" w:themeFill="text1"/>
            <w:hideMark/>
          </w:tcPr>
          <w:p w14:paraId="456A6683" w14:textId="77777777" w:rsidR="000F4188" w:rsidRPr="000F4188" w:rsidRDefault="000F4188" w:rsidP="000F4188">
            <w:pPr>
              <w:rPr>
                <w:b/>
                <w:bCs/>
              </w:rPr>
            </w:pPr>
            <w:r w:rsidRPr="000F4188">
              <w:rPr>
                <w:b/>
                <w:bCs/>
              </w:rPr>
              <w:t>Description</w:t>
            </w:r>
          </w:p>
        </w:tc>
      </w:tr>
      <w:tr w:rsidR="000F4188" w:rsidRPr="000F4188" w14:paraId="4D1CBA61" w14:textId="77777777" w:rsidTr="009C688E">
        <w:trPr>
          <w:trHeight w:val="587"/>
        </w:trPr>
        <w:tc>
          <w:tcPr>
            <w:tcW w:w="535" w:type="dxa"/>
            <w:hideMark/>
          </w:tcPr>
          <w:p w14:paraId="6E382753" w14:textId="77777777" w:rsidR="000F4188" w:rsidRPr="000F4188" w:rsidRDefault="000F4188" w:rsidP="009C688E">
            <w:r w:rsidRPr="000F4188">
              <w:t>A</w:t>
            </w:r>
          </w:p>
        </w:tc>
        <w:tc>
          <w:tcPr>
            <w:tcW w:w="13107" w:type="dxa"/>
            <w:hideMark/>
          </w:tcPr>
          <w:p w14:paraId="7B497BBB" w14:textId="77777777" w:rsidR="000F4188" w:rsidRPr="000F4188" w:rsidRDefault="000F4188" w:rsidP="009C688E">
            <w:r w:rsidRPr="000F4188">
              <w:t>No enhancement model – The Sentencing Guidelines sentence is sufficient; no additional time is added based on weapon-involvement tier.</w:t>
            </w:r>
          </w:p>
        </w:tc>
      </w:tr>
      <w:tr w:rsidR="000F4188" w:rsidRPr="000F4188" w14:paraId="0A3D755F" w14:textId="77777777" w:rsidTr="009C688E">
        <w:trPr>
          <w:trHeight w:val="587"/>
        </w:trPr>
        <w:tc>
          <w:tcPr>
            <w:tcW w:w="535" w:type="dxa"/>
            <w:hideMark/>
          </w:tcPr>
          <w:p w14:paraId="62270868" w14:textId="77777777" w:rsidR="000F4188" w:rsidRPr="000F4188" w:rsidRDefault="000F4188" w:rsidP="009C688E">
            <w:r w:rsidRPr="000F4188">
              <w:t>B</w:t>
            </w:r>
          </w:p>
        </w:tc>
        <w:tc>
          <w:tcPr>
            <w:tcW w:w="13107" w:type="dxa"/>
            <w:hideMark/>
          </w:tcPr>
          <w:p w14:paraId="0E7A7093" w14:textId="77777777" w:rsidR="000F4188" w:rsidRPr="000F4188" w:rsidRDefault="000F4188" w:rsidP="009C688E">
            <w:r w:rsidRPr="000F4188">
              <w:t>Fixed enhancement model – Add a specified additional duration based on tier level (uniform structure across tiers).</w:t>
            </w:r>
          </w:p>
        </w:tc>
      </w:tr>
      <w:tr w:rsidR="000F4188" w:rsidRPr="000F4188" w14:paraId="760EF674" w14:textId="77777777" w:rsidTr="009C688E">
        <w:trPr>
          <w:trHeight w:val="587"/>
        </w:trPr>
        <w:tc>
          <w:tcPr>
            <w:tcW w:w="535" w:type="dxa"/>
            <w:hideMark/>
          </w:tcPr>
          <w:p w14:paraId="72CC794D" w14:textId="77777777" w:rsidR="000F4188" w:rsidRPr="000F4188" w:rsidRDefault="000F4188" w:rsidP="009C688E">
            <w:r w:rsidRPr="000F4188">
              <w:t>C</w:t>
            </w:r>
          </w:p>
        </w:tc>
        <w:tc>
          <w:tcPr>
            <w:tcW w:w="13107" w:type="dxa"/>
            <w:hideMark/>
          </w:tcPr>
          <w:p w14:paraId="29567D3B" w14:textId="77777777" w:rsidR="000F4188" w:rsidRPr="000F4188" w:rsidRDefault="000F4188" w:rsidP="009C688E">
            <w:r w:rsidRPr="000F4188">
              <w:t>Escalating enhancement model – Increasing enhancements by tier, potentially including changes in disposition (e.g., prison requirement) at higher tiers.</w:t>
            </w:r>
          </w:p>
        </w:tc>
      </w:tr>
    </w:tbl>
    <w:p w14:paraId="0C304FC4" w14:textId="77777777" w:rsidR="000F4188" w:rsidRDefault="000F4188" w:rsidP="000F4188">
      <w:pPr>
        <w:spacing w:after="0" w:line="240" w:lineRule="auto"/>
        <w:rPr>
          <w:b/>
          <w:bCs/>
        </w:rPr>
      </w:pPr>
    </w:p>
    <w:p w14:paraId="3E62D53A" w14:textId="50065F68" w:rsidR="000F4188" w:rsidRPr="000F4188" w:rsidRDefault="000F4188" w:rsidP="000F4188">
      <w:pPr>
        <w:spacing w:after="0" w:line="240" w:lineRule="auto"/>
        <w:ind w:left="360"/>
        <w:rPr>
          <w:b/>
          <w:bCs/>
        </w:rPr>
      </w:pPr>
      <w:r>
        <w:rPr>
          <w:b/>
          <w:bCs/>
        </w:rPr>
        <w:lastRenderedPageBreak/>
        <w:t xml:space="preserve">5b. </w:t>
      </w:r>
      <w:r w:rsidRPr="000F4188">
        <w:rPr>
          <w:b/>
          <w:bCs/>
        </w:rPr>
        <w:t xml:space="preserve">Decision Point 1-5b: </w:t>
      </w:r>
      <w:r w:rsidR="00844D7D">
        <w:rPr>
          <w:b/>
          <w:bCs/>
        </w:rPr>
        <w:t xml:space="preserve">Step 2 - </w:t>
      </w:r>
      <w:r w:rsidR="00844D7D" w:rsidRPr="00844D7D">
        <w:rPr>
          <w:b/>
          <w:bCs/>
        </w:rPr>
        <w:t>Determine Waivability of Enhancements</w:t>
      </w:r>
    </w:p>
    <w:tbl>
      <w:tblPr>
        <w:tblStyle w:val="TableGrid"/>
        <w:tblW w:w="0" w:type="auto"/>
        <w:tblLook w:val="04A0" w:firstRow="1" w:lastRow="0" w:firstColumn="1" w:lastColumn="0" w:noHBand="0" w:noVBand="1"/>
      </w:tblPr>
      <w:tblGrid>
        <w:gridCol w:w="960"/>
        <w:gridCol w:w="10988"/>
      </w:tblGrid>
      <w:tr w:rsidR="000F4188" w:rsidRPr="000F4188" w14:paraId="0DA9F22C" w14:textId="77777777" w:rsidTr="000F4188">
        <w:tc>
          <w:tcPr>
            <w:tcW w:w="0" w:type="auto"/>
            <w:shd w:val="clear" w:color="auto" w:fill="000000" w:themeFill="text1"/>
            <w:hideMark/>
          </w:tcPr>
          <w:p w14:paraId="5E3FAD48" w14:textId="77777777" w:rsidR="000F4188" w:rsidRPr="000F4188" w:rsidRDefault="000F4188" w:rsidP="000F4188">
            <w:pPr>
              <w:rPr>
                <w:b/>
                <w:bCs/>
              </w:rPr>
            </w:pPr>
            <w:r w:rsidRPr="000F4188">
              <w:rPr>
                <w:b/>
                <w:bCs/>
              </w:rPr>
              <w:t>Option</w:t>
            </w:r>
          </w:p>
        </w:tc>
        <w:tc>
          <w:tcPr>
            <w:tcW w:w="0" w:type="auto"/>
            <w:shd w:val="clear" w:color="auto" w:fill="000000" w:themeFill="text1"/>
            <w:hideMark/>
          </w:tcPr>
          <w:p w14:paraId="4BE790C7" w14:textId="77777777" w:rsidR="000F4188" w:rsidRPr="000F4188" w:rsidRDefault="000F4188" w:rsidP="000F4188">
            <w:pPr>
              <w:rPr>
                <w:b/>
                <w:bCs/>
              </w:rPr>
            </w:pPr>
            <w:r w:rsidRPr="000F4188">
              <w:rPr>
                <w:b/>
                <w:bCs/>
              </w:rPr>
              <w:t>Description</w:t>
            </w:r>
          </w:p>
        </w:tc>
      </w:tr>
      <w:tr w:rsidR="000F4188" w:rsidRPr="000F4188" w14:paraId="18DA0D4D" w14:textId="77777777" w:rsidTr="000F4188">
        <w:tc>
          <w:tcPr>
            <w:tcW w:w="0" w:type="auto"/>
            <w:hideMark/>
          </w:tcPr>
          <w:p w14:paraId="4BBC2739" w14:textId="77777777" w:rsidR="000F4188" w:rsidRPr="000F4188" w:rsidRDefault="000F4188" w:rsidP="000F4188">
            <w:r w:rsidRPr="000F4188">
              <w:t>A</w:t>
            </w:r>
          </w:p>
        </w:tc>
        <w:tc>
          <w:tcPr>
            <w:tcW w:w="0" w:type="auto"/>
            <w:hideMark/>
          </w:tcPr>
          <w:p w14:paraId="0C399A1D" w14:textId="77777777" w:rsidR="000F4188" w:rsidRPr="000F4188" w:rsidRDefault="000F4188" w:rsidP="000F4188">
            <w:r w:rsidRPr="000F4188">
              <w:t>Fully waivable – Courts may depart from enhancements at all tiers.</w:t>
            </w:r>
          </w:p>
        </w:tc>
      </w:tr>
      <w:tr w:rsidR="000F4188" w:rsidRPr="000F4188" w14:paraId="422A7306" w14:textId="77777777" w:rsidTr="000F4188">
        <w:tc>
          <w:tcPr>
            <w:tcW w:w="0" w:type="auto"/>
            <w:hideMark/>
          </w:tcPr>
          <w:p w14:paraId="003CF062" w14:textId="77777777" w:rsidR="000F4188" w:rsidRPr="000F4188" w:rsidRDefault="000F4188" w:rsidP="000F4188">
            <w:r w:rsidRPr="000F4188">
              <w:t>B</w:t>
            </w:r>
          </w:p>
        </w:tc>
        <w:tc>
          <w:tcPr>
            <w:tcW w:w="0" w:type="auto"/>
            <w:hideMark/>
          </w:tcPr>
          <w:p w14:paraId="3CDE95ED" w14:textId="77777777" w:rsidR="000F4188" w:rsidRPr="000F4188" w:rsidRDefault="000F4188" w:rsidP="000F4188">
            <w:r w:rsidRPr="000F4188">
              <w:t>Partially waivable – Lower tiers are waivable; higher tiers carry presumptive or mandatory enhancements.</w:t>
            </w:r>
          </w:p>
        </w:tc>
      </w:tr>
      <w:tr w:rsidR="000F4188" w:rsidRPr="000F4188" w14:paraId="5C66D134" w14:textId="77777777" w:rsidTr="000F4188">
        <w:tc>
          <w:tcPr>
            <w:tcW w:w="0" w:type="auto"/>
            <w:hideMark/>
          </w:tcPr>
          <w:p w14:paraId="718B91CE" w14:textId="77777777" w:rsidR="000F4188" w:rsidRPr="000F4188" w:rsidRDefault="000F4188" w:rsidP="000F4188">
            <w:r w:rsidRPr="000F4188">
              <w:t>C</w:t>
            </w:r>
          </w:p>
        </w:tc>
        <w:tc>
          <w:tcPr>
            <w:tcW w:w="0" w:type="auto"/>
            <w:hideMark/>
          </w:tcPr>
          <w:p w14:paraId="126589DE" w14:textId="77777777" w:rsidR="000F4188" w:rsidRPr="000F4188" w:rsidRDefault="000F4188" w:rsidP="000F4188">
            <w:r w:rsidRPr="000F4188">
              <w:t xml:space="preserve">Limited </w:t>
            </w:r>
            <w:proofErr w:type="spellStart"/>
            <w:r w:rsidRPr="000F4188">
              <w:t>waivability</w:t>
            </w:r>
            <w:proofErr w:type="spellEnd"/>
            <w:r w:rsidRPr="000F4188">
              <w:t xml:space="preserve"> at highest tiers – Tiers 0–3 </w:t>
            </w:r>
            <w:proofErr w:type="gramStart"/>
            <w:r w:rsidRPr="000F4188">
              <w:t>are</w:t>
            </w:r>
            <w:proofErr w:type="gramEnd"/>
            <w:r w:rsidRPr="000F4188">
              <w:t xml:space="preserve"> waivable; Tier 4–5 enhancements are mandatory.</w:t>
            </w:r>
          </w:p>
        </w:tc>
      </w:tr>
    </w:tbl>
    <w:p w14:paraId="63D2A799" w14:textId="77777777" w:rsidR="000F4188" w:rsidRDefault="000F4188" w:rsidP="000F4188">
      <w:pPr>
        <w:spacing w:after="0" w:line="240" w:lineRule="auto"/>
        <w:rPr>
          <w:b/>
          <w:bCs/>
        </w:rPr>
      </w:pPr>
    </w:p>
    <w:p w14:paraId="48237A5F" w14:textId="7D278C40" w:rsidR="00965962" w:rsidRDefault="009C688E" w:rsidP="009C688E">
      <w:pPr>
        <w:pStyle w:val="ListParagraph"/>
        <w:spacing w:after="0" w:line="240" w:lineRule="auto"/>
        <w:ind w:left="360"/>
        <w:rPr>
          <w:b/>
          <w:bCs/>
        </w:rPr>
      </w:pPr>
      <w:commentRangeStart w:id="1"/>
      <w:r>
        <w:rPr>
          <w:b/>
          <w:bCs/>
        </w:rPr>
        <w:t>D</w:t>
      </w:r>
      <w:r w:rsidR="00400ECA">
        <w:rPr>
          <w:b/>
          <w:bCs/>
        </w:rPr>
        <w:t>ecision Point</w:t>
      </w:r>
      <w:r w:rsidR="00965962" w:rsidRPr="00D26C51">
        <w:rPr>
          <w:b/>
          <w:bCs/>
        </w:rPr>
        <w:t xml:space="preserve"> 1–5: What should the additional punishment be at each severity tier?</w:t>
      </w:r>
    </w:p>
    <w:tbl>
      <w:tblPr>
        <w:tblStyle w:val="TableGrid"/>
        <w:tblW w:w="13463" w:type="dxa"/>
        <w:tblLook w:val="04A0" w:firstRow="1" w:lastRow="0" w:firstColumn="1" w:lastColumn="0" w:noHBand="0" w:noVBand="1"/>
      </w:tblPr>
      <w:tblGrid>
        <w:gridCol w:w="813"/>
        <w:gridCol w:w="5138"/>
        <w:gridCol w:w="5834"/>
        <w:gridCol w:w="1678"/>
      </w:tblGrid>
      <w:tr w:rsidR="006E3725" w:rsidRPr="00E7526A" w14:paraId="555A2029" w14:textId="77777777" w:rsidTr="001274D9">
        <w:trPr>
          <w:trHeight w:val="300"/>
        </w:trPr>
        <w:tc>
          <w:tcPr>
            <w:tcW w:w="813" w:type="dxa"/>
            <w:shd w:val="clear" w:color="auto" w:fill="000000" w:themeFill="text1"/>
            <w:hideMark/>
          </w:tcPr>
          <w:p w14:paraId="14FE0296" w14:textId="77777777" w:rsidR="006E3725" w:rsidRPr="00E7526A" w:rsidRDefault="006E3725" w:rsidP="006E3725">
            <w:pPr>
              <w:rPr>
                <w:b/>
                <w:bCs/>
                <w:sz w:val="22"/>
                <w:szCs w:val="22"/>
              </w:rPr>
            </w:pPr>
            <w:r w:rsidRPr="00E7526A">
              <w:rPr>
                <w:b/>
                <w:bCs/>
                <w:sz w:val="22"/>
                <w:szCs w:val="22"/>
              </w:rPr>
              <w:t>Tier</w:t>
            </w:r>
          </w:p>
        </w:tc>
        <w:tc>
          <w:tcPr>
            <w:tcW w:w="5138" w:type="dxa"/>
            <w:shd w:val="clear" w:color="auto" w:fill="000000" w:themeFill="text1"/>
            <w:hideMark/>
          </w:tcPr>
          <w:p w14:paraId="6FB6045D" w14:textId="77777777" w:rsidR="006E3725" w:rsidRPr="00E7526A" w:rsidRDefault="006E3725" w:rsidP="006E3725">
            <w:pPr>
              <w:rPr>
                <w:b/>
                <w:bCs/>
                <w:sz w:val="22"/>
                <w:szCs w:val="22"/>
              </w:rPr>
            </w:pPr>
            <w:r w:rsidRPr="00E7526A">
              <w:rPr>
                <w:b/>
                <w:bCs/>
                <w:sz w:val="22"/>
                <w:szCs w:val="22"/>
              </w:rPr>
              <w:t>Option A</w:t>
            </w:r>
          </w:p>
        </w:tc>
        <w:tc>
          <w:tcPr>
            <w:tcW w:w="5834" w:type="dxa"/>
            <w:shd w:val="clear" w:color="auto" w:fill="000000" w:themeFill="text1"/>
            <w:hideMark/>
          </w:tcPr>
          <w:p w14:paraId="34D255C1" w14:textId="77777777" w:rsidR="006E3725" w:rsidRPr="00E7526A" w:rsidRDefault="006E3725" w:rsidP="006E3725">
            <w:pPr>
              <w:rPr>
                <w:b/>
                <w:bCs/>
                <w:sz w:val="22"/>
                <w:szCs w:val="22"/>
              </w:rPr>
            </w:pPr>
            <w:r w:rsidRPr="00E7526A">
              <w:rPr>
                <w:b/>
                <w:bCs/>
                <w:sz w:val="22"/>
                <w:szCs w:val="22"/>
              </w:rPr>
              <w:t>Option B</w:t>
            </w:r>
          </w:p>
        </w:tc>
        <w:tc>
          <w:tcPr>
            <w:tcW w:w="1678" w:type="dxa"/>
            <w:shd w:val="clear" w:color="auto" w:fill="000000" w:themeFill="text1"/>
            <w:hideMark/>
          </w:tcPr>
          <w:p w14:paraId="04308B3C" w14:textId="77777777" w:rsidR="006E3725" w:rsidRPr="00E7526A" w:rsidRDefault="006E3725" w:rsidP="006E3725">
            <w:pPr>
              <w:rPr>
                <w:b/>
                <w:bCs/>
                <w:sz w:val="22"/>
                <w:szCs w:val="22"/>
              </w:rPr>
            </w:pPr>
            <w:r w:rsidRPr="00E7526A">
              <w:rPr>
                <w:b/>
                <w:bCs/>
                <w:sz w:val="22"/>
                <w:szCs w:val="22"/>
              </w:rPr>
              <w:t>Option C</w:t>
            </w:r>
          </w:p>
        </w:tc>
      </w:tr>
      <w:tr w:rsidR="006E3725" w:rsidRPr="00E7526A" w14:paraId="418CB0B5" w14:textId="77777777" w:rsidTr="001274D9">
        <w:trPr>
          <w:trHeight w:val="271"/>
        </w:trPr>
        <w:tc>
          <w:tcPr>
            <w:tcW w:w="813" w:type="dxa"/>
            <w:hideMark/>
          </w:tcPr>
          <w:p w14:paraId="7D90BAE7" w14:textId="184C5691" w:rsidR="006E3725" w:rsidRPr="00E7526A" w:rsidRDefault="006E3725" w:rsidP="00E7526A">
            <w:pPr>
              <w:jc w:val="center"/>
              <w:rPr>
                <w:sz w:val="22"/>
                <w:szCs w:val="22"/>
              </w:rPr>
            </w:pPr>
            <w:r w:rsidRPr="00E7526A">
              <w:rPr>
                <w:sz w:val="22"/>
                <w:szCs w:val="22"/>
              </w:rPr>
              <w:t>0</w:t>
            </w:r>
          </w:p>
        </w:tc>
        <w:tc>
          <w:tcPr>
            <w:tcW w:w="5138" w:type="dxa"/>
            <w:hideMark/>
          </w:tcPr>
          <w:p w14:paraId="345F3358" w14:textId="31CC6222" w:rsidR="006E3725" w:rsidRPr="001274D9" w:rsidRDefault="006E3725" w:rsidP="00430585">
            <w:pPr>
              <w:pStyle w:val="ListParagraph"/>
              <w:numPr>
                <w:ilvl w:val="0"/>
                <w:numId w:val="11"/>
              </w:numPr>
              <w:ind w:left="360"/>
              <w:rPr>
                <w:sz w:val="22"/>
                <w:szCs w:val="22"/>
              </w:rPr>
            </w:pPr>
            <w:r w:rsidRPr="001274D9">
              <w:rPr>
                <w:sz w:val="22"/>
                <w:szCs w:val="22"/>
              </w:rPr>
              <w:t>No additional punishment, the Guidelines punishment is sufficient</w:t>
            </w:r>
          </w:p>
        </w:tc>
        <w:tc>
          <w:tcPr>
            <w:tcW w:w="5834" w:type="dxa"/>
            <w:hideMark/>
          </w:tcPr>
          <w:p w14:paraId="43418186" w14:textId="3A052CE9" w:rsidR="006E3725" w:rsidRPr="001274D9" w:rsidRDefault="006E3725" w:rsidP="00430585">
            <w:pPr>
              <w:pStyle w:val="ListParagraph"/>
              <w:numPr>
                <w:ilvl w:val="0"/>
                <w:numId w:val="11"/>
              </w:numPr>
              <w:ind w:left="360"/>
              <w:jc w:val="both"/>
              <w:rPr>
                <w:sz w:val="22"/>
                <w:szCs w:val="22"/>
              </w:rPr>
            </w:pPr>
            <w:r w:rsidRPr="001274D9">
              <w:rPr>
                <w:sz w:val="22"/>
                <w:szCs w:val="22"/>
              </w:rPr>
              <w:t>—</w:t>
            </w:r>
          </w:p>
        </w:tc>
        <w:tc>
          <w:tcPr>
            <w:tcW w:w="1678" w:type="dxa"/>
            <w:hideMark/>
          </w:tcPr>
          <w:p w14:paraId="4312C141" w14:textId="78C9229C" w:rsidR="006E3725" w:rsidRPr="001274D9" w:rsidRDefault="006E3725" w:rsidP="00430585">
            <w:pPr>
              <w:pStyle w:val="ListParagraph"/>
              <w:numPr>
                <w:ilvl w:val="0"/>
                <w:numId w:val="11"/>
              </w:numPr>
              <w:ind w:left="360"/>
              <w:rPr>
                <w:sz w:val="22"/>
                <w:szCs w:val="22"/>
              </w:rPr>
            </w:pPr>
          </w:p>
        </w:tc>
      </w:tr>
      <w:tr w:rsidR="006E3725" w:rsidRPr="00E7526A" w14:paraId="58032312" w14:textId="77777777" w:rsidTr="001274D9">
        <w:trPr>
          <w:trHeight w:val="286"/>
        </w:trPr>
        <w:tc>
          <w:tcPr>
            <w:tcW w:w="813" w:type="dxa"/>
            <w:hideMark/>
          </w:tcPr>
          <w:p w14:paraId="4D63DE47" w14:textId="43A1A8A1" w:rsidR="006E3725" w:rsidRPr="00E7526A" w:rsidRDefault="006E3725" w:rsidP="00E7526A">
            <w:pPr>
              <w:jc w:val="center"/>
              <w:rPr>
                <w:sz w:val="22"/>
                <w:szCs w:val="22"/>
              </w:rPr>
            </w:pPr>
            <w:r w:rsidRPr="00E7526A">
              <w:rPr>
                <w:sz w:val="22"/>
                <w:szCs w:val="22"/>
              </w:rPr>
              <w:t>1</w:t>
            </w:r>
          </w:p>
        </w:tc>
        <w:tc>
          <w:tcPr>
            <w:tcW w:w="5138" w:type="dxa"/>
            <w:hideMark/>
          </w:tcPr>
          <w:p w14:paraId="0B53316C" w14:textId="31CBD9DA" w:rsidR="006E3725" w:rsidRPr="001274D9" w:rsidRDefault="006E3725" w:rsidP="00430585">
            <w:pPr>
              <w:pStyle w:val="ListParagraph"/>
              <w:numPr>
                <w:ilvl w:val="0"/>
                <w:numId w:val="11"/>
              </w:numPr>
              <w:ind w:left="360"/>
              <w:rPr>
                <w:sz w:val="22"/>
                <w:szCs w:val="22"/>
              </w:rPr>
            </w:pPr>
            <w:r w:rsidRPr="001274D9">
              <w:rPr>
                <w:sz w:val="22"/>
                <w:szCs w:val="22"/>
              </w:rPr>
              <w:t>No additional punishment, the Guidelines punishment is sufficient</w:t>
            </w:r>
          </w:p>
        </w:tc>
        <w:tc>
          <w:tcPr>
            <w:tcW w:w="5834" w:type="dxa"/>
            <w:hideMark/>
          </w:tcPr>
          <w:p w14:paraId="119BB7BB" w14:textId="786222B0" w:rsidR="006E3725" w:rsidRPr="001274D9" w:rsidRDefault="006E3725" w:rsidP="00430585">
            <w:pPr>
              <w:pStyle w:val="ListParagraph"/>
              <w:numPr>
                <w:ilvl w:val="0"/>
                <w:numId w:val="11"/>
              </w:numPr>
              <w:ind w:left="360"/>
              <w:rPr>
                <w:sz w:val="22"/>
                <w:szCs w:val="22"/>
              </w:rPr>
            </w:pPr>
            <w:r w:rsidRPr="001274D9">
              <w:rPr>
                <w:sz w:val="22"/>
                <w:szCs w:val="22"/>
              </w:rPr>
              <w:t>+6 months, no change to disposition</w:t>
            </w:r>
          </w:p>
        </w:tc>
        <w:tc>
          <w:tcPr>
            <w:tcW w:w="1678" w:type="dxa"/>
            <w:hideMark/>
          </w:tcPr>
          <w:p w14:paraId="1DE43CF4" w14:textId="13F0B34D" w:rsidR="006E3725" w:rsidRPr="001274D9" w:rsidRDefault="006E3725" w:rsidP="00430585">
            <w:pPr>
              <w:pStyle w:val="ListParagraph"/>
              <w:numPr>
                <w:ilvl w:val="0"/>
                <w:numId w:val="11"/>
              </w:numPr>
              <w:ind w:left="360"/>
              <w:rPr>
                <w:sz w:val="22"/>
                <w:szCs w:val="22"/>
              </w:rPr>
            </w:pPr>
          </w:p>
        </w:tc>
      </w:tr>
      <w:tr w:rsidR="006E3725" w:rsidRPr="00E7526A" w14:paraId="377C081C" w14:textId="77777777" w:rsidTr="001274D9">
        <w:trPr>
          <w:trHeight w:val="286"/>
        </w:trPr>
        <w:tc>
          <w:tcPr>
            <w:tcW w:w="813" w:type="dxa"/>
            <w:hideMark/>
          </w:tcPr>
          <w:p w14:paraId="0B655FDB" w14:textId="3088FF0E" w:rsidR="006E3725" w:rsidRPr="00E7526A" w:rsidRDefault="006E3725" w:rsidP="00E7526A">
            <w:pPr>
              <w:jc w:val="center"/>
              <w:rPr>
                <w:sz w:val="22"/>
                <w:szCs w:val="22"/>
              </w:rPr>
            </w:pPr>
            <w:r w:rsidRPr="00E7526A">
              <w:rPr>
                <w:sz w:val="22"/>
                <w:szCs w:val="22"/>
              </w:rPr>
              <w:t>2</w:t>
            </w:r>
          </w:p>
        </w:tc>
        <w:tc>
          <w:tcPr>
            <w:tcW w:w="5138" w:type="dxa"/>
            <w:hideMark/>
          </w:tcPr>
          <w:p w14:paraId="4B1B00C4" w14:textId="38AF5E70" w:rsidR="006E3725" w:rsidRPr="001274D9" w:rsidRDefault="006E3725" w:rsidP="00430585">
            <w:pPr>
              <w:pStyle w:val="ListParagraph"/>
              <w:numPr>
                <w:ilvl w:val="0"/>
                <w:numId w:val="11"/>
              </w:numPr>
              <w:ind w:left="360"/>
              <w:rPr>
                <w:sz w:val="22"/>
                <w:szCs w:val="22"/>
              </w:rPr>
            </w:pPr>
            <w:r w:rsidRPr="001274D9">
              <w:rPr>
                <w:sz w:val="22"/>
                <w:szCs w:val="22"/>
              </w:rPr>
              <w:t>No additional punishment, the Guidelines punishment is sufficient</w:t>
            </w:r>
          </w:p>
        </w:tc>
        <w:tc>
          <w:tcPr>
            <w:tcW w:w="5834" w:type="dxa"/>
            <w:hideMark/>
          </w:tcPr>
          <w:p w14:paraId="65F93F7C" w14:textId="6CA6502D" w:rsidR="006E3725" w:rsidRPr="001274D9" w:rsidRDefault="006E3725" w:rsidP="00430585">
            <w:pPr>
              <w:pStyle w:val="ListParagraph"/>
              <w:numPr>
                <w:ilvl w:val="0"/>
                <w:numId w:val="11"/>
              </w:numPr>
              <w:ind w:left="360"/>
              <w:rPr>
                <w:sz w:val="22"/>
                <w:szCs w:val="22"/>
              </w:rPr>
            </w:pPr>
            <w:r w:rsidRPr="001274D9">
              <w:rPr>
                <w:sz w:val="22"/>
                <w:szCs w:val="22"/>
              </w:rPr>
              <w:t>+12 months duration, no change to disposition</w:t>
            </w:r>
          </w:p>
        </w:tc>
        <w:tc>
          <w:tcPr>
            <w:tcW w:w="1678" w:type="dxa"/>
            <w:hideMark/>
          </w:tcPr>
          <w:p w14:paraId="2605618C" w14:textId="141B39F6" w:rsidR="006E3725" w:rsidRPr="001274D9" w:rsidRDefault="006E3725" w:rsidP="00430585">
            <w:pPr>
              <w:pStyle w:val="ListParagraph"/>
              <w:numPr>
                <w:ilvl w:val="0"/>
                <w:numId w:val="11"/>
              </w:numPr>
              <w:ind w:left="360"/>
              <w:rPr>
                <w:sz w:val="22"/>
                <w:szCs w:val="22"/>
              </w:rPr>
            </w:pPr>
          </w:p>
        </w:tc>
      </w:tr>
      <w:tr w:rsidR="006E3725" w:rsidRPr="00E7526A" w14:paraId="1FC057B3" w14:textId="77777777" w:rsidTr="001274D9">
        <w:trPr>
          <w:trHeight w:val="286"/>
        </w:trPr>
        <w:tc>
          <w:tcPr>
            <w:tcW w:w="813" w:type="dxa"/>
            <w:hideMark/>
          </w:tcPr>
          <w:p w14:paraId="2C4FE241" w14:textId="410911A2" w:rsidR="006E3725" w:rsidRPr="00E7526A" w:rsidRDefault="006E3725" w:rsidP="00E7526A">
            <w:pPr>
              <w:jc w:val="center"/>
              <w:rPr>
                <w:sz w:val="22"/>
                <w:szCs w:val="22"/>
              </w:rPr>
            </w:pPr>
            <w:r w:rsidRPr="00E7526A">
              <w:rPr>
                <w:sz w:val="22"/>
                <w:szCs w:val="22"/>
              </w:rPr>
              <w:t>3</w:t>
            </w:r>
          </w:p>
        </w:tc>
        <w:tc>
          <w:tcPr>
            <w:tcW w:w="5138" w:type="dxa"/>
            <w:hideMark/>
          </w:tcPr>
          <w:p w14:paraId="0FA7A76A" w14:textId="275F8AD9" w:rsidR="006E3725" w:rsidRPr="001274D9" w:rsidRDefault="006E3725" w:rsidP="00430585">
            <w:pPr>
              <w:pStyle w:val="ListParagraph"/>
              <w:numPr>
                <w:ilvl w:val="0"/>
                <w:numId w:val="11"/>
              </w:numPr>
              <w:ind w:left="360"/>
              <w:rPr>
                <w:sz w:val="22"/>
                <w:szCs w:val="22"/>
              </w:rPr>
            </w:pPr>
            <w:r w:rsidRPr="001274D9">
              <w:rPr>
                <w:sz w:val="22"/>
                <w:szCs w:val="22"/>
              </w:rPr>
              <w:t>+12 months duration, no change to disposition</w:t>
            </w:r>
          </w:p>
        </w:tc>
        <w:tc>
          <w:tcPr>
            <w:tcW w:w="5834" w:type="dxa"/>
            <w:hideMark/>
          </w:tcPr>
          <w:p w14:paraId="2DCE5225" w14:textId="16EC1C8C" w:rsidR="006E3725" w:rsidRPr="001274D9" w:rsidRDefault="006E3725" w:rsidP="00430585">
            <w:pPr>
              <w:pStyle w:val="ListParagraph"/>
              <w:numPr>
                <w:ilvl w:val="0"/>
                <w:numId w:val="11"/>
              </w:numPr>
              <w:ind w:left="360"/>
              <w:rPr>
                <w:sz w:val="22"/>
                <w:szCs w:val="22"/>
              </w:rPr>
            </w:pPr>
            <w:r w:rsidRPr="001274D9">
              <w:rPr>
                <w:sz w:val="22"/>
                <w:szCs w:val="22"/>
              </w:rPr>
              <w:t>+12 months duration, generally waivable mandatory prison disposition</w:t>
            </w:r>
          </w:p>
        </w:tc>
        <w:tc>
          <w:tcPr>
            <w:tcW w:w="1678" w:type="dxa"/>
            <w:hideMark/>
          </w:tcPr>
          <w:p w14:paraId="5F32179A" w14:textId="738B538D" w:rsidR="006E3725" w:rsidRPr="001274D9" w:rsidRDefault="006E3725" w:rsidP="00430585">
            <w:pPr>
              <w:pStyle w:val="ListParagraph"/>
              <w:numPr>
                <w:ilvl w:val="0"/>
                <w:numId w:val="11"/>
              </w:numPr>
              <w:ind w:left="360"/>
              <w:rPr>
                <w:sz w:val="22"/>
                <w:szCs w:val="22"/>
              </w:rPr>
            </w:pPr>
          </w:p>
        </w:tc>
      </w:tr>
      <w:tr w:rsidR="006E3725" w:rsidRPr="00E7526A" w14:paraId="40EEF578" w14:textId="77777777" w:rsidTr="001274D9">
        <w:trPr>
          <w:trHeight w:val="286"/>
        </w:trPr>
        <w:tc>
          <w:tcPr>
            <w:tcW w:w="813" w:type="dxa"/>
            <w:hideMark/>
          </w:tcPr>
          <w:p w14:paraId="30F11EF5" w14:textId="12AD9AA6" w:rsidR="006E3725" w:rsidRPr="00E7526A" w:rsidRDefault="006E3725" w:rsidP="00E7526A">
            <w:pPr>
              <w:jc w:val="center"/>
              <w:rPr>
                <w:sz w:val="22"/>
                <w:szCs w:val="22"/>
              </w:rPr>
            </w:pPr>
            <w:r w:rsidRPr="00E7526A">
              <w:rPr>
                <w:sz w:val="22"/>
                <w:szCs w:val="22"/>
              </w:rPr>
              <w:t>4</w:t>
            </w:r>
          </w:p>
        </w:tc>
        <w:tc>
          <w:tcPr>
            <w:tcW w:w="5138" w:type="dxa"/>
            <w:hideMark/>
          </w:tcPr>
          <w:p w14:paraId="2D3D67EF" w14:textId="4760483B" w:rsidR="006E3725" w:rsidRPr="001274D9" w:rsidRDefault="006E3725" w:rsidP="00430585">
            <w:pPr>
              <w:pStyle w:val="ListParagraph"/>
              <w:numPr>
                <w:ilvl w:val="0"/>
                <w:numId w:val="11"/>
              </w:numPr>
              <w:ind w:left="360"/>
              <w:rPr>
                <w:sz w:val="22"/>
                <w:szCs w:val="22"/>
              </w:rPr>
            </w:pPr>
            <w:r w:rsidRPr="001274D9">
              <w:rPr>
                <w:sz w:val="22"/>
                <w:szCs w:val="22"/>
              </w:rPr>
              <w:t>+24 months duration, no change to disposition</w:t>
            </w:r>
          </w:p>
        </w:tc>
        <w:tc>
          <w:tcPr>
            <w:tcW w:w="5834" w:type="dxa"/>
            <w:hideMark/>
          </w:tcPr>
          <w:p w14:paraId="27C907E1" w14:textId="4FB3CB34" w:rsidR="006E3725" w:rsidRPr="001274D9" w:rsidRDefault="006E3725" w:rsidP="00430585">
            <w:pPr>
              <w:pStyle w:val="ListParagraph"/>
              <w:numPr>
                <w:ilvl w:val="0"/>
                <w:numId w:val="11"/>
              </w:numPr>
              <w:ind w:left="360"/>
              <w:rPr>
                <w:sz w:val="22"/>
                <w:szCs w:val="22"/>
              </w:rPr>
            </w:pPr>
            <w:r w:rsidRPr="001274D9">
              <w:rPr>
                <w:sz w:val="22"/>
                <w:szCs w:val="22"/>
              </w:rPr>
              <w:t>+24 months duration, generally waivable mandatory prison disposition</w:t>
            </w:r>
          </w:p>
        </w:tc>
        <w:tc>
          <w:tcPr>
            <w:tcW w:w="1678" w:type="dxa"/>
            <w:hideMark/>
          </w:tcPr>
          <w:p w14:paraId="66400439" w14:textId="43114979" w:rsidR="006E3725" w:rsidRPr="001274D9" w:rsidRDefault="006E3725" w:rsidP="00430585">
            <w:pPr>
              <w:pStyle w:val="ListParagraph"/>
              <w:numPr>
                <w:ilvl w:val="0"/>
                <w:numId w:val="11"/>
              </w:numPr>
              <w:ind w:left="360"/>
              <w:rPr>
                <w:sz w:val="22"/>
                <w:szCs w:val="22"/>
              </w:rPr>
            </w:pPr>
          </w:p>
        </w:tc>
      </w:tr>
      <w:tr w:rsidR="006E3725" w:rsidRPr="00E7526A" w14:paraId="46DA2080" w14:textId="77777777" w:rsidTr="001274D9">
        <w:trPr>
          <w:trHeight w:val="286"/>
        </w:trPr>
        <w:tc>
          <w:tcPr>
            <w:tcW w:w="813" w:type="dxa"/>
            <w:hideMark/>
          </w:tcPr>
          <w:p w14:paraId="2A4BD29D" w14:textId="6C6E0131" w:rsidR="006E3725" w:rsidRPr="00E7526A" w:rsidRDefault="006E3725" w:rsidP="00E7526A">
            <w:pPr>
              <w:jc w:val="center"/>
              <w:rPr>
                <w:sz w:val="22"/>
                <w:szCs w:val="22"/>
              </w:rPr>
            </w:pPr>
            <w:r w:rsidRPr="00E7526A">
              <w:rPr>
                <w:sz w:val="22"/>
                <w:szCs w:val="22"/>
              </w:rPr>
              <w:t>5</w:t>
            </w:r>
          </w:p>
        </w:tc>
        <w:tc>
          <w:tcPr>
            <w:tcW w:w="5138" w:type="dxa"/>
            <w:hideMark/>
          </w:tcPr>
          <w:p w14:paraId="39DB9898" w14:textId="77777777" w:rsidR="006E3725" w:rsidRPr="001274D9" w:rsidRDefault="006E3725" w:rsidP="00430585">
            <w:pPr>
              <w:pStyle w:val="ListParagraph"/>
              <w:numPr>
                <w:ilvl w:val="0"/>
                <w:numId w:val="11"/>
              </w:numPr>
              <w:ind w:left="360"/>
              <w:rPr>
                <w:sz w:val="22"/>
                <w:szCs w:val="22"/>
              </w:rPr>
            </w:pPr>
            <w:r w:rsidRPr="001274D9">
              <w:rPr>
                <w:sz w:val="22"/>
                <w:szCs w:val="22"/>
              </w:rPr>
              <w:t>Same as Tier 3 or 4</w:t>
            </w:r>
          </w:p>
        </w:tc>
        <w:tc>
          <w:tcPr>
            <w:tcW w:w="5834" w:type="dxa"/>
            <w:hideMark/>
          </w:tcPr>
          <w:p w14:paraId="3879C49A" w14:textId="4B0F15D6" w:rsidR="006E3725" w:rsidRPr="001274D9" w:rsidRDefault="006E3725" w:rsidP="00430585">
            <w:pPr>
              <w:pStyle w:val="ListParagraph"/>
              <w:numPr>
                <w:ilvl w:val="0"/>
                <w:numId w:val="11"/>
              </w:numPr>
              <w:ind w:left="360"/>
              <w:rPr>
                <w:sz w:val="22"/>
                <w:szCs w:val="22"/>
              </w:rPr>
            </w:pPr>
            <w:r w:rsidRPr="001274D9">
              <w:rPr>
                <w:sz w:val="22"/>
                <w:szCs w:val="22"/>
              </w:rPr>
              <w:t>Same as Tier 3 or 4, but the mandatory prison is not waivable</w:t>
            </w:r>
          </w:p>
        </w:tc>
        <w:tc>
          <w:tcPr>
            <w:tcW w:w="1678" w:type="dxa"/>
            <w:hideMark/>
          </w:tcPr>
          <w:p w14:paraId="3278296E" w14:textId="093C8D8A" w:rsidR="006E3725" w:rsidRPr="001274D9" w:rsidRDefault="006E3725" w:rsidP="00430585">
            <w:pPr>
              <w:pStyle w:val="ListParagraph"/>
              <w:numPr>
                <w:ilvl w:val="0"/>
                <w:numId w:val="11"/>
              </w:numPr>
              <w:ind w:left="360"/>
              <w:rPr>
                <w:sz w:val="22"/>
                <w:szCs w:val="22"/>
              </w:rPr>
            </w:pPr>
          </w:p>
        </w:tc>
      </w:tr>
    </w:tbl>
    <w:commentRangeEnd w:id="1"/>
    <w:p w14:paraId="0F06DAED" w14:textId="77777777" w:rsidR="006E3725" w:rsidRPr="00965962" w:rsidRDefault="009C688E" w:rsidP="00965962">
      <w:pPr>
        <w:spacing w:after="0" w:line="240" w:lineRule="auto"/>
      </w:pPr>
      <w:r w:rsidRPr="00965962">
        <w:rPr>
          <w:rStyle w:val="CommentReference"/>
          <w:sz w:val="24"/>
          <w:szCs w:val="24"/>
        </w:rPr>
        <w:commentReference w:id="1"/>
      </w:r>
    </w:p>
    <w:p w14:paraId="1F570851" w14:textId="5C5EF631" w:rsidR="00965962" w:rsidRPr="00C32160" w:rsidRDefault="00400ECA" w:rsidP="00430585">
      <w:pPr>
        <w:pStyle w:val="ListParagraph"/>
        <w:numPr>
          <w:ilvl w:val="0"/>
          <w:numId w:val="2"/>
        </w:numPr>
        <w:spacing w:after="0" w:line="240" w:lineRule="auto"/>
        <w:ind w:left="360"/>
        <w:rPr>
          <w:b/>
          <w:bCs/>
        </w:rPr>
      </w:pPr>
      <w:r w:rsidRPr="00C32160">
        <w:rPr>
          <w:b/>
          <w:bCs/>
        </w:rPr>
        <w:t>Decision Point</w:t>
      </w:r>
      <w:r w:rsidR="00965962" w:rsidRPr="00C32160">
        <w:rPr>
          <w:b/>
          <w:bCs/>
        </w:rPr>
        <w:t xml:space="preserve"> 1–6: Should we structure the penalties to avoid </w:t>
      </w:r>
      <w:r w:rsidRPr="00C32160">
        <w:rPr>
          <w:b/>
          <w:bCs/>
        </w:rPr>
        <w:t>double-counting</w:t>
      </w:r>
      <w:r w:rsidR="00965962" w:rsidRPr="00C32160">
        <w:rPr>
          <w:b/>
          <w:bCs/>
        </w:rPr>
        <w:t xml:space="preserve"> the same punishment factor? </w:t>
      </w:r>
      <w:r w:rsidR="00965962" w:rsidRPr="00762748">
        <w:t>(E.g., an added penalty for disqualified use or possession of a firearm, due to a prior crime of violence, while committing a designated crime does not apply if the designated crime is possession of a firearm or ammunition after a crime of violence)</w:t>
      </w:r>
    </w:p>
    <w:p w14:paraId="68E6D993" w14:textId="4AA67B29" w:rsidR="00965962" w:rsidRPr="00965962" w:rsidRDefault="00965962" w:rsidP="00430585">
      <w:pPr>
        <w:pStyle w:val="ListParagraph"/>
        <w:numPr>
          <w:ilvl w:val="1"/>
          <w:numId w:val="19"/>
        </w:numPr>
        <w:spacing w:after="0" w:line="240" w:lineRule="auto"/>
      </w:pPr>
      <w:r w:rsidRPr="00965962">
        <w:t xml:space="preserve">Yes, </w:t>
      </w:r>
      <w:r w:rsidR="004F625F">
        <w:t>double counting</w:t>
      </w:r>
      <w:r w:rsidRPr="00965962">
        <w:t xml:space="preserve"> is unfair</w:t>
      </w:r>
    </w:p>
    <w:p w14:paraId="17BC4E63" w14:textId="71223906" w:rsidR="001274D9" w:rsidRPr="00C32160" w:rsidRDefault="00965962" w:rsidP="00430585">
      <w:pPr>
        <w:pStyle w:val="ListParagraph"/>
        <w:numPr>
          <w:ilvl w:val="1"/>
          <w:numId w:val="19"/>
        </w:numPr>
        <w:spacing w:after="0" w:line="240" w:lineRule="auto"/>
      </w:pPr>
      <w:r w:rsidRPr="00965962">
        <w:t>No</w:t>
      </w:r>
    </w:p>
    <w:p w14:paraId="68D79633" w14:textId="77777777" w:rsidR="001274D9" w:rsidRDefault="001274D9" w:rsidP="001274D9">
      <w:pPr>
        <w:pStyle w:val="ListParagraph"/>
        <w:spacing w:after="0" w:line="240" w:lineRule="auto"/>
        <w:ind w:left="360"/>
        <w:rPr>
          <w:b/>
          <w:bCs/>
        </w:rPr>
      </w:pPr>
    </w:p>
    <w:p w14:paraId="59353C52" w14:textId="7A0E7570" w:rsidR="00965962" w:rsidRPr="00C32160" w:rsidRDefault="00400ECA" w:rsidP="00430585">
      <w:pPr>
        <w:pStyle w:val="ListParagraph"/>
        <w:numPr>
          <w:ilvl w:val="0"/>
          <w:numId w:val="2"/>
        </w:numPr>
        <w:spacing w:after="0" w:line="240" w:lineRule="auto"/>
        <w:ind w:left="360"/>
        <w:rPr>
          <w:b/>
          <w:bCs/>
        </w:rPr>
      </w:pPr>
      <w:r w:rsidRPr="00C32160">
        <w:rPr>
          <w:b/>
          <w:bCs/>
        </w:rPr>
        <w:t>Decision Point</w:t>
      </w:r>
      <w:r w:rsidR="00965962" w:rsidRPr="00C32160">
        <w:rPr>
          <w:b/>
          <w:bCs/>
        </w:rPr>
        <w:t xml:space="preserve"> 1–7: Should post-crime firearm use or discharge factor into the punishment?</w:t>
      </w:r>
    </w:p>
    <w:p w14:paraId="6A57F65F" w14:textId="4FE25608" w:rsidR="00965962" w:rsidRPr="00965962" w:rsidRDefault="00965962" w:rsidP="00430585">
      <w:pPr>
        <w:pStyle w:val="ListParagraph"/>
        <w:numPr>
          <w:ilvl w:val="0"/>
          <w:numId w:val="9"/>
        </w:numPr>
        <w:spacing w:after="0" w:line="240" w:lineRule="auto"/>
      </w:pPr>
      <w:r w:rsidRPr="00965962">
        <w:t>Yes, firearm use or discharge while immediately fleeing from the crime should be punished the same as use or discharge while committing the crime</w:t>
      </w:r>
    </w:p>
    <w:p w14:paraId="4B937985" w14:textId="63EADB34" w:rsidR="00965962" w:rsidRPr="00965962" w:rsidRDefault="00965962" w:rsidP="00430585">
      <w:pPr>
        <w:pStyle w:val="ListParagraph"/>
        <w:numPr>
          <w:ilvl w:val="0"/>
          <w:numId w:val="9"/>
        </w:numPr>
        <w:spacing w:after="0" w:line="240" w:lineRule="auto"/>
      </w:pPr>
      <w:r w:rsidRPr="00965962">
        <w:lastRenderedPageBreak/>
        <w:t>No, the penalty framework should only look at firearm use or discharge while the crime is going on</w:t>
      </w:r>
    </w:p>
    <w:p w14:paraId="73A9C971" w14:textId="79788EAF" w:rsidR="00965962" w:rsidRPr="00965962" w:rsidRDefault="00400ECA" w:rsidP="00430585">
      <w:pPr>
        <w:pStyle w:val="ListParagraph"/>
        <w:numPr>
          <w:ilvl w:val="0"/>
          <w:numId w:val="9"/>
        </w:numPr>
        <w:spacing w:after="0" w:line="240" w:lineRule="auto"/>
      </w:pPr>
      <w:r>
        <w:t xml:space="preserve">Other: </w:t>
      </w:r>
    </w:p>
    <w:p w14:paraId="3A71FAEE" w14:textId="77777777" w:rsidR="00C32160" w:rsidRDefault="00C32160" w:rsidP="00C32160">
      <w:pPr>
        <w:spacing w:after="0" w:line="240" w:lineRule="auto"/>
        <w:rPr>
          <w:b/>
          <w:bCs/>
        </w:rPr>
      </w:pPr>
    </w:p>
    <w:p w14:paraId="53A1E3FE" w14:textId="34CE870E" w:rsidR="00965962" w:rsidRPr="00C32160" w:rsidRDefault="00400ECA" w:rsidP="00430585">
      <w:pPr>
        <w:pStyle w:val="ListParagraph"/>
        <w:numPr>
          <w:ilvl w:val="0"/>
          <w:numId w:val="2"/>
        </w:numPr>
        <w:spacing w:after="0" w:line="240" w:lineRule="auto"/>
        <w:ind w:left="360"/>
        <w:rPr>
          <w:b/>
          <w:bCs/>
        </w:rPr>
      </w:pPr>
      <w:r w:rsidRPr="00C32160">
        <w:rPr>
          <w:b/>
          <w:bCs/>
        </w:rPr>
        <w:t>Decision Point</w:t>
      </w:r>
      <w:r w:rsidR="00965962" w:rsidRPr="00C32160">
        <w:rPr>
          <w:b/>
          <w:bCs/>
        </w:rPr>
        <w:t xml:space="preserve"> 1–8: Should we trust the Sentencing Guidelines Commission to convert the increased statutory maximum penalty into a durational increase?</w:t>
      </w:r>
    </w:p>
    <w:p w14:paraId="1C89048A" w14:textId="2B725C53" w:rsidR="00E7526A" w:rsidRDefault="00E7526A" w:rsidP="00430585">
      <w:pPr>
        <w:pStyle w:val="ListParagraph"/>
        <w:numPr>
          <w:ilvl w:val="0"/>
          <w:numId w:val="8"/>
        </w:numPr>
        <w:spacing w:after="0" w:line="240" w:lineRule="auto"/>
      </w:pPr>
      <w:r w:rsidRPr="00965962">
        <w:t>Yes, the Commission will be able to fashion an appropriate durational increase.</w:t>
      </w:r>
    </w:p>
    <w:p w14:paraId="04B46F81" w14:textId="62E594C4" w:rsidR="00965962" w:rsidRPr="00965962" w:rsidRDefault="00965962" w:rsidP="00430585">
      <w:pPr>
        <w:pStyle w:val="ListParagraph"/>
        <w:numPr>
          <w:ilvl w:val="0"/>
          <w:numId w:val="8"/>
        </w:numPr>
        <w:spacing w:after="0" w:line="240" w:lineRule="auto"/>
      </w:pPr>
      <w:r w:rsidRPr="00965962">
        <w:t>No, the Legislature should clearly direct the Commission on the minimum acceptable durational increase.</w:t>
      </w:r>
    </w:p>
    <w:p w14:paraId="145D0EFF" w14:textId="77777777" w:rsidR="00C32160" w:rsidRDefault="00C32160" w:rsidP="00965962">
      <w:pPr>
        <w:spacing w:after="0" w:line="240" w:lineRule="auto"/>
        <w:rPr>
          <w:rStyle w:val="IntenseReference"/>
          <w:sz w:val="28"/>
          <w:szCs w:val="28"/>
        </w:rPr>
      </w:pPr>
    </w:p>
    <w:p w14:paraId="06784A9A" w14:textId="64B981BA" w:rsidR="00CE3058" w:rsidRDefault="00C32160" w:rsidP="00965962">
      <w:pPr>
        <w:spacing w:after="0" w:line="240" w:lineRule="auto"/>
        <w:rPr>
          <w:rStyle w:val="IntenseReference"/>
          <w:sz w:val="28"/>
          <w:szCs w:val="28"/>
        </w:rPr>
      </w:pPr>
      <w:r>
        <w:rPr>
          <w:rStyle w:val="IntenseReference"/>
          <w:sz w:val="28"/>
          <w:szCs w:val="28"/>
        </w:rPr>
        <w:t xml:space="preserve">Background: </w:t>
      </w:r>
      <w:r w:rsidR="00CE3058" w:rsidRPr="00CE3058">
        <w:rPr>
          <w:rStyle w:val="IntenseReference"/>
          <w:sz w:val="28"/>
          <w:szCs w:val="28"/>
        </w:rPr>
        <w:t>Minnesota's controlled-substances chapter</w:t>
      </w:r>
      <w:r w:rsidR="00CE3058">
        <w:rPr>
          <w:rStyle w:val="IntenseReference"/>
          <w:sz w:val="28"/>
          <w:szCs w:val="28"/>
        </w:rPr>
        <w:t xml:space="preserve"> 152</w:t>
      </w:r>
      <w:r w:rsidR="00CE3058" w:rsidRPr="00CE3058">
        <w:rPr>
          <w:rStyle w:val="IntenseReference"/>
          <w:sz w:val="28"/>
          <w:szCs w:val="28"/>
        </w:rPr>
        <w:t xml:space="preserve"> defines drug offenses, establishes penalties, and includes mandatory minimum sentences for certain drug crimes.</w:t>
      </w:r>
    </w:p>
    <w:p w14:paraId="764BF384" w14:textId="75D4584C" w:rsidR="00965962" w:rsidRPr="00400ECA"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1–9: Should the designated crime list (now in § 609.11, subd. 9) exclude nonviolent drug offenses?</w:t>
      </w:r>
    </w:p>
    <w:tbl>
      <w:tblPr>
        <w:tblStyle w:val="TableGrid"/>
        <w:tblW w:w="0" w:type="auto"/>
        <w:tblLook w:val="04A0" w:firstRow="1" w:lastRow="0" w:firstColumn="1" w:lastColumn="0" w:noHBand="0" w:noVBand="1"/>
      </w:tblPr>
      <w:tblGrid>
        <w:gridCol w:w="902"/>
        <w:gridCol w:w="12048"/>
      </w:tblGrid>
      <w:tr w:rsidR="00400ECA" w:rsidRPr="00E7526A" w14:paraId="4710F3DB" w14:textId="77777777" w:rsidTr="00E7526A">
        <w:tc>
          <w:tcPr>
            <w:tcW w:w="0" w:type="auto"/>
            <w:shd w:val="clear" w:color="auto" w:fill="000000" w:themeFill="text1"/>
            <w:hideMark/>
          </w:tcPr>
          <w:p w14:paraId="2D590806" w14:textId="77777777" w:rsidR="00400ECA" w:rsidRPr="00E7526A" w:rsidRDefault="00400ECA" w:rsidP="00400ECA">
            <w:pPr>
              <w:rPr>
                <w:b/>
                <w:bCs/>
                <w:sz w:val="22"/>
                <w:szCs w:val="22"/>
              </w:rPr>
            </w:pPr>
            <w:r w:rsidRPr="00E7526A">
              <w:rPr>
                <w:b/>
                <w:bCs/>
                <w:sz w:val="22"/>
                <w:szCs w:val="22"/>
              </w:rPr>
              <w:t>Option</w:t>
            </w:r>
          </w:p>
        </w:tc>
        <w:tc>
          <w:tcPr>
            <w:tcW w:w="0" w:type="auto"/>
            <w:shd w:val="clear" w:color="auto" w:fill="000000" w:themeFill="text1"/>
            <w:hideMark/>
          </w:tcPr>
          <w:p w14:paraId="4B95A613" w14:textId="77777777" w:rsidR="00400ECA" w:rsidRPr="00E7526A" w:rsidRDefault="00400ECA" w:rsidP="00400ECA">
            <w:pPr>
              <w:rPr>
                <w:b/>
                <w:bCs/>
                <w:sz w:val="22"/>
                <w:szCs w:val="22"/>
              </w:rPr>
            </w:pPr>
            <w:r w:rsidRPr="00E7526A">
              <w:rPr>
                <w:b/>
                <w:bCs/>
                <w:sz w:val="22"/>
                <w:szCs w:val="22"/>
              </w:rPr>
              <w:t>Description</w:t>
            </w:r>
          </w:p>
        </w:tc>
      </w:tr>
      <w:tr w:rsidR="00400ECA" w:rsidRPr="00E7526A" w14:paraId="0927B071" w14:textId="77777777" w:rsidTr="00400ECA">
        <w:tc>
          <w:tcPr>
            <w:tcW w:w="0" w:type="auto"/>
            <w:hideMark/>
          </w:tcPr>
          <w:p w14:paraId="4F348838"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2D5AA2E3" w14:textId="77777777" w:rsidR="00400ECA" w:rsidRPr="00E7526A" w:rsidRDefault="00400ECA" w:rsidP="00400ECA">
            <w:pPr>
              <w:rPr>
                <w:sz w:val="22"/>
                <w:szCs w:val="22"/>
              </w:rPr>
            </w:pPr>
            <w:r w:rsidRPr="00E7526A">
              <w:rPr>
                <w:sz w:val="22"/>
                <w:szCs w:val="22"/>
              </w:rPr>
              <w:t>Exclude all Chapter 152 offenses.</w:t>
            </w:r>
          </w:p>
        </w:tc>
      </w:tr>
      <w:tr w:rsidR="00400ECA" w:rsidRPr="00E7526A" w14:paraId="41EDDFD5" w14:textId="77777777" w:rsidTr="00400ECA">
        <w:tc>
          <w:tcPr>
            <w:tcW w:w="0" w:type="auto"/>
            <w:hideMark/>
          </w:tcPr>
          <w:p w14:paraId="52A88796"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26666999" w14:textId="77777777" w:rsidR="00400ECA" w:rsidRPr="00E7526A" w:rsidRDefault="00400ECA" w:rsidP="00400ECA">
            <w:pPr>
              <w:rPr>
                <w:sz w:val="22"/>
                <w:szCs w:val="22"/>
              </w:rPr>
            </w:pPr>
            <w:r w:rsidRPr="00E7526A">
              <w:rPr>
                <w:sz w:val="22"/>
                <w:szCs w:val="22"/>
              </w:rPr>
              <w:t>Include only firearm-related drug offenses.</w:t>
            </w:r>
          </w:p>
        </w:tc>
      </w:tr>
      <w:tr w:rsidR="00400ECA" w:rsidRPr="00E7526A" w14:paraId="437697A5" w14:textId="77777777" w:rsidTr="00400ECA">
        <w:tc>
          <w:tcPr>
            <w:tcW w:w="0" w:type="auto"/>
            <w:hideMark/>
          </w:tcPr>
          <w:p w14:paraId="5DB0D2A2"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638D6C0A" w14:textId="77777777" w:rsidR="00400ECA" w:rsidRPr="00E7526A" w:rsidRDefault="00400ECA" w:rsidP="00400ECA">
            <w:pPr>
              <w:rPr>
                <w:sz w:val="22"/>
                <w:szCs w:val="22"/>
              </w:rPr>
            </w:pPr>
            <w:r w:rsidRPr="00E7526A">
              <w:rPr>
                <w:sz w:val="22"/>
                <w:szCs w:val="22"/>
              </w:rPr>
              <w:t>Include only 1st- and 2nd-degree drug crimes, felony drug sales, importation, and possession of substances with intent to manufacture methamphetamine (loosely based on § 152.18).</w:t>
            </w:r>
          </w:p>
        </w:tc>
      </w:tr>
      <w:tr w:rsidR="00400ECA" w:rsidRPr="00E7526A" w14:paraId="0AA4C4D9" w14:textId="77777777" w:rsidTr="00400ECA">
        <w:tc>
          <w:tcPr>
            <w:tcW w:w="0" w:type="auto"/>
            <w:hideMark/>
          </w:tcPr>
          <w:p w14:paraId="37A470E1"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3A8B3CB5" w14:textId="77777777" w:rsidR="00400ECA" w:rsidRPr="00E7526A" w:rsidRDefault="00400ECA" w:rsidP="00400ECA">
            <w:pPr>
              <w:rPr>
                <w:sz w:val="22"/>
                <w:szCs w:val="22"/>
              </w:rPr>
            </w:pPr>
            <w:r w:rsidRPr="00E7526A">
              <w:rPr>
                <w:sz w:val="22"/>
                <w:szCs w:val="22"/>
              </w:rPr>
              <w:t>Include only drug offenses with a statutory maximum of 15+ years, plus exposing a child or vulnerable adult to methamphetamine or related chemicals and exposing a child to fentanyl (</w:t>
            </w:r>
            <w:proofErr w:type="gramStart"/>
            <w:r w:rsidRPr="00E7526A">
              <w:rPr>
                <w:sz w:val="22"/>
                <w:szCs w:val="22"/>
              </w:rPr>
              <w:t>similar to</w:t>
            </w:r>
            <w:proofErr w:type="gramEnd"/>
            <w:r w:rsidRPr="00E7526A">
              <w:rPr>
                <w:sz w:val="22"/>
                <w:szCs w:val="22"/>
              </w:rPr>
              <w:t xml:space="preserve"> § 609.1095, subd. 1 “violent crime” list).</w:t>
            </w:r>
          </w:p>
        </w:tc>
      </w:tr>
      <w:tr w:rsidR="00400ECA" w:rsidRPr="00E7526A" w14:paraId="2110B59E" w14:textId="77777777" w:rsidTr="00400ECA">
        <w:tc>
          <w:tcPr>
            <w:tcW w:w="0" w:type="auto"/>
            <w:hideMark/>
          </w:tcPr>
          <w:p w14:paraId="6E206B2E"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6CBCC64F" w14:textId="77777777" w:rsidR="00400ECA" w:rsidRPr="00E7526A" w:rsidRDefault="00400ECA" w:rsidP="00400ECA">
            <w:pPr>
              <w:rPr>
                <w:sz w:val="22"/>
                <w:szCs w:val="22"/>
              </w:rPr>
            </w:pPr>
            <w:r w:rsidRPr="00E7526A">
              <w:rPr>
                <w:sz w:val="22"/>
                <w:szCs w:val="22"/>
              </w:rPr>
              <w:t>Include only 1st- and 2nd-degree drug crimes; importation; possession of substances with intent to manufacture methamphetamine as a second or subsequent offense; exposing a child or vulnerable adult to methamphetamine or related chemicals; and exposing a child to fentanyl (</w:t>
            </w:r>
            <w:proofErr w:type="gramStart"/>
            <w:r w:rsidRPr="00E7526A">
              <w:rPr>
                <w:sz w:val="22"/>
                <w:szCs w:val="22"/>
              </w:rPr>
              <w:t>similar to</w:t>
            </w:r>
            <w:proofErr w:type="gramEnd"/>
            <w:r w:rsidRPr="00E7526A">
              <w:rPr>
                <w:sz w:val="22"/>
                <w:szCs w:val="22"/>
              </w:rPr>
              <w:t xml:space="preserve"> § 609.1095, subd. 3 “violent crime” list).</w:t>
            </w:r>
          </w:p>
        </w:tc>
      </w:tr>
      <w:tr w:rsidR="00400ECA" w:rsidRPr="00E7526A" w14:paraId="01310CA4" w14:textId="77777777" w:rsidTr="00400ECA">
        <w:tc>
          <w:tcPr>
            <w:tcW w:w="0" w:type="auto"/>
            <w:hideMark/>
          </w:tcPr>
          <w:p w14:paraId="19143E0D" w14:textId="77777777" w:rsidR="00400ECA" w:rsidRPr="001274D9" w:rsidRDefault="00400ECA" w:rsidP="00430585">
            <w:pPr>
              <w:pStyle w:val="ListParagraph"/>
              <w:numPr>
                <w:ilvl w:val="0"/>
                <w:numId w:val="7"/>
              </w:numPr>
              <w:rPr>
                <w:sz w:val="22"/>
                <w:szCs w:val="22"/>
              </w:rPr>
            </w:pPr>
            <w:r w:rsidRPr="001274D9">
              <w:rPr>
                <w:sz w:val="22"/>
                <w:szCs w:val="22"/>
              </w:rPr>
              <w:t>Yes</w:t>
            </w:r>
          </w:p>
        </w:tc>
        <w:tc>
          <w:tcPr>
            <w:tcW w:w="0" w:type="auto"/>
            <w:hideMark/>
          </w:tcPr>
          <w:p w14:paraId="389D2F6C" w14:textId="77777777" w:rsidR="00400ECA" w:rsidRPr="00E7526A" w:rsidRDefault="00400ECA" w:rsidP="00400ECA">
            <w:pPr>
              <w:rPr>
                <w:sz w:val="22"/>
                <w:szCs w:val="22"/>
              </w:rPr>
            </w:pPr>
            <w:r w:rsidRPr="00E7526A">
              <w:rPr>
                <w:sz w:val="22"/>
                <w:szCs w:val="22"/>
              </w:rPr>
              <w:t>Include only ____________________.</w:t>
            </w:r>
          </w:p>
        </w:tc>
      </w:tr>
      <w:tr w:rsidR="00E7526A" w:rsidRPr="00E7526A" w14:paraId="191097EC" w14:textId="77777777" w:rsidTr="00400ECA">
        <w:tc>
          <w:tcPr>
            <w:tcW w:w="0" w:type="auto"/>
          </w:tcPr>
          <w:p w14:paraId="5DF2F10E" w14:textId="686CE966" w:rsidR="00E7526A" w:rsidRPr="001274D9" w:rsidRDefault="00E7526A" w:rsidP="00430585">
            <w:pPr>
              <w:pStyle w:val="ListParagraph"/>
              <w:numPr>
                <w:ilvl w:val="0"/>
                <w:numId w:val="7"/>
              </w:numPr>
              <w:rPr>
                <w:sz w:val="22"/>
                <w:szCs w:val="22"/>
              </w:rPr>
            </w:pPr>
            <w:r w:rsidRPr="001274D9">
              <w:rPr>
                <w:sz w:val="22"/>
                <w:szCs w:val="22"/>
              </w:rPr>
              <w:t>No</w:t>
            </w:r>
          </w:p>
        </w:tc>
        <w:tc>
          <w:tcPr>
            <w:tcW w:w="0" w:type="auto"/>
          </w:tcPr>
          <w:p w14:paraId="4C1692F5" w14:textId="3542CABE" w:rsidR="00E7526A" w:rsidRPr="00E7526A" w:rsidRDefault="00E7526A" w:rsidP="00E7526A">
            <w:pPr>
              <w:rPr>
                <w:sz w:val="22"/>
                <w:szCs w:val="22"/>
              </w:rPr>
            </w:pPr>
            <w:r w:rsidRPr="00E7526A">
              <w:rPr>
                <w:sz w:val="22"/>
                <w:szCs w:val="22"/>
              </w:rPr>
              <w:t>No change is necessary.</w:t>
            </w:r>
          </w:p>
        </w:tc>
      </w:tr>
    </w:tbl>
    <w:p w14:paraId="5BF57ECE" w14:textId="77777777" w:rsidR="00965962" w:rsidRDefault="00965962" w:rsidP="00965962">
      <w:pPr>
        <w:spacing w:after="0" w:line="240" w:lineRule="auto"/>
      </w:pPr>
    </w:p>
    <w:p w14:paraId="5ACA16A6" w14:textId="38429995" w:rsidR="00965962" w:rsidRPr="00D26C51"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1–10: Should the defendant be permitted to petition for waiver of the mandatory minimum?</w:t>
      </w:r>
    </w:p>
    <w:p w14:paraId="6EEBCCC7" w14:textId="13494E71" w:rsidR="00E7526A" w:rsidRDefault="00E7526A" w:rsidP="00430585">
      <w:pPr>
        <w:pStyle w:val="ListParagraph"/>
        <w:numPr>
          <w:ilvl w:val="0"/>
          <w:numId w:val="10"/>
        </w:numPr>
        <w:spacing w:after="0" w:line="240" w:lineRule="auto"/>
      </w:pPr>
      <w:r w:rsidRPr="00965962">
        <w:t>Yes – either party should be able to petition.</w:t>
      </w:r>
    </w:p>
    <w:p w14:paraId="15D3B659" w14:textId="2A6CED36" w:rsidR="004F625F" w:rsidRDefault="00965962" w:rsidP="00430585">
      <w:pPr>
        <w:pStyle w:val="ListParagraph"/>
        <w:numPr>
          <w:ilvl w:val="0"/>
          <w:numId w:val="10"/>
        </w:numPr>
        <w:spacing w:after="0" w:line="240" w:lineRule="auto"/>
      </w:pPr>
      <w:r w:rsidRPr="00965962">
        <w:t>No – only let the prosecutor petition for waiver (current rule)</w:t>
      </w:r>
    </w:p>
    <w:p w14:paraId="1B6FC889" w14:textId="1AAE7FCD" w:rsidR="00965962" w:rsidRDefault="004F625F" w:rsidP="004F625F">
      <w:r>
        <w:br w:type="page"/>
      </w:r>
    </w:p>
    <w:p w14:paraId="1584918E" w14:textId="77777777" w:rsidR="004F625F" w:rsidRDefault="004F625F" w:rsidP="004F625F">
      <w:pPr>
        <w:pStyle w:val="IntenseQuote"/>
        <w:spacing w:line="240" w:lineRule="auto"/>
        <w:ind w:left="360" w:right="0"/>
      </w:pPr>
      <w:r>
        <w:lastRenderedPageBreak/>
        <w:t xml:space="preserve">Overarching </w:t>
      </w:r>
      <w:r w:rsidRPr="00965962">
        <w:t>Idea 2: Reform the crime of possessing a firearm or ammunition after a crime of violence</w:t>
      </w:r>
    </w:p>
    <w:p w14:paraId="55AD8326" w14:textId="73AB3AA1" w:rsidR="00400ECA" w:rsidRPr="009B5775" w:rsidRDefault="001274D9" w:rsidP="00400ECA">
      <w:pPr>
        <w:spacing w:after="0" w:line="240" w:lineRule="auto"/>
      </w:pPr>
      <w:r>
        <w:rPr>
          <w:rStyle w:val="IntenseReference"/>
          <w:sz w:val="28"/>
          <w:szCs w:val="28"/>
        </w:rPr>
        <w:t xml:space="preserve">Background: </w:t>
      </w:r>
      <w:r w:rsidR="00CE3058" w:rsidRPr="00CE3058">
        <w:rPr>
          <w:rStyle w:val="IntenseReference"/>
          <w:sz w:val="28"/>
          <w:szCs w:val="28"/>
        </w:rPr>
        <w:t xml:space="preserve">Crime of Violence (§ 624.712, subd. 5): </w:t>
      </w:r>
      <w:proofErr w:type="gramStart"/>
      <w:r w:rsidR="00CE3058" w:rsidRPr="00CE3058">
        <w:rPr>
          <w:rStyle w:val="IntenseReference"/>
          <w:sz w:val="28"/>
          <w:szCs w:val="28"/>
        </w:rPr>
        <w:t>A statutory</w:t>
      </w:r>
      <w:proofErr w:type="gramEnd"/>
      <w:r w:rsidR="00CE3058" w:rsidRPr="00CE3058">
        <w:rPr>
          <w:rStyle w:val="IntenseReference"/>
          <w:sz w:val="28"/>
          <w:szCs w:val="28"/>
        </w:rPr>
        <w:t xml:space="preserve"> classification used in Minnesota firearm laws to determine who is prohibited from possessing firearms and when certain firearm-related mandatory minimum penalties may </w:t>
      </w:r>
      <w:r w:rsidR="004F625F" w:rsidRPr="00CE3058">
        <w:rPr>
          <w:rStyle w:val="IntenseReference"/>
          <w:sz w:val="28"/>
          <w:szCs w:val="28"/>
        </w:rPr>
        <w:t>apply.</w:t>
      </w:r>
      <w:r w:rsidR="004F625F">
        <w:t xml:space="preserve"> A</w:t>
      </w:r>
      <w:r w:rsidR="00400ECA" w:rsidRPr="009B5775">
        <w:t xml:space="preserve"> </w:t>
      </w:r>
      <w:r w:rsidR="00400ECA" w:rsidRPr="009B5775">
        <w:rPr>
          <w:b/>
          <w:bCs/>
        </w:rPr>
        <w:t>crime of violence</w:t>
      </w:r>
      <w:r w:rsidR="00400ECA" w:rsidRPr="009B5775">
        <w:t xml:space="preserve"> is a </w:t>
      </w:r>
      <w:r w:rsidR="00400ECA" w:rsidRPr="009B5775">
        <w:rPr>
          <w:b/>
          <w:bCs/>
        </w:rPr>
        <w:t>felony conviction</w:t>
      </w:r>
      <w:r w:rsidR="00400ECA" w:rsidRPr="009B5775">
        <w:t xml:space="preserve"> for certain specified offenses, including:</w:t>
      </w:r>
    </w:p>
    <w:p w14:paraId="44533CBA" w14:textId="77777777" w:rsidR="001274D9" w:rsidRDefault="001274D9" w:rsidP="001274D9">
      <w:pPr>
        <w:spacing w:after="0" w:line="240" w:lineRule="auto"/>
        <w:ind w:left="720"/>
        <w:sectPr w:rsidR="001274D9" w:rsidSect="001274D9">
          <w:headerReference w:type="default" r:id="rId11"/>
          <w:type w:val="continuous"/>
          <w:pgSz w:w="15840" w:h="12240" w:orient="landscape"/>
          <w:pgMar w:top="1440" w:right="1440" w:bottom="1440" w:left="1440" w:header="720" w:footer="720" w:gutter="0"/>
          <w:cols w:space="720"/>
          <w:docGrid w:linePitch="360"/>
        </w:sectPr>
      </w:pPr>
    </w:p>
    <w:p w14:paraId="51B574BA"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Murder and manslaughter </w:t>
      </w:r>
    </w:p>
    <w:p w14:paraId="394BEC19"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Assault offenses </w:t>
      </w:r>
    </w:p>
    <w:p w14:paraId="30AD3D78"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Domestic assault by strangulation </w:t>
      </w:r>
    </w:p>
    <w:p w14:paraId="011BFBE4"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Robbery and aggravated robbery </w:t>
      </w:r>
    </w:p>
    <w:p w14:paraId="299AFE65"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Carjacking </w:t>
      </w:r>
    </w:p>
    <w:p w14:paraId="3A1E34BF"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Kidnapping and false imprisonment </w:t>
      </w:r>
    </w:p>
    <w:p w14:paraId="33DA5060"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Criminal sexual conduct offenses </w:t>
      </w:r>
    </w:p>
    <w:p w14:paraId="594A51E2"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Certain child abuse and neglect offenses </w:t>
      </w:r>
    </w:p>
    <w:p w14:paraId="1334313B"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First- and second-degree burglary </w:t>
      </w:r>
    </w:p>
    <w:p w14:paraId="54516E03"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First- and second-degree arson </w:t>
      </w:r>
    </w:p>
    <w:p w14:paraId="52F6512A"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Drive-by shooting </w:t>
      </w:r>
    </w:p>
    <w:p w14:paraId="4E949D8F"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Terroristic threats </w:t>
      </w:r>
    </w:p>
    <w:p w14:paraId="366D66F8"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Harassment </w:t>
      </w:r>
    </w:p>
    <w:p w14:paraId="1E1400C7"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Certain firearm offenses </w:t>
      </w:r>
    </w:p>
    <w:p w14:paraId="006E8D1E"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Felony controlled-substance offenses under Chapter 152 </w:t>
      </w:r>
    </w:p>
    <w:p w14:paraId="2C285B91" w14:textId="77777777" w:rsidR="00400ECA" w:rsidRPr="00C32160" w:rsidRDefault="00400ECA" w:rsidP="00400ECA">
      <w:pPr>
        <w:numPr>
          <w:ilvl w:val="0"/>
          <w:numId w:val="1"/>
        </w:numPr>
        <w:spacing w:after="0" w:line="240" w:lineRule="auto"/>
        <w:rPr>
          <w:sz w:val="20"/>
          <w:szCs w:val="20"/>
        </w:rPr>
      </w:pPr>
      <w:r w:rsidRPr="00C32160">
        <w:rPr>
          <w:sz w:val="20"/>
          <w:szCs w:val="20"/>
        </w:rPr>
        <w:t xml:space="preserve">Attempts to commit any of the listed offenses </w:t>
      </w:r>
    </w:p>
    <w:p w14:paraId="234D8ED6" w14:textId="77777777" w:rsidR="00400ECA" w:rsidRDefault="00400ECA" w:rsidP="00400ECA">
      <w:pPr>
        <w:spacing w:after="0" w:line="240" w:lineRule="auto"/>
        <w:sectPr w:rsidR="00400ECA" w:rsidSect="00C32160">
          <w:type w:val="continuous"/>
          <w:pgSz w:w="15840" w:h="12240" w:orient="landscape"/>
          <w:pgMar w:top="1440" w:right="1440" w:bottom="1440" w:left="1440" w:header="720" w:footer="720" w:gutter="0"/>
          <w:cols w:num="3" w:space="720"/>
          <w:docGrid w:linePitch="360"/>
        </w:sectPr>
      </w:pPr>
    </w:p>
    <w:p w14:paraId="1DC58F8D" w14:textId="1C142DAC" w:rsidR="00965962" w:rsidRPr="00B134D1" w:rsidRDefault="00400ECA" w:rsidP="00430585">
      <w:pPr>
        <w:pStyle w:val="ListParagraph"/>
        <w:numPr>
          <w:ilvl w:val="0"/>
          <w:numId w:val="2"/>
        </w:numPr>
        <w:spacing w:after="0" w:line="240" w:lineRule="auto"/>
        <w:ind w:left="360"/>
        <w:rPr>
          <w:b/>
          <w:bCs/>
        </w:rPr>
      </w:pPr>
      <w:r w:rsidRPr="00B134D1">
        <w:rPr>
          <w:b/>
          <w:bCs/>
        </w:rPr>
        <w:t>Decision Point</w:t>
      </w:r>
      <w:r w:rsidR="00965962" w:rsidRPr="00B134D1">
        <w:rPr>
          <w:b/>
          <w:bCs/>
        </w:rPr>
        <w:t xml:space="preserve"> 2–1: Should the “crime of violence” list (§ 624.712, subd. 5) </w:t>
      </w:r>
      <w:proofErr w:type="gramStart"/>
      <w:r w:rsidR="00965962" w:rsidRPr="00B134D1">
        <w:rPr>
          <w:b/>
          <w:bCs/>
        </w:rPr>
        <w:t>exclude</w:t>
      </w:r>
      <w:proofErr w:type="gramEnd"/>
      <w:r w:rsidR="00965962" w:rsidRPr="00B134D1">
        <w:rPr>
          <w:b/>
          <w:bCs/>
        </w:rPr>
        <w:t xml:space="preserve"> nonviolent drug offenses?</w:t>
      </w:r>
    </w:p>
    <w:tbl>
      <w:tblPr>
        <w:tblStyle w:val="TableGrid"/>
        <w:tblW w:w="0" w:type="auto"/>
        <w:tblLook w:val="04A0" w:firstRow="1" w:lastRow="0" w:firstColumn="1" w:lastColumn="0" w:noHBand="0" w:noVBand="1"/>
      </w:tblPr>
      <w:tblGrid>
        <w:gridCol w:w="902"/>
        <w:gridCol w:w="12048"/>
      </w:tblGrid>
      <w:tr w:rsidR="00400ECA" w:rsidRPr="00E7526A" w14:paraId="2D79EDFF" w14:textId="77777777" w:rsidTr="00E7526A">
        <w:tc>
          <w:tcPr>
            <w:tcW w:w="0" w:type="auto"/>
            <w:shd w:val="clear" w:color="auto" w:fill="000000" w:themeFill="text1"/>
            <w:hideMark/>
          </w:tcPr>
          <w:p w14:paraId="44AF8531" w14:textId="77777777" w:rsidR="00400ECA" w:rsidRPr="00E7526A" w:rsidRDefault="00400ECA" w:rsidP="00400ECA">
            <w:pPr>
              <w:rPr>
                <w:b/>
                <w:bCs/>
                <w:sz w:val="22"/>
                <w:szCs w:val="22"/>
              </w:rPr>
            </w:pPr>
            <w:r w:rsidRPr="00E7526A">
              <w:rPr>
                <w:b/>
                <w:bCs/>
                <w:sz w:val="22"/>
                <w:szCs w:val="22"/>
              </w:rPr>
              <w:t>Option</w:t>
            </w:r>
          </w:p>
        </w:tc>
        <w:tc>
          <w:tcPr>
            <w:tcW w:w="0" w:type="auto"/>
            <w:shd w:val="clear" w:color="auto" w:fill="000000" w:themeFill="text1"/>
            <w:hideMark/>
          </w:tcPr>
          <w:p w14:paraId="1C957A1A" w14:textId="77777777" w:rsidR="00400ECA" w:rsidRPr="00E7526A" w:rsidRDefault="00400ECA" w:rsidP="00400ECA">
            <w:pPr>
              <w:rPr>
                <w:b/>
                <w:bCs/>
                <w:sz w:val="22"/>
                <w:szCs w:val="22"/>
              </w:rPr>
            </w:pPr>
            <w:r w:rsidRPr="00E7526A">
              <w:rPr>
                <w:b/>
                <w:bCs/>
                <w:sz w:val="22"/>
                <w:szCs w:val="22"/>
              </w:rPr>
              <w:t>Description</w:t>
            </w:r>
          </w:p>
        </w:tc>
      </w:tr>
      <w:tr w:rsidR="00400ECA" w:rsidRPr="00E7526A" w14:paraId="7E897F9F" w14:textId="77777777" w:rsidTr="00C466BD">
        <w:tc>
          <w:tcPr>
            <w:tcW w:w="0" w:type="auto"/>
            <w:hideMark/>
          </w:tcPr>
          <w:p w14:paraId="51A48B7F"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308878A8" w14:textId="77777777" w:rsidR="00400ECA" w:rsidRPr="00E7526A" w:rsidRDefault="00400ECA" w:rsidP="00400ECA">
            <w:pPr>
              <w:rPr>
                <w:sz w:val="22"/>
                <w:szCs w:val="22"/>
              </w:rPr>
            </w:pPr>
            <w:r w:rsidRPr="00E7526A">
              <w:rPr>
                <w:sz w:val="22"/>
                <w:szCs w:val="22"/>
              </w:rPr>
              <w:t>Exclude all Chapter 152 offenses.</w:t>
            </w:r>
          </w:p>
        </w:tc>
      </w:tr>
      <w:tr w:rsidR="00400ECA" w:rsidRPr="00E7526A" w14:paraId="597CC959" w14:textId="77777777" w:rsidTr="00C466BD">
        <w:tc>
          <w:tcPr>
            <w:tcW w:w="0" w:type="auto"/>
            <w:hideMark/>
          </w:tcPr>
          <w:p w14:paraId="7BF1F89C"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0CDB70A3" w14:textId="77777777" w:rsidR="00400ECA" w:rsidRPr="00E7526A" w:rsidRDefault="00400ECA" w:rsidP="00400ECA">
            <w:pPr>
              <w:rPr>
                <w:sz w:val="22"/>
                <w:szCs w:val="22"/>
              </w:rPr>
            </w:pPr>
            <w:r w:rsidRPr="00E7526A">
              <w:rPr>
                <w:sz w:val="22"/>
                <w:szCs w:val="22"/>
              </w:rPr>
              <w:t>Include only firearm-related drug offenses.</w:t>
            </w:r>
          </w:p>
        </w:tc>
      </w:tr>
      <w:tr w:rsidR="00400ECA" w:rsidRPr="00E7526A" w14:paraId="2353E330" w14:textId="77777777" w:rsidTr="00C466BD">
        <w:tc>
          <w:tcPr>
            <w:tcW w:w="0" w:type="auto"/>
            <w:hideMark/>
          </w:tcPr>
          <w:p w14:paraId="234534A6"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31018B90" w14:textId="77777777" w:rsidR="00400ECA" w:rsidRPr="00E7526A" w:rsidRDefault="00400ECA" w:rsidP="00400ECA">
            <w:pPr>
              <w:rPr>
                <w:sz w:val="22"/>
                <w:szCs w:val="22"/>
              </w:rPr>
            </w:pPr>
            <w:r w:rsidRPr="00E7526A">
              <w:rPr>
                <w:sz w:val="22"/>
                <w:szCs w:val="22"/>
              </w:rPr>
              <w:t>Include only 1st- and 2nd-degree drug crimes, felony drug sales, importation, and possession of substances with intent to manufacture methamphetamine (loosely based on § 152.18).</w:t>
            </w:r>
          </w:p>
        </w:tc>
      </w:tr>
      <w:tr w:rsidR="00400ECA" w:rsidRPr="00E7526A" w14:paraId="2C96AA65" w14:textId="77777777" w:rsidTr="00C466BD">
        <w:tc>
          <w:tcPr>
            <w:tcW w:w="0" w:type="auto"/>
            <w:hideMark/>
          </w:tcPr>
          <w:p w14:paraId="643F740A"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71538809" w14:textId="77777777" w:rsidR="00400ECA" w:rsidRPr="00E7526A" w:rsidRDefault="00400ECA" w:rsidP="00400ECA">
            <w:pPr>
              <w:rPr>
                <w:sz w:val="22"/>
                <w:szCs w:val="22"/>
              </w:rPr>
            </w:pPr>
            <w:r w:rsidRPr="00E7526A">
              <w:rPr>
                <w:sz w:val="22"/>
                <w:szCs w:val="22"/>
              </w:rPr>
              <w:t>Include only drug offenses with a statutory maximum of 15+ years, plus exposing a child or vulnerable adult to methamphetamine or related chemicals and exposing a child to fentanyl (</w:t>
            </w:r>
            <w:proofErr w:type="gramStart"/>
            <w:r w:rsidRPr="00E7526A">
              <w:rPr>
                <w:sz w:val="22"/>
                <w:szCs w:val="22"/>
              </w:rPr>
              <w:t>similar to</w:t>
            </w:r>
            <w:proofErr w:type="gramEnd"/>
            <w:r w:rsidRPr="00E7526A">
              <w:rPr>
                <w:sz w:val="22"/>
                <w:szCs w:val="22"/>
              </w:rPr>
              <w:t xml:space="preserve"> § 609.1095, subd. 1 “violent crime” list).</w:t>
            </w:r>
          </w:p>
        </w:tc>
      </w:tr>
      <w:tr w:rsidR="00400ECA" w:rsidRPr="00E7526A" w14:paraId="15767668" w14:textId="77777777" w:rsidTr="00C466BD">
        <w:tc>
          <w:tcPr>
            <w:tcW w:w="0" w:type="auto"/>
            <w:hideMark/>
          </w:tcPr>
          <w:p w14:paraId="2B13B88A"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2E9B436D" w14:textId="77777777" w:rsidR="00400ECA" w:rsidRPr="00E7526A" w:rsidRDefault="00400ECA" w:rsidP="00400ECA">
            <w:pPr>
              <w:rPr>
                <w:sz w:val="22"/>
                <w:szCs w:val="22"/>
              </w:rPr>
            </w:pPr>
            <w:r w:rsidRPr="00E7526A">
              <w:rPr>
                <w:sz w:val="22"/>
                <w:szCs w:val="22"/>
              </w:rPr>
              <w:t>Include only 1st- and 2nd-degree drug crimes; importation; possession of substances with intent to manufacture methamphetamine as a second or subsequent offense; exposing a child or vulnerable adult to methamphetamine or related chemicals; and exposing a child to fentanyl (</w:t>
            </w:r>
            <w:proofErr w:type="gramStart"/>
            <w:r w:rsidRPr="00E7526A">
              <w:rPr>
                <w:sz w:val="22"/>
                <w:szCs w:val="22"/>
              </w:rPr>
              <w:t>similar to</w:t>
            </w:r>
            <w:proofErr w:type="gramEnd"/>
            <w:r w:rsidRPr="00E7526A">
              <w:rPr>
                <w:sz w:val="22"/>
                <w:szCs w:val="22"/>
              </w:rPr>
              <w:t xml:space="preserve"> § 609.1095, subd. 3 “violent crime” list).</w:t>
            </w:r>
          </w:p>
        </w:tc>
      </w:tr>
      <w:tr w:rsidR="00400ECA" w:rsidRPr="00E7526A" w14:paraId="270A5079" w14:textId="77777777" w:rsidTr="00C466BD">
        <w:tc>
          <w:tcPr>
            <w:tcW w:w="0" w:type="auto"/>
            <w:hideMark/>
          </w:tcPr>
          <w:p w14:paraId="7CA92408" w14:textId="77777777" w:rsidR="00400ECA" w:rsidRPr="001274D9" w:rsidRDefault="00400ECA" w:rsidP="00430585">
            <w:pPr>
              <w:pStyle w:val="ListParagraph"/>
              <w:numPr>
                <w:ilvl w:val="0"/>
                <w:numId w:val="4"/>
              </w:numPr>
              <w:rPr>
                <w:sz w:val="22"/>
                <w:szCs w:val="22"/>
              </w:rPr>
            </w:pPr>
            <w:r w:rsidRPr="001274D9">
              <w:rPr>
                <w:sz w:val="22"/>
                <w:szCs w:val="22"/>
              </w:rPr>
              <w:t>Yes</w:t>
            </w:r>
          </w:p>
        </w:tc>
        <w:tc>
          <w:tcPr>
            <w:tcW w:w="0" w:type="auto"/>
            <w:hideMark/>
          </w:tcPr>
          <w:p w14:paraId="7FD84635" w14:textId="77777777" w:rsidR="00400ECA" w:rsidRPr="00E7526A" w:rsidRDefault="00400ECA" w:rsidP="00400ECA">
            <w:pPr>
              <w:rPr>
                <w:sz w:val="22"/>
                <w:szCs w:val="22"/>
              </w:rPr>
            </w:pPr>
            <w:r w:rsidRPr="00E7526A">
              <w:rPr>
                <w:sz w:val="22"/>
                <w:szCs w:val="22"/>
              </w:rPr>
              <w:t>Include only ____________________.</w:t>
            </w:r>
          </w:p>
        </w:tc>
      </w:tr>
      <w:tr w:rsidR="00E7526A" w:rsidRPr="00E7526A" w14:paraId="78D4DE31" w14:textId="77777777" w:rsidTr="00C466BD">
        <w:tc>
          <w:tcPr>
            <w:tcW w:w="0" w:type="auto"/>
          </w:tcPr>
          <w:p w14:paraId="07B8F2C8" w14:textId="04611E30" w:rsidR="00E7526A" w:rsidRPr="001274D9" w:rsidRDefault="00E7526A" w:rsidP="00430585">
            <w:pPr>
              <w:pStyle w:val="ListParagraph"/>
              <w:numPr>
                <w:ilvl w:val="0"/>
                <w:numId w:val="4"/>
              </w:numPr>
              <w:rPr>
                <w:sz w:val="22"/>
                <w:szCs w:val="22"/>
              </w:rPr>
            </w:pPr>
            <w:r w:rsidRPr="001274D9">
              <w:rPr>
                <w:sz w:val="22"/>
                <w:szCs w:val="22"/>
              </w:rPr>
              <w:t>No</w:t>
            </w:r>
          </w:p>
        </w:tc>
        <w:tc>
          <w:tcPr>
            <w:tcW w:w="0" w:type="auto"/>
          </w:tcPr>
          <w:p w14:paraId="5D469BD3" w14:textId="1CCFD901" w:rsidR="00E7526A" w:rsidRPr="00E7526A" w:rsidRDefault="00E7526A" w:rsidP="00E7526A">
            <w:pPr>
              <w:rPr>
                <w:sz w:val="22"/>
                <w:szCs w:val="22"/>
              </w:rPr>
            </w:pPr>
            <w:r w:rsidRPr="00E7526A">
              <w:rPr>
                <w:sz w:val="22"/>
                <w:szCs w:val="22"/>
              </w:rPr>
              <w:t>No change is necessary.</w:t>
            </w:r>
          </w:p>
        </w:tc>
      </w:tr>
    </w:tbl>
    <w:p w14:paraId="1887CC13" w14:textId="77777777" w:rsidR="00B134D1" w:rsidRDefault="00B134D1" w:rsidP="00B134D1">
      <w:pPr>
        <w:pStyle w:val="ListParagraph"/>
        <w:spacing w:after="0" w:line="240" w:lineRule="auto"/>
        <w:ind w:left="360"/>
        <w:rPr>
          <w:b/>
          <w:bCs/>
        </w:rPr>
      </w:pPr>
    </w:p>
    <w:p w14:paraId="55E3D042" w14:textId="4FA85BC5" w:rsidR="00965962" w:rsidRPr="00E7526A"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2–2: Should there be an automatic off-ramp from the lifetime firearms &amp; ammunition ban?</w:t>
      </w:r>
    </w:p>
    <w:tbl>
      <w:tblPr>
        <w:tblStyle w:val="TableGrid"/>
        <w:tblW w:w="0" w:type="auto"/>
        <w:jc w:val="center"/>
        <w:tblLook w:val="04A0" w:firstRow="1" w:lastRow="0" w:firstColumn="1" w:lastColumn="0" w:noHBand="0" w:noVBand="1"/>
      </w:tblPr>
      <w:tblGrid>
        <w:gridCol w:w="902"/>
        <w:gridCol w:w="12048"/>
      </w:tblGrid>
      <w:tr w:rsidR="00E7526A" w:rsidRPr="00E7526A" w14:paraId="361C2E7E" w14:textId="77777777" w:rsidTr="00E7526A">
        <w:trPr>
          <w:jc w:val="center"/>
        </w:trPr>
        <w:tc>
          <w:tcPr>
            <w:tcW w:w="0" w:type="auto"/>
            <w:shd w:val="clear" w:color="auto" w:fill="000000" w:themeFill="text1"/>
            <w:hideMark/>
          </w:tcPr>
          <w:p w14:paraId="418139C9" w14:textId="77777777" w:rsidR="00E7526A" w:rsidRPr="00E7526A" w:rsidRDefault="00E7526A" w:rsidP="00E7526A">
            <w:pPr>
              <w:pStyle w:val="ListParagraph"/>
              <w:ind w:left="0"/>
              <w:rPr>
                <w:b/>
                <w:bCs/>
                <w:sz w:val="22"/>
                <w:szCs w:val="22"/>
              </w:rPr>
            </w:pPr>
            <w:r w:rsidRPr="00E7526A">
              <w:rPr>
                <w:b/>
                <w:bCs/>
                <w:sz w:val="22"/>
                <w:szCs w:val="22"/>
              </w:rPr>
              <w:t>Option</w:t>
            </w:r>
          </w:p>
        </w:tc>
        <w:tc>
          <w:tcPr>
            <w:tcW w:w="0" w:type="auto"/>
            <w:shd w:val="clear" w:color="auto" w:fill="000000" w:themeFill="text1"/>
            <w:hideMark/>
          </w:tcPr>
          <w:p w14:paraId="1592A6F8" w14:textId="77777777" w:rsidR="00E7526A" w:rsidRPr="00E7526A" w:rsidRDefault="00E7526A" w:rsidP="00E7526A">
            <w:pPr>
              <w:pStyle w:val="ListParagraph"/>
              <w:ind w:left="0"/>
              <w:rPr>
                <w:b/>
                <w:bCs/>
                <w:sz w:val="22"/>
                <w:szCs w:val="22"/>
              </w:rPr>
            </w:pPr>
            <w:r w:rsidRPr="00E7526A">
              <w:rPr>
                <w:b/>
                <w:bCs/>
                <w:sz w:val="22"/>
                <w:szCs w:val="22"/>
              </w:rPr>
              <w:t>Description</w:t>
            </w:r>
          </w:p>
        </w:tc>
      </w:tr>
      <w:tr w:rsidR="00E7526A" w:rsidRPr="00E7526A" w14:paraId="12FD2F88" w14:textId="77777777" w:rsidTr="00E7526A">
        <w:trPr>
          <w:jc w:val="center"/>
        </w:trPr>
        <w:tc>
          <w:tcPr>
            <w:tcW w:w="0" w:type="auto"/>
            <w:hideMark/>
          </w:tcPr>
          <w:p w14:paraId="109C6E4A" w14:textId="77777777" w:rsidR="00E7526A" w:rsidRPr="00E7526A" w:rsidRDefault="00E7526A" w:rsidP="00430585">
            <w:pPr>
              <w:pStyle w:val="ListParagraph"/>
              <w:numPr>
                <w:ilvl w:val="0"/>
                <w:numId w:val="5"/>
              </w:numPr>
              <w:rPr>
                <w:sz w:val="22"/>
                <w:szCs w:val="22"/>
              </w:rPr>
            </w:pPr>
            <w:r w:rsidRPr="00E7526A">
              <w:rPr>
                <w:sz w:val="22"/>
                <w:szCs w:val="22"/>
              </w:rPr>
              <w:lastRenderedPageBreak/>
              <w:t>Yes</w:t>
            </w:r>
          </w:p>
        </w:tc>
        <w:tc>
          <w:tcPr>
            <w:tcW w:w="0" w:type="auto"/>
            <w:hideMark/>
          </w:tcPr>
          <w:p w14:paraId="5C3FB485" w14:textId="77777777" w:rsidR="00E7526A" w:rsidRPr="00E7526A" w:rsidRDefault="00E7526A" w:rsidP="00E7526A">
            <w:pPr>
              <w:pStyle w:val="ListParagraph"/>
              <w:ind w:left="0"/>
              <w:rPr>
                <w:sz w:val="22"/>
                <w:szCs w:val="22"/>
              </w:rPr>
            </w:pPr>
            <w:r w:rsidRPr="00E7526A">
              <w:rPr>
                <w:sz w:val="22"/>
                <w:szCs w:val="22"/>
              </w:rPr>
              <w:t>Automatic restoration ten years after restoration of civil rights with no crime-of-violence conviction (pre-2003/2005 standard).</w:t>
            </w:r>
          </w:p>
        </w:tc>
      </w:tr>
      <w:tr w:rsidR="00E7526A" w:rsidRPr="00E7526A" w14:paraId="59007181" w14:textId="77777777" w:rsidTr="00E7526A">
        <w:trPr>
          <w:jc w:val="center"/>
        </w:trPr>
        <w:tc>
          <w:tcPr>
            <w:tcW w:w="0" w:type="auto"/>
            <w:hideMark/>
          </w:tcPr>
          <w:p w14:paraId="16152663" w14:textId="77777777" w:rsidR="00E7526A" w:rsidRPr="00E7526A" w:rsidRDefault="00E7526A" w:rsidP="00430585">
            <w:pPr>
              <w:pStyle w:val="ListParagraph"/>
              <w:numPr>
                <w:ilvl w:val="0"/>
                <w:numId w:val="5"/>
              </w:numPr>
              <w:rPr>
                <w:sz w:val="22"/>
                <w:szCs w:val="22"/>
              </w:rPr>
            </w:pPr>
            <w:r w:rsidRPr="00E7526A">
              <w:rPr>
                <w:sz w:val="22"/>
                <w:szCs w:val="22"/>
              </w:rPr>
              <w:t>Yes</w:t>
            </w:r>
          </w:p>
        </w:tc>
        <w:tc>
          <w:tcPr>
            <w:tcW w:w="0" w:type="auto"/>
            <w:hideMark/>
          </w:tcPr>
          <w:p w14:paraId="446E5D5C" w14:textId="77777777" w:rsidR="00E7526A" w:rsidRPr="00E7526A" w:rsidRDefault="00E7526A" w:rsidP="00E7526A">
            <w:pPr>
              <w:pStyle w:val="ListParagraph"/>
              <w:ind w:left="0"/>
              <w:rPr>
                <w:sz w:val="22"/>
                <w:szCs w:val="22"/>
              </w:rPr>
            </w:pPr>
            <w:r w:rsidRPr="00E7526A">
              <w:rPr>
                <w:sz w:val="22"/>
                <w:szCs w:val="22"/>
              </w:rPr>
              <w:t>Automatic restoration after ten years (for juvenile adjudications), or after restoration of civil rights and ten years with no criminal convictions or post-conviction confinement (for convictions).</w:t>
            </w:r>
          </w:p>
        </w:tc>
      </w:tr>
      <w:tr w:rsidR="00E7526A" w:rsidRPr="00E7526A" w14:paraId="2DDA9F1B" w14:textId="77777777" w:rsidTr="00E7526A">
        <w:trPr>
          <w:jc w:val="center"/>
        </w:trPr>
        <w:tc>
          <w:tcPr>
            <w:tcW w:w="0" w:type="auto"/>
            <w:hideMark/>
          </w:tcPr>
          <w:p w14:paraId="010F4EF7" w14:textId="77777777" w:rsidR="00E7526A" w:rsidRPr="00E7526A" w:rsidRDefault="00E7526A" w:rsidP="00430585">
            <w:pPr>
              <w:pStyle w:val="ListParagraph"/>
              <w:numPr>
                <w:ilvl w:val="0"/>
                <w:numId w:val="5"/>
              </w:numPr>
              <w:rPr>
                <w:sz w:val="22"/>
                <w:szCs w:val="22"/>
              </w:rPr>
            </w:pPr>
            <w:r w:rsidRPr="00E7526A">
              <w:rPr>
                <w:sz w:val="22"/>
                <w:szCs w:val="22"/>
              </w:rPr>
              <w:t>Yes</w:t>
            </w:r>
          </w:p>
        </w:tc>
        <w:tc>
          <w:tcPr>
            <w:tcW w:w="0" w:type="auto"/>
            <w:hideMark/>
          </w:tcPr>
          <w:p w14:paraId="4354F8D3" w14:textId="77777777" w:rsidR="00E7526A" w:rsidRPr="00E7526A" w:rsidRDefault="00E7526A" w:rsidP="00E7526A">
            <w:pPr>
              <w:pStyle w:val="ListParagraph"/>
              <w:ind w:left="0"/>
              <w:rPr>
                <w:sz w:val="22"/>
                <w:szCs w:val="22"/>
              </w:rPr>
            </w:pPr>
            <w:r w:rsidRPr="00E7526A">
              <w:rPr>
                <w:sz w:val="22"/>
                <w:szCs w:val="22"/>
              </w:rPr>
              <w:t>Automatic restoration after ____________________</w:t>
            </w:r>
          </w:p>
        </w:tc>
      </w:tr>
      <w:tr w:rsidR="00E7526A" w:rsidRPr="00E7526A" w14:paraId="112A33F1" w14:textId="77777777" w:rsidTr="00E7526A">
        <w:trPr>
          <w:jc w:val="center"/>
        </w:trPr>
        <w:tc>
          <w:tcPr>
            <w:tcW w:w="0" w:type="auto"/>
          </w:tcPr>
          <w:p w14:paraId="5FABE85D" w14:textId="5B61036A" w:rsidR="00E7526A" w:rsidRPr="00E7526A" w:rsidRDefault="00E7526A" w:rsidP="00430585">
            <w:pPr>
              <w:pStyle w:val="ListParagraph"/>
              <w:numPr>
                <w:ilvl w:val="0"/>
                <w:numId w:val="5"/>
              </w:numPr>
              <w:rPr>
                <w:sz w:val="22"/>
                <w:szCs w:val="22"/>
              </w:rPr>
            </w:pPr>
            <w:r w:rsidRPr="00E7526A">
              <w:rPr>
                <w:sz w:val="22"/>
                <w:szCs w:val="22"/>
              </w:rPr>
              <w:t>No</w:t>
            </w:r>
          </w:p>
        </w:tc>
        <w:tc>
          <w:tcPr>
            <w:tcW w:w="0" w:type="auto"/>
          </w:tcPr>
          <w:p w14:paraId="60FE26FA" w14:textId="33CCDD9D" w:rsidR="00E7526A" w:rsidRPr="00E7526A" w:rsidRDefault="00E7526A" w:rsidP="00E7526A">
            <w:pPr>
              <w:pStyle w:val="ListParagraph"/>
              <w:ind w:left="0"/>
              <w:rPr>
                <w:sz w:val="22"/>
                <w:szCs w:val="22"/>
              </w:rPr>
            </w:pPr>
            <w:r w:rsidRPr="00E7526A">
              <w:rPr>
                <w:sz w:val="22"/>
                <w:szCs w:val="22"/>
              </w:rPr>
              <w:t>The discretionary judicial restoration process (Minn. Stat. § 609.165, subd. 1d) is adequate.</w:t>
            </w:r>
          </w:p>
        </w:tc>
      </w:tr>
    </w:tbl>
    <w:p w14:paraId="16D67233" w14:textId="2BFF5CE3" w:rsidR="004F625F" w:rsidRDefault="004F625F" w:rsidP="00CE3058">
      <w:pPr>
        <w:pStyle w:val="ListParagraph"/>
        <w:spacing w:after="0" w:line="240" w:lineRule="auto"/>
      </w:pPr>
    </w:p>
    <w:p w14:paraId="7E9B3E03" w14:textId="77777777" w:rsidR="004F625F" w:rsidRDefault="004F625F">
      <w:r>
        <w:br w:type="page"/>
      </w:r>
    </w:p>
    <w:p w14:paraId="52B473C8" w14:textId="77777777" w:rsidR="004F625F" w:rsidRPr="00762748" w:rsidRDefault="004F625F" w:rsidP="004F625F">
      <w:pPr>
        <w:pStyle w:val="IntenseQuote"/>
        <w:spacing w:before="0" w:after="0"/>
        <w:ind w:left="0" w:right="0"/>
      </w:pPr>
      <w:r>
        <w:lastRenderedPageBreak/>
        <w:t xml:space="preserve">Overarching </w:t>
      </w:r>
      <w:r w:rsidRPr="00762748">
        <w:t>Idea 3: Reform the mandatory minimum for predatory offender registration violations</w:t>
      </w:r>
    </w:p>
    <w:p w14:paraId="61E5ABC3" w14:textId="2996BDE0" w:rsidR="00CE3058" w:rsidRPr="00762748" w:rsidRDefault="001274D9" w:rsidP="00CE3058">
      <w:pPr>
        <w:rPr>
          <w:rStyle w:val="IntenseReference"/>
          <w:sz w:val="28"/>
          <w:szCs w:val="28"/>
        </w:rPr>
      </w:pPr>
      <w:r>
        <w:rPr>
          <w:rStyle w:val="IntenseReference"/>
          <w:sz w:val="28"/>
          <w:szCs w:val="28"/>
        </w:rPr>
        <w:t xml:space="preserve">Background: </w:t>
      </w:r>
      <w:r w:rsidR="00CE3058" w:rsidRPr="00762748">
        <w:rPr>
          <w:rStyle w:val="IntenseReference"/>
          <w:sz w:val="28"/>
          <w:szCs w:val="28"/>
        </w:rPr>
        <w:t>Minnesota Statutes § 243.166 is the Predatory Offender Registration statute</w:t>
      </w:r>
    </w:p>
    <w:p w14:paraId="78BFF08E" w14:textId="51A339FE" w:rsidR="00762748" w:rsidRPr="001274D9" w:rsidRDefault="00CE3058" w:rsidP="001274D9">
      <w:pPr>
        <w:rPr>
          <w:i/>
          <w:iCs/>
          <w:color w:val="0F4761" w:themeColor="accent1" w:themeShade="BF"/>
        </w:rPr>
      </w:pPr>
      <w:r>
        <w:rPr>
          <w:rStyle w:val="IntenseEmphasis"/>
        </w:rPr>
        <w:t>This statute</w:t>
      </w:r>
      <w:r w:rsidRPr="00762748">
        <w:rPr>
          <w:rStyle w:val="IntenseEmphasis"/>
        </w:rPr>
        <w:t xml:space="preserve"> requires certain individuals convicted of specific serious offenses (or adjudicated delinquent in juvenile court) to 1) register with law enforcement as a predatory offender; 2) provide updated address, employment, vehicle, and other identifying information; 3) comply with long-term reporting requirements (often 10 years or more, and in some cases lifetime registration). </w:t>
      </w:r>
    </w:p>
    <w:p w14:paraId="25D67AFA" w14:textId="419D3598" w:rsidR="00965962" w:rsidRPr="00D26C51" w:rsidRDefault="00400ECA" w:rsidP="00430585">
      <w:pPr>
        <w:pStyle w:val="ListParagraph"/>
        <w:numPr>
          <w:ilvl w:val="0"/>
          <w:numId w:val="2"/>
        </w:numPr>
        <w:spacing w:after="0" w:line="240" w:lineRule="auto"/>
        <w:ind w:left="360"/>
        <w:rPr>
          <w:b/>
          <w:bCs/>
        </w:rPr>
      </w:pPr>
      <w:r>
        <w:rPr>
          <w:b/>
          <w:bCs/>
        </w:rPr>
        <w:t>Decision Point</w:t>
      </w:r>
      <w:r w:rsidR="00965962" w:rsidRPr="00D26C51">
        <w:rPr>
          <w:b/>
          <w:bCs/>
        </w:rPr>
        <w:t xml:space="preserve"> 3–1: Should the mandatory minimum for first offenses be changed?</w:t>
      </w:r>
    </w:p>
    <w:p w14:paraId="025B7D68" w14:textId="4FFAED76" w:rsidR="00965962" w:rsidRPr="00965962" w:rsidRDefault="00965962" w:rsidP="00430585">
      <w:pPr>
        <w:pStyle w:val="ListParagraph"/>
        <w:numPr>
          <w:ilvl w:val="0"/>
          <w:numId w:val="16"/>
        </w:numPr>
        <w:spacing w:after="0" w:line="240" w:lineRule="auto"/>
      </w:pPr>
      <w:r w:rsidRPr="00965962">
        <w:t>Yes – abolish the year-and-a-day mandatory minimum (as recommended by the 2022 Predatory Offender Statutory Framework Working Group)</w:t>
      </w:r>
    </w:p>
    <w:p w14:paraId="29C4DDC6" w14:textId="77777777" w:rsidR="00E7526A" w:rsidRPr="00965962" w:rsidRDefault="00E7526A" w:rsidP="00430585">
      <w:pPr>
        <w:pStyle w:val="ListParagraph"/>
        <w:numPr>
          <w:ilvl w:val="0"/>
          <w:numId w:val="16"/>
        </w:numPr>
        <w:spacing w:after="0" w:line="240" w:lineRule="auto"/>
      </w:pPr>
      <w:r w:rsidRPr="00965962">
        <w:t>No – keep the waivable year-and-a-day mandatory minimum</w:t>
      </w:r>
    </w:p>
    <w:p w14:paraId="0A31D190" w14:textId="77777777" w:rsidR="00C04B1D" w:rsidRDefault="00C04B1D" w:rsidP="00965962">
      <w:pPr>
        <w:spacing w:after="0" w:line="240" w:lineRule="auto"/>
      </w:pPr>
    </w:p>
    <w:p w14:paraId="0AE6A945" w14:textId="45B2C438" w:rsidR="00965962" w:rsidRPr="00B134D1" w:rsidRDefault="00400ECA" w:rsidP="00430585">
      <w:pPr>
        <w:pStyle w:val="ListParagraph"/>
        <w:numPr>
          <w:ilvl w:val="0"/>
          <w:numId w:val="2"/>
        </w:numPr>
        <w:spacing w:after="0" w:line="240" w:lineRule="auto"/>
        <w:ind w:left="360"/>
        <w:rPr>
          <w:b/>
          <w:bCs/>
        </w:rPr>
      </w:pPr>
      <w:r w:rsidRPr="00B134D1">
        <w:rPr>
          <w:b/>
          <w:bCs/>
        </w:rPr>
        <w:t>Decision Point</w:t>
      </w:r>
      <w:r w:rsidR="00965962" w:rsidRPr="00B134D1">
        <w:rPr>
          <w:b/>
          <w:bCs/>
        </w:rPr>
        <w:t xml:space="preserve"> 3–2: Should the mandatory minimum for second offenses be changed?</w:t>
      </w:r>
    </w:p>
    <w:p w14:paraId="4ECDB0CF" w14:textId="4D86AC1E" w:rsidR="00965962" w:rsidRPr="00965962" w:rsidRDefault="00965962" w:rsidP="00430585">
      <w:pPr>
        <w:pStyle w:val="ListParagraph"/>
        <w:numPr>
          <w:ilvl w:val="1"/>
          <w:numId w:val="15"/>
        </w:numPr>
        <w:spacing w:after="0" w:line="240" w:lineRule="auto"/>
        <w:ind w:left="720"/>
      </w:pPr>
      <w:r w:rsidRPr="00965962">
        <w:t>Yes – reduce the mandatory minimum to a year and a day (as recommended by the 2022 Predatory Offender Statutory Framework Working Group)</w:t>
      </w:r>
    </w:p>
    <w:p w14:paraId="4404CAD8" w14:textId="55EFBDF3" w:rsidR="00965962" w:rsidRDefault="00965962" w:rsidP="00430585">
      <w:pPr>
        <w:pStyle w:val="ListParagraph"/>
        <w:numPr>
          <w:ilvl w:val="1"/>
          <w:numId w:val="15"/>
        </w:numPr>
        <w:spacing w:after="0" w:line="240" w:lineRule="auto"/>
        <w:ind w:left="720"/>
      </w:pPr>
      <w:r w:rsidRPr="00965962">
        <w:t>Yes – abolish the two-year mandatory minimum</w:t>
      </w:r>
    </w:p>
    <w:p w14:paraId="4F48EAE9" w14:textId="77777777" w:rsidR="00E7526A" w:rsidRPr="00965962" w:rsidRDefault="00E7526A" w:rsidP="00430585">
      <w:pPr>
        <w:pStyle w:val="ListParagraph"/>
        <w:numPr>
          <w:ilvl w:val="1"/>
          <w:numId w:val="15"/>
        </w:numPr>
        <w:spacing w:after="0" w:line="240" w:lineRule="auto"/>
        <w:ind w:left="720"/>
      </w:pPr>
      <w:r w:rsidRPr="00965962">
        <w:t>No – keep the waivable two-year mandatory minimum</w:t>
      </w:r>
    </w:p>
    <w:p w14:paraId="7A6BB1EC" w14:textId="77777777" w:rsidR="00D26C51" w:rsidRPr="00965962" w:rsidRDefault="00D26C51" w:rsidP="00D26C51">
      <w:pPr>
        <w:pStyle w:val="ListParagraph"/>
        <w:spacing w:after="0" w:line="240" w:lineRule="auto"/>
      </w:pPr>
    </w:p>
    <w:p w14:paraId="06E68B8D" w14:textId="587975B4" w:rsidR="00965962" w:rsidRPr="00B134D1" w:rsidRDefault="00400ECA" w:rsidP="00430585">
      <w:pPr>
        <w:pStyle w:val="ListParagraph"/>
        <w:numPr>
          <w:ilvl w:val="0"/>
          <w:numId w:val="2"/>
        </w:numPr>
        <w:spacing w:after="0" w:line="240" w:lineRule="auto"/>
        <w:ind w:left="360"/>
        <w:rPr>
          <w:b/>
          <w:bCs/>
        </w:rPr>
      </w:pPr>
      <w:r w:rsidRPr="00B134D1">
        <w:rPr>
          <w:b/>
          <w:bCs/>
        </w:rPr>
        <w:t>Decision Point</w:t>
      </w:r>
      <w:r w:rsidR="00965962" w:rsidRPr="00B134D1">
        <w:rPr>
          <w:b/>
          <w:bCs/>
        </w:rPr>
        <w:t xml:space="preserve"> 3–3: Should the defendant be permitted to petition for waiver of the mandatory minimum?</w:t>
      </w:r>
    </w:p>
    <w:p w14:paraId="50918B71" w14:textId="108E9664" w:rsidR="00965962" w:rsidRDefault="00965962" w:rsidP="00430585">
      <w:pPr>
        <w:pStyle w:val="ListParagraph"/>
        <w:numPr>
          <w:ilvl w:val="0"/>
          <w:numId w:val="14"/>
        </w:numPr>
        <w:spacing w:after="0" w:line="240" w:lineRule="auto"/>
      </w:pPr>
      <w:r w:rsidRPr="00965962">
        <w:t>Yes – either party should be able to petition.</w:t>
      </w:r>
    </w:p>
    <w:p w14:paraId="3DE3DC90" w14:textId="77777777" w:rsidR="00E7526A" w:rsidRPr="00965962" w:rsidRDefault="00E7526A" w:rsidP="00430585">
      <w:pPr>
        <w:pStyle w:val="ListParagraph"/>
        <w:numPr>
          <w:ilvl w:val="0"/>
          <w:numId w:val="14"/>
        </w:numPr>
        <w:spacing w:after="0" w:line="240" w:lineRule="auto"/>
      </w:pPr>
      <w:r w:rsidRPr="00965962">
        <w:t>No – only let the prosecutor petition for waiver (current rule)</w:t>
      </w:r>
    </w:p>
    <w:p w14:paraId="02CD6FBD" w14:textId="77777777" w:rsidR="007A3EC4" w:rsidRDefault="007A3EC4" w:rsidP="007A3EC4">
      <w:pPr>
        <w:pStyle w:val="ListParagraph"/>
        <w:spacing w:after="0" w:line="240" w:lineRule="auto"/>
      </w:pPr>
    </w:p>
    <w:p w14:paraId="16685368" w14:textId="7ADB2A87" w:rsidR="007E37B2" w:rsidRPr="00D26C51" w:rsidRDefault="00400ECA" w:rsidP="00430585">
      <w:pPr>
        <w:pStyle w:val="ListParagraph"/>
        <w:numPr>
          <w:ilvl w:val="0"/>
          <w:numId w:val="2"/>
        </w:numPr>
        <w:spacing w:after="0" w:line="240" w:lineRule="auto"/>
        <w:ind w:left="360"/>
        <w:rPr>
          <w:b/>
          <w:bCs/>
        </w:rPr>
      </w:pPr>
      <w:r>
        <w:rPr>
          <w:b/>
          <w:bCs/>
        </w:rPr>
        <w:t>Decision Point</w:t>
      </w:r>
      <w:r w:rsidR="007E37B2" w:rsidRPr="00D26C51">
        <w:rPr>
          <w:b/>
          <w:bCs/>
        </w:rPr>
        <w:t xml:space="preserve"> </w:t>
      </w:r>
      <w:r w:rsidR="001274D9">
        <w:rPr>
          <w:b/>
          <w:bCs/>
        </w:rPr>
        <w:t>3</w:t>
      </w:r>
      <w:r w:rsidR="007E37B2" w:rsidRPr="00D26C51">
        <w:rPr>
          <w:b/>
          <w:bCs/>
        </w:rPr>
        <w:t>–</w:t>
      </w:r>
      <w:r w:rsidR="001274D9">
        <w:rPr>
          <w:b/>
          <w:bCs/>
        </w:rPr>
        <w:t>4</w:t>
      </w:r>
      <w:r w:rsidR="007E37B2" w:rsidRPr="00D26C51">
        <w:rPr>
          <w:b/>
          <w:bCs/>
        </w:rPr>
        <w:t>: Should Minnesota Statutes § 243.166, subd. 5 continue to require mandatory minimum prison sentences for predatory offender registration violations?</w:t>
      </w:r>
    </w:p>
    <w:tbl>
      <w:tblPr>
        <w:tblStyle w:val="TableGrid"/>
        <w:tblW w:w="0" w:type="auto"/>
        <w:tblLook w:val="04A0" w:firstRow="1" w:lastRow="0" w:firstColumn="1" w:lastColumn="0" w:noHBand="0" w:noVBand="1"/>
      </w:tblPr>
      <w:tblGrid>
        <w:gridCol w:w="2358"/>
        <w:gridCol w:w="10592"/>
      </w:tblGrid>
      <w:tr w:rsidR="00E7526A" w:rsidRPr="00E7526A" w14:paraId="25375ECC" w14:textId="77777777" w:rsidTr="00E7526A">
        <w:tc>
          <w:tcPr>
            <w:tcW w:w="0" w:type="auto"/>
            <w:shd w:val="clear" w:color="auto" w:fill="000000" w:themeFill="text1"/>
            <w:hideMark/>
          </w:tcPr>
          <w:p w14:paraId="5CFAB0C4" w14:textId="77777777" w:rsidR="00E7526A" w:rsidRPr="00E7526A" w:rsidRDefault="00E7526A" w:rsidP="00E7526A">
            <w:pPr>
              <w:jc w:val="center"/>
              <w:rPr>
                <w:rFonts w:eastAsia="Times New Roman" w:cs="Arial"/>
                <w:b/>
                <w:bCs/>
                <w:kern w:val="0"/>
                <w:sz w:val="22"/>
                <w:szCs w:val="22"/>
                <w14:ligatures w14:val="none"/>
              </w:rPr>
            </w:pPr>
            <w:r w:rsidRPr="00E7526A">
              <w:rPr>
                <w:rFonts w:eastAsia="Times New Roman" w:cs="Arial"/>
                <w:b/>
                <w:bCs/>
                <w:kern w:val="0"/>
                <w:sz w:val="22"/>
                <w:szCs w:val="22"/>
                <w14:ligatures w14:val="none"/>
              </w:rPr>
              <w:t>Option</w:t>
            </w:r>
          </w:p>
        </w:tc>
        <w:tc>
          <w:tcPr>
            <w:tcW w:w="0" w:type="auto"/>
            <w:shd w:val="clear" w:color="auto" w:fill="000000" w:themeFill="text1"/>
            <w:hideMark/>
          </w:tcPr>
          <w:p w14:paraId="185C3A5A" w14:textId="77777777" w:rsidR="00E7526A" w:rsidRPr="00E7526A" w:rsidRDefault="00E7526A" w:rsidP="00E7526A">
            <w:pPr>
              <w:jc w:val="center"/>
              <w:rPr>
                <w:rFonts w:eastAsia="Times New Roman" w:cs="Arial"/>
                <w:b/>
                <w:bCs/>
                <w:kern w:val="0"/>
                <w:sz w:val="22"/>
                <w:szCs w:val="22"/>
                <w14:ligatures w14:val="none"/>
              </w:rPr>
            </w:pPr>
            <w:r w:rsidRPr="00E7526A">
              <w:rPr>
                <w:rFonts w:eastAsia="Times New Roman" w:cs="Arial"/>
                <w:b/>
                <w:bCs/>
                <w:kern w:val="0"/>
                <w:sz w:val="22"/>
                <w:szCs w:val="22"/>
                <w14:ligatures w14:val="none"/>
              </w:rPr>
              <w:t>Description</w:t>
            </w:r>
          </w:p>
        </w:tc>
      </w:tr>
      <w:tr w:rsidR="00E7526A" w:rsidRPr="00E7526A" w14:paraId="4DCEF98B" w14:textId="77777777" w:rsidTr="00E7526A">
        <w:tc>
          <w:tcPr>
            <w:tcW w:w="0" w:type="auto"/>
            <w:hideMark/>
          </w:tcPr>
          <w:p w14:paraId="1D926794" w14:textId="77777777" w:rsidR="00E7526A" w:rsidRPr="001274D9" w:rsidRDefault="00E7526A" w:rsidP="00430585">
            <w:pPr>
              <w:pStyle w:val="ListParagraph"/>
              <w:numPr>
                <w:ilvl w:val="0"/>
                <w:numId w:val="6"/>
              </w:numPr>
              <w:rPr>
                <w:rFonts w:eastAsia="Times New Roman" w:cs="Arial"/>
                <w:kern w:val="0"/>
                <w:sz w:val="22"/>
                <w:szCs w:val="22"/>
                <w14:ligatures w14:val="none"/>
              </w:rPr>
            </w:pPr>
            <w:r w:rsidRPr="001274D9">
              <w:rPr>
                <w:rFonts w:eastAsia="Times New Roman" w:cs="Arial"/>
                <w:kern w:val="0"/>
                <w:sz w:val="22"/>
                <w:szCs w:val="22"/>
                <w14:ligatures w14:val="none"/>
              </w:rPr>
              <w:t>Partially reform</w:t>
            </w:r>
          </w:p>
        </w:tc>
        <w:tc>
          <w:tcPr>
            <w:tcW w:w="0" w:type="auto"/>
            <w:hideMark/>
          </w:tcPr>
          <w:p w14:paraId="149C5E01" w14:textId="77777777" w:rsidR="00E7526A" w:rsidRPr="00E7526A" w:rsidRDefault="00E7526A" w:rsidP="00E7526A">
            <w:pPr>
              <w:rPr>
                <w:rFonts w:eastAsia="Times New Roman" w:cs="Arial"/>
                <w:kern w:val="0"/>
                <w:sz w:val="22"/>
                <w:szCs w:val="22"/>
                <w14:ligatures w14:val="none"/>
              </w:rPr>
            </w:pPr>
            <w:r w:rsidRPr="00E7526A">
              <w:rPr>
                <w:rFonts w:eastAsia="Times New Roman" w:cs="Arial"/>
                <w:kern w:val="0"/>
                <w:sz w:val="22"/>
                <w:szCs w:val="22"/>
                <w14:ligatures w14:val="none"/>
              </w:rPr>
              <w:t>Eliminate the mandatory minimum for first offenses but retain a mandatory minimum for second offenses.</w:t>
            </w:r>
          </w:p>
        </w:tc>
      </w:tr>
      <w:tr w:rsidR="00E7526A" w:rsidRPr="00E7526A" w14:paraId="7042E1C4" w14:textId="77777777" w:rsidTr="00E7526A">
        <w:tc>
          <w:tcPr>
            <w:tcW w:w="0" w:type="auto"/>
            <w:hideMark/>
          </w:tcPr>
          <w:p w14:paraId="184837A5" w14:textId="77777777" w:rsidR="00E7526A" w:rsidRPr="001274D9" w:rsidRDefault="00E7526A" w:rsidP="00430585">
            <w:pPr>
              <w:pStyle w:val="ListParagraph"/>
              <w:numPr>
                <w:ilvl w:val="0"/>
                <w:numId w:val="6"/>
              </w:numPr>
              <w:rPr>
                <w:rFonts w:eastAsia="Times New Roman" w:cs="Arial"/>
                <w:kern w:val="0"/>
                <w:sz w:val="22"/>
                <w:szCs w:val="22"/>
                <w14:ligatures w14:val="none"/>
              </w:rPr>
            </w:pPr>
            <w:r w:rsidRPr="001274D9">
              <w:rPr>
                <w:rFonts w:eastAsia="Times New Roman" w:cs="Arial"/>
                <w:kern w:val="0"/>
                <w:sz w:val="22"/>
                <w:szCs w:val="22"/>
                <w14:ligatures w14:val="none"/>
              </w:rPr>
              <w:lastRenderedPageBreak/>
              <w:t>Partially reform</w:t>
            </w:r>
          </w:p>
        </w:tc>
        <w:tc>
          <w:tcPr>
            <w:tcW w:w="0" w:type="auto"/>
            <w:hideMark/>
          </w:tcPr>
          <w:p w14:paraId="258B68DE" w14:textId="77777777" w:rsidR="00E7526A" w:rsidRPr="00E7526A" w:rsidRDefault="00E7526A" w:rsidP="00E7526A">
            <w:pPr>
              <w:rPr>
                <w:rFonts w:eastAsia="Times New Roman" w:cs="Arial"/>
                <w:kern w:val="0"/>
                <w:sz w:val="22"/>
                <w:szCs w:val="22"/>
                <w14:ligatures w14:val="none"/>
              </w:rPr>
            </w:pPr>
            <w:r w:rsidRPr="00E7526A">
              <w:rPr>
                <w:rFonts w:eastAsia="Times New Roman" w:cs="Arial"/>
                <w:kern w:val="0"/>
                <w:sz w:val="22"/>
                <w:szCs w:val="22"/>
                <w14:ligatures w14:val="none"/>
              </w:rPr>
              <w:t>Retain the mandatory minimum for first offenses but reduce the mandatory minimum for second offenses to a year and a day.</w:t>
            </w:r>
          </w:p>
        </w:tc>
      </w:tr>
      <w:tr w:rsidR="00E7526A" w:rsidRPr="00E7526A" w14:paraId="50CF8723" w14:textId="77777777" w:rsidTr="00E7526A">
        <w:tc>
          <w:tcPr>
            <w:tcW w:w="0" w:type="auto"/>
            <w:hideMark/>
          </w:tcPr>
          <w:p w14:paraId="50DC033B" w14:textId="77777777" w:rsidR="00E7526A" w:rsidRPr="001274D9" w:rsidRDefault="00E7526A" w:rsidP="00430585">
            <w:pPr>
              <w:pStyle w:val="ListParagraph"/>
              <w:numPr>
                <w:ilvl w:val="0"/>
                <w:numId w:val="6"/>
              </w:numPr>
              <w:rPr>
                <w:rFonts w:eastAsia="Times New Roman" w:cs="Arial"/>
                <w:kern w:val="0"/>
                <w:sz w:val="22"/>
                <w:szCs w:val="22"/>
                <w14:ligatures w14:val="none"/>
              </w:rPr>
            </w:pPr>
            <w:r w:rsidRPr="001274D9">
              <w:rPr>
                <w:rFonts w:eastAsia="Times New Roman" w:cs="Arial"/>
                <w:kern w:val="0"/>
                <w:sz w:val="22"/>
                <w:szCs w:val="22"/>
                <w14:ligatures w14:val="none"/>
              </w:rPr>
              <w:t>Substantially reform</w:t>
            </w:r>
          </w:p>
        </w:tc>
        <w:tc>
          <w:tcPr>
            <w:tcW w:w="0" w:type="auto"/>
            <w:hideMark/>
          </w:tcPr>
          <w:p w14:paraId="2374BEFC" w14:textId="77777777" w:rsidR="00E7526A" w:rsidRPr="00E7526A" w:rsidRDefault="00E7526A" w:rsidP="00E7526A">
            <w:pPr>
              <w:rPr>
                <w:rFonts w:eastAsia="Times New Roman" w:cs="Arial"/>
                <w:kern w:val="0"/>
                <w:sz w:val="22"/>
                <w:szCs w:val="22"/>
                <w14:ligatures w14:val="none"/>
              </w:rPr>
            </w:pPr>
            <w:r w:rsidRPr="00E7526A">
              <w:rPr>
                <w:rFonts w:eastAsia="Times New Roman" w:cs="Arial"/>
                <w:kern w:val="0"/>
                <w:sz w:val="22"/>
                <w:szCs w:val="22"/>
                <w14:ligatures w14:val="none"/>
              </w:rPr>
              <w:t>Eliminate mandatory minimums for both first and second offenses.</w:t>
            </w:r>
          </w:p>
        </w:tc>
      </w:tr>
      <w:tr w:rsidR="00E7526A" w:rsidRPr="00E7526A" w14:paraId="1517A818" w14:textId="77777777" w:rsidTr="00E7526A">
        <w:tc>
          <w:tcPr>
            <w:tcW w:w="0" w:type="auto"/>
            <w:hideMark/>
          </w:tcPr>
          <w:p w14:paraId="44802F65" w14:textId="77777777" w:rsidR="00E7526A" w:rsidRPr="001274D9" w:rsidRDefault="00E7526A" w:rsidP="00430585">
            <w:pPr>
              <w:pStyle w:val="ListParagraph"/>
              <w:numPr>
                <w:ilvl w:val="0"/>
                <w:numId w:val="6"/>
              </w:numPr>
              <w:rPr>
                <w:rFonts w:eastAsia="Times New Roman" w:cs="Arial"/>
                <w:kern w:val="0"/>
                <w:sz w:val="22"/>
                <w:szCs w:val="22"/>
                <w14:ligatures w14:val="none"/>
              </w:rPr>
            </w:pPr>
            <w:r w:rsidRPr="001274D9">
              <w:rPr>
                <w:rFonts w:eastAsia="Times New Roman" w:cs="Arial"/>
                <w:kern w:val="0"/>
                <w:sz w:val="22"/>
                <w:szCs w:val="22"/>
                <w14:ligatures w14:val="none"/>
              </w:rPr>
              <w:t>Other</w:t>
            </w:r>
          </w:p>
        </w:tc>
        <w:tc>
          <w:tcPr>
            <w:tcW w:w="0" w:type="auto"/>
          </w:tcPr>
          <w:p w14:paraId="04A6FBD4" w14:textId="10190EAB" w:rsidR="00E7526A" w:rsidRPr="00E7526A" w:rsidRDefault="00E7526A" w:rsidP="00E7526A">
            <w:pPr>
              <w:rPr>
                <w:rFonts w:eastAsia="Times New Roman" w:cs="Arial"/>
                <w:kern w:val="0"/>
                <w:sz w:val="22"/>
                <w:szCs w:val="22"/>
                <w14:ligatures w14:val="none"/>
              </w:rPr>
            </w:pPr>
          </w:p>
        </w:tc>
      </w:tr>
      <w:tr w:rsidR="00E7526A" w:rsidRPr="00E7526A" w14:paraId="1F849C1E" w14:textId="77777777" w:rsidTr="00E7526A">
        <w:tc>
          <w:tcPr>
            <w:tcW w:w="0" w:type="auto"/>
          </w:tcPr>
          <w:p w14:paraId="649F589B" w14:textId="368F64FA" w:rsidR="00E7526A" w:rsidRPr="001274D9" w:rsidRDefault="00E7526A" w:rsidP="00430585">
            <w:pPr>
              <w:pStyle w:val="ListParagraph"/>
              <w:numPr>
                <w:ilvl w:val="0"/>
                <w:numId w:val="6"/>
              </w:numPr>
              <w:rPr>
                <w:rFonts w:eastAsia="Times New Roman" w:cs="Arial"/>
                <w:kern w:val="0"/>
                <w:sz w:val="22"/>
                <w:szCs w:val="22"/>
                <w14:ligatures w14:val="none"/>
              </w:rPr>
            </w:pPr>
            <w:r w:rsidRPr="001274D9">
              <w:rPr>
                <w:rFonts w:eastAsia="Times New Roman" w:cs="Arial"/>
                <w:kern w:val="0"/>
                <w:sz w:val="22"/>
                <w:szCs w:val="22"/>
                <w14:ligatures w14:val="none"/>
              </w:rPr>
              <w:t>No change</w:t>
            </w:r>
          </w:p>
        </w:tc>
        <w:tc>
          <w:tcPr>
            <w:tcW w:w="0" w:type="auto"/>
          </w:tcPr>
          <w:p w14:paraId="50170E18" w14:textId="36219AB2" w:rsidR="00E7526A" w:rsidRPr="00E7526A" w:rsidRDefault="00E7526A" w:rsidP="00E7526A">
            <w:pPr>
              <w:rPr>
                <w:rFonts w:eastAsia="Times New Roman" w:cs="Arial"/>
                <w:kern w:val="0"/>
                <w:sz w:val="22"/>
                <w:szCs w:val="22"/>
                <w14:ligatures w14:val="none"/>
              </w:rPr>
            </w:pPr>
            <w:r w:rsidRPr="00E7526A">
              <w:rPr>
                <w:rFonts w:eastAsia="Times New Roman" w:cs="Arial"/>
                <w:kern w:val="0"/>
                <w:sz w:val="22"/>
                <w:szCs w:val="22"/>
                <w14:ligatures w14:val="none"/>
              </w:rPr>
              <w:t>Retain the current structure (year-and-a-day mandatory minimum for first offenses; two-year mandatory minimum for second offenses).</w:t>
            </w:r>
          </w:p>
        </w:tc>
      </w:tr>
    </w:tbl>
    <w:p w14:paraId="4A0F31CC" w14:textId="77777777" w:rsidR="00E7526A" w:rsidRDefault="00E7526A" w:rsidP="00E7526A">
      <w:pPr>
        <w:spacing w:after="0" w:line="240" w:lineRule="auto"/>
        <w:rPr>
          <w:b/>
          <w:bCs/>
        </w:rPr>
      </w:pPr>
    </w:p>
    <w:p w14:paraId="5F97B3B2" w14:textId="38D49F4D" w:rsidR="007E37B2" w:rsidRPr="007E37B2" w:rsidRDefault="00E7526A" w:rsidP="00E7526A">
      <w:pPr>
        <w:spacing w:after="0" w:line="240" w:lineRule="auto"/>
        <w:rPr>
          <w:b/>
          <w:bCs/>
        </w:rPr>
      </w:pPr>
      <w:r>
        <w:rPr>
          <w:b/>
          <w:bCs/>
        </w:rPr>
        <w:t>1</w:t>
      </w:r>
      <w:r w:rsidR="001274D9">
        <w:rPr>
          <w:b/>
          <w:bCs/>
        </w:rPr>
        <w:t>6</w:t>
      </w:r>
      <w:r>
        <w:rPr>
          <w:b/>
          <w:bCs/>
        </w:rPr>
        <w:t xml:space="preserve">a. Decision Point </w:t>
      </w:r>
      <w:r w:rsidR="001274D9">
        <w:rPr>
          <w:b/>
          <w:bCs/>
        </w:rPr>
        <w:t>3-4</w:t>
      </w:r>
      <w:r>
        <w:rPr>
          <w:b/>
          <w:bCs/>
        </w:rPr>
        <w:t xml:space="preserve"> </w:t>
      </w:r>
      <w:r w:rsidR="007E37B2" w:rsidRPr="007E37B2">
        <w:rPr>
          <w:b/>
          <w:bCs/>
        </w:rPr>
        <w:t>Follow-up (only if reform is supported):</w:t>
      </w:r>
      <w:r>
        <w:rPr>
          <w:b/>
          <w:bCs/>
        </w:rPr>
        <w:t xml:space="preserve"> </w:t>
      </w:r>
      <w:r w:rsidR="007E37B2" w:rsidRPr="007E37B2">
        <w:rPr>
          <w:b/>
          <w:bCs/>
        </w:rPr>
        <w:t xml:space="preserve">If a mandatory minimum should remain for second offenses, should it be: </w:t>
      </w:r>
    </w:p>
    <w:p w14:paraId="59D59E5C" w14:textId="77777777" w:rsidR="007E37B2" w:rsidRPr="007E37B2" w:rsidRDefault="007E37B2" w:rsidP="00430585">
      <w:pPr>
        <w:pStyle w:val="ListParagraph"/>
        <w:numPr>
          <w:ilvl w:val="0"/>
          <w:numId w:val="17"/>
        </w:numPr>
        <w:spacing w:after="0" w:line="240" w:lineRule="auto"/>
      </w:pPr>
      <w:r w:rsidRPr="007E37B2">
        <w:t xml:space="preserve">Two years (current law)? </w:t>
      </w:r>
    </w:p>
    <w:p w14:paraId="7329226F" w14:textId="77777777" w:rsidR="007E37B2" w:rsidRPr="007E37B2" w:rsidRDefault="007E37B2" w:rsidP="00430585">
      <w:pPr>
        <w:pStyle w:val="ListParagraph"/>
        <w:numPr>
          <w:ilvl w:val="0"/>
          <w:numId w:val="17"/>
        </w:numPr>
        <w:spacing w:after="0" w:line="240" w:lineRule="auto"/>
      </w:pPr>
      <w:r w:rsidRPr="007E37B2">
        <w:t xml:space="preserve">One year and a day? </w:t>
      </w:r>
    </w:p>
    <w:p w14:paraId="0C1AF590" w14:textId="77777777" w:rsidR="007E37B2" w:rsidRPr="007E37B2" w:rsidRDefault="007E37B2" w:rsidP="00430585">
      <w:pPr>
        <w:pStyle w:val="ListParagraph"/>
        <w:numPr>
          <w:ilvl w:val="0"/>
          <w:numId w:val="17"/>
        </w:numPr>
        <w:spacing w:after="0" w:line="240" w:lineRule="auto"/>
      </w:pPr>
      <w:r w:rsidRPr="007E37B2">
        <w:t>Another duration: __________?</w:t>
      </w:r>
    </w:p>
    <w:p w14:paraId="6F906936" w14:textId="77777777" w:rsidR="007A3EC4" w:rsidRDefault="007A3EC4" w:rsidP="00973A0E">
      <w:pPr>
        <w:spacing w:after="0" w:line="240" w:lineRule="auto"/>
        <w:rPr>
          <w:b/>
          <w:bCs/>
        </w:rPr>
      </w:pPr>
    </w:p>
    <w:sectPr w:rsidR="007A3EC4" w:rsidSect="001274D9">
      <w:type w:val="continuous"/>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Atella" w:date="2026-06-03T15:19:00Z" w:initials="JA">
    <w:p w14:paraId="407545BC" w14:textId="77777777" w:rsidR="00E77F45" w:rsidRDefault="00400ECA" w:rsidP="00E77F45">
      <w:pPr>
        <w:pStyle w:val="CommentText"/>
      </w:pPr>
      <w:r>
        <w:rPr>
          <w:rStyle w:val="CommentReference"/>
        </w:rPr>
        <w:annotationRef/>
      </w:r>
      <w:r w:rsidR="00E77F45">
        <w:t xml:space="preserve">Replaced Nate’s list with table, but here is the list if preferred: </w:t>
      </w:r>
    </w:p>
    <w:p w14:paraId="6E011ABB" w14:textId="77777777" w:rsidR="00E77F45" w:rsidRDefault="00E77F45" w:rsidP="00430585">
      <w:pPr>
        <w:pStyle w:val="CommentText"/>
        <w:numPr>
          <w:ilvl w:val="0"/>
          <w:numId w:val="3"/>
        </w:numPr>
      </w:pPr>
      <w:r>
        <w:t>Tier 0: While technically possessing a firearm, but not on one’s person or in immediate reach</w:t>
      </w:r>
    </w:p>
    <w:p w14:paraId="3B6B652E" w14:textId="77777777" w:rsidR="00E77F45" w:rsidRDefault="00E77F45" w:rsidP="00430585">
      <w:pPr>
        <w:pStyle w:val="CommentText"/>
        <w:numPr>
          <w:ilvl w:val="0"/>
          <w:numId w:val="3"/>
        </w:numPr>
      </w:pPr>
      <w:r>
        <w:t>Tier 1: By using (brandishing, displaying, threatening, etc.) a dangerous weapon other than a firearm</w:t>
      </w:r>
    </w:p>
    <w:p w14:paraId="22156942" w14:textId="77777777" w:rsidR="00E77F45" w:rsidRDefault="00E77F45" w:rsidP="00430585">
      <w:pPr>
        <w:pStyle w:val="CommentText"/>
        <w:numPr>
          <w:ilvl w:val="0"/>
          <w:numId w:val="3"/>
        </w:numPr>
      </w:pPr>
      <w:r>
        <w:t>Tier 1: While possessing a firearm on one’s person or in immediate reach</w:t>
      </w:r>
    </w:p>
    <w:p w14:paraId="2A73D0C2" w14:textId="77777777" w:rsidR="00E77F45" w:rsidRDefault="00E77F45" w:rsidP="00430585">
      <w:pPr>
        <w:pStyle w:val="CommentText"/>
        <w:numPr>
          <w:ilvl w:val="0"/>
          <w:numId w:val="3"/>
        </w:numPr>
      </w:pPr>
      <w:r>
        <w:t>Tier 2: While possessing a firearm on one’s person or in immediate reach when the possession was prohibited due to a prior crime of violence conviction or juvenile adjudication</w:t>
      </w:r>
    </w:p>
    <w:p w14:paraId="381C7CC4" w14:textId="77777777" w:rsidR="00E77F45" w:rsidRDefault="00E77F45" w:rsidP="00430585">
      <w:pPr>
        <w:pStyle w:val="CommentText"/>
        <w:numPr>
          <w:ilvl w:val="0"/>
          <w:numId w:val="3"/>
        </w:numPr>
      </w:pPr>
      <w:r>
        <w:t>Tier 3: By using (brandishing, displaying, threatening, etc.) a firearm to commit the offense</w:t>
      </w:r>
    </w:p>
    <w:p w14:paraId="37EB4053" w14:textId="77777777" w:rsidR="00E77F45" w:rsidRDefault="00E77F45" w:rsidP="00430585">
      <w:pPr>
        <w:pStyle w:val="CommentText"/>
        <w:numPr>
          <w:ilvl w:val="0"/>
          <w:numId w:val="3"/>
        </w:numPr>
      </w:pPr>
      <w:r>
        <w:t>Tier 4: By using a firearm to commit the offense when the use was prohibited due to a prior crime conviction or juvenile adjudication</w:t>
      </w:r>
    </w:p>
    <w:p w14:paraId="570F70D0" w14:textId="77777777" w:rsidR="00E77F45" w:rsidRDefault="00E77F45" w:rsidP="00430585">
      <w:pPr>
        <w:pStyle w:val="CommentText"/>
        <w:numPr>
          <w:ilvl w:val="0"/>
          <w:numId w:val="3"/>
        </w:numPr>
      </w:pPr>
      <w:r>
        <w:t>Tier 5: By using a firearm to commit the designated offense, after a previous, non-decayed sentence for using a firearm to commit a designated offense</w:t>
      </w:r>
    </w:p>
    <w:p w14:paraId="448A5181" w14:textId="77777777" w:rsidR="00E77F45" w:rsidRDefault="00E77F45" w:rsidP="00430585">
      <w:pPr>
        <w:pStyle w:val="CommentText"/>
        <w:numPr>
          <w:ilvl w:val="0"/>
          <w:numId w:val="3"/>
        </w:numPr>
      </w:pPr>
      <w:r>
        <w:t>Tier 5: Discharging the firearm used to commit the designated crime</w:t>
      </w:r>
    </w:p>
  </w:comment>
  <w:comment w:id="1" w:author="Julie Atella" w:date="2026-06-03T19:30:00Z" w:initials="JA">
    <w:p w14:paraId="146E1F0B" w14:textId="77777777" w:rsidR="009C688E" w:rsidRDefault="009C688E" w:rsidP="009C688E">
      <w:pPr>
        <w:pStyle w:val="CommentText"/>
      </w:pPr>
      <w:r>
        <w:rPr>
          <w:rStyle w:val="CommentReference"/>
        </w:rPr>
        <w:annotationRef/>
      </w:r>
      <w:r>
        <w:t xml:space="preserve">Note, this is another way of discussing it, but it felt overwhelming/hard to explain, so I created a the two step process above. </w:t>
      </w:r>
    </w:p>
    <w:p w14:paraId="5FA9A037" w14:textId="77777777" w:rsidR="009C688E" w:rsidRDefault="009C688E" w:rsidP="009C688E">
      <w:pPr>
        <w:pStyle w:val="CommentText"/>
      </w:pPr>
    </w:p>
    <w:p w14:paraId="713C752C" w14:textId="77777777" w:rsidR="009C688E" w:rsidRDefault="009C688E" w:rsidP="009C688E">
      <w:pPr>
        <w:pStyle w:val="CommentText"/>
      </w:pPr>
      <w:r>
        <w:t>I defer to @Nate and @Kelly as to which way to 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8A5181" w15:done="0"/>
  <w15:commentEx w15:paraId="713C7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E0120" w16cex:dateUtc="2026-06-03T20:19:00Z"/>
  <w16cex:commentExtensible w16cex:durableId="3986488A" w16cex:dateUtc="2026-06-04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8A5181" w16cid:durableId="309E0120"/>
  <w16cid:commentId w16cid:paraId="713C752C" w16cid:durableId="39864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749A" w14:textId="77777777" w:rsidR="00C7164F" w:rsidRDefault="00C7164F" w:rsidP="00B134D1">
      <w:pPr>
        <w:spacing w:after="0" w:line="240" w:lineRule="auto"/>
      </w:pPr>
      <w:r>
        <w:separator/>
      </w:r>
    </w:p>
  </w:endnote>
  <w:endnote w:type="continuationSeparator" w:id="0">
    <w:p w14:paraId="459E5EFC" w14:textId="77777777" w:rsidR="00C7164F" w:rsidRDefault="00C7164F" w:rsidP="00B1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FA78" w14:textId="77777777" w:rsidR="00C7164F" w:rsidRDefault="00C7164F" w:rsidP="00B134D1">
      <w:pPr>
        <w:spacing w:after="0" w:line="240" w:lineRule="auto"/>
      </w:pPr>
      <w:r>
        <w:separator/>
      </w:r>
    </w:p>
  </w:footnote>
  <w:footnote w:type="continuationSeparator" w:id="0">
    <w:p w14:paraId="051D1EE3" w14:textId="77777777" w:rsidR="00C7164F" w:rsidRDefault="00C7164F" w:rsidP="00B1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FC78" w14:textId="6D441285" w:rsidR="00B134D1" w:rsidRDefault="00B134D1">
    <w:pPr>
      <w:pStyle w:val="Header"/>
    </w:pPr>
    <w:r>
      <w:rPr>
        <w:b/>
        <w:bCs/>
        <w:smallCaps/>
        <w:noProof/>
        <w:spacing w:val="5"/>
      </w:rPr>
      <w:drawing>
        <wp:inline distT="0" distB="0" distL="0" distR="0" wp14:anchorId="67876C3A" wp14:editId="1EA3D5C7">
          <wp:extent cx="2406013" cy="735011"/>
          <wp:effectExtent l="0" t="0" r="0" b="8255"/>
          <wp:docPr id="1886459383" name="Graphic 1" descr="Minnesota Task Force on Mandatory Minimum Sent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59383" name="Graphic 1" descr="Minnesota Task Force on Mandatory Minimum Sentences Logo"/>
                  <pic:cNvPicPr/>
                </pic:nvPicPr>
                <pic:blipFill>
                  <a:blip r:embed="rId1">
                    <a:extLst>
                      <a:ext uri="{96DAC541-7B7A-43D3-8B79-37D633B846F1}">
                        <asvg:svgBlip xmlns:asvg="http://schemas.microsoft.com/office/drawing/2016/SVG/main" r:embed="rId2"/>
                      </a:ext>
                    </a:extLst>
                  </a:blip>
                  <a:stretch>
                    <a:fillRect/>
                  </a:stretch>
                </pic:blipFill>
                <pic:spPr>
                  <a:xfrm>
                    <a:off x="0" y="0"/>
                    <a:ext cx="2424175" cy="7405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75pt" o:bullet="t">
        <v:imagedata r:id="rId1" o:title="Art_Bullet_Green-Svc-Descr"/>
      </v:shape>
    </w:pict>
  </w:numPicBullet>
  <w:abstractNum w:abstractNumId="0" w15:restartNumberingAfterBreak="0">
    <w:nsid w:val="00F260BC"/>
    <w:multiLevelType w:val="hybridMultilevel"/>
    <w:tmpl w:val="848C60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D6090"/>
    <w:multiLevelType w:val="hybridMultilevel"/>
    <w:tmpl w:val="312834CC"/>
    <w:lvl w:ilvl="0" w:tplc="2C8EC6A4">
      <w:start w:val="1"/>
      <w:numFmt w:val="decimal"/>
      <w:lvlText w:val="%1."/>
      <w:lvlJc w:val="left"/>
      <w:pPr>
        <w:ind w:left="720" w:hanging="360"/>
      </w:pPr>
      <w:rPr>
        <w:b/>
        <w:bCs/>
      </w:rPr>
    </w:lvl>
    <w:lvl w:ilvl="1" w:tplc="6178C4D2">
      <w:numFmt w:val="bullet"/>
      <w:lvlText w:val="·"/>
      <w:lvlJc w:val="left"/>
      <w:pPr>
        <w:ind w:left="1545" w:hanging="465"/>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20FE4"/>
    <w:multiLevelType w:val="hybridMultilevel"/>
    <w:tmpl w:val="D95090E8"/>
    <w:lvl w:ilvl="0" w:tplc="04090017">
      <w:start w:val="1"/>
      <w:numFmt w:val="lowerLetter"/>
      <w:lvlText w:val="%1)"/>
      <w:lvlJc w:val="left"/>
      <w:pPr>
        <w:ind w:left="1080" w:hanging="360"/>
      </w:pPr>
      <w:rPr>
        <w:rFonts w:hint="default"/>
        <w:color w:val="auto"/>
      </w:rPr>
    </w:lvl>
    <w:lvl w:ilvl="1" w:tplc="FFFFFFFF">
      <w:start w:val="1"/>
      <w:numFmt w:val="bullet"/>
      <w:lvlText w:val=""/>
      <w:lvlPicBulletId w:val="0"/>
      <w:lvlJc w:val="left"/>
      <w:pPr>
        <w:ind w:left="3240" w:hanging="360"/>
      </w:pPr>
      <w:rPr>
        <w:rFonts w:ascii="Symbol" w:hAnsi="Symbol" w:hint="default"/>
        <w:color w:val="auto"/>
      </w:rPr>
    </w:lvl>
    <w:lvl w:ilvl="2" w:tplc="FFFFFFFF">
      <w:start w:val="3"/>
      <w:numFmt w:val="bullet"/>
      <w:lvlText w:val="·"/>
      <w:lvlJc w:val="left"/>
      <w:pPr>
        <w:ind w:left="2625" w:hanging="465"/>
      </w:pPr>
      <w:rPr>
        <w:rFonts w:ascii="Aptos" w:eastAsiaTheme="minorHAnsi" w:hAnsi="Aptos" w:cstheme="minorBid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70652B"/>
    <w:multiLevelType w:val="multilevel"/>
    <w:tmpl w:val="E4C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73B05"/>
    <w:multiLevelType w:val="hybridMultilevel"/>
    <w:tmpl w:val="E3EC9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9768B"/>
    <w:multiLevelType w:val="hybridMultilevel"/>
    <w:tmpl w:val="5EEAA5CA"/>
    <w:lvl w:ilvl="0" w:tplc="934063F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91A54"/>
    <w:multiLevelType w:val="hybridMultilevel"/>
    <w:tmpl w:val="671AA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11C24"/>
    <w:multiLevelType w:val="hybridMultilevel"/>
    <w:tmpl w:val="669034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E93DE6"/>
    <w:multiLevelType w:val="hybridMultilevel"/>
    <w:tmpl w:val="FACA9E8A"/>
    <w:lvl w:ilvl="0" w:tplc="FFFFFFFF">
      <w:start w:val="1"/>
      <w:numFmt w:val="decimal"/>
      <w:lvlText w:val="%1."/>
      <w:lvlJc w:val="left"/>
      <w:pPr>
        <w:ind w:left="720" w:hanging="360"/>
      </w:pPr>
    </w:lvl>
    <w:lvl w:ilvl="1" w:tplc="04090017">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527C83"/>
    <w:multiLevelType w:val="hybridMultilevel"/>
    <w:tmpl w:val="EB0CD0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627559"/>
    <w:multiLevelType w:val="multilevel"/>
    <w:tmpl w:val="32847F38"/>
    <w:lvl w:ilvl="0">
      <w:start w:val="1"/>
      <w:numFmt w:val="lowerLetter"/>
      <w:lvlText w:val="%1)"/>
      <w:lvlJc w:val="left"/>
      <w:pPr>
        <w:tabs>
          <w:tab w:val="num" w:pos="720"/>
        </w:tabs>
        <w:ind w:left="720" w:hanging="360"/>
      </w:pPr>
      <w:rPr>
        <w:rFonts w:hint="default"/>
        <w:color w:val="auto"/>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D40B6"/>
    <w:multiLevelType w:val="hybridMultilevel"/>
    <w:tmpl w:val="FBB4E6C8"/>
    <w:lvl w:ilvl="0" w:tplc="04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236E30"/>
    <w:multiLevelType w:val="hybridMultilevel"/>
    <w:tmpl w:val="8F16AB64"/>
    <w:lvl w:ilvl="0" w:tplc="04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D1450E"/>
    <w:multiLevelType w:val="hybridMultilevel"/>
    <w:tmpl w:val="C5AA84B0"/>
    <w:lvl w:ilvl="0" w:tplc="EF588ECE">
      <w:start w:val="1"/>
      <w:numFmt w:val="bullet"/>
      <w:lvlText w:val=""/>
      <w:lvlJc w:val="left"/>
      <w:pPr>
        <w:ind w:left="1440" w:hanging="360"/>
      </w:pPr>
      <w:rPr>
        <w:rFonts w:ascii="Symbol" w:hAnsi="Symbol"/>
      </w:rPr>
    </w:lvl>
    <w:lvl w:ilvl="1" w:tplc="E0DCD71C">
      <w:start w:val="1"/>
      <w:numFmt w:val="bullet"/>
      <w:lvlText w:val=""/>
      <w:lvlJc w:val="left"/>
      <w:pPr>
        <w:ind w:left="1440" w:hanging="360"/>
      </w:pPr>
      <w:rPr>
        <w:rFonts w:ascii="Symbol" w:hAnsi="Symbol"/>
      </w:rPr>
    </w:lvl>
    <w:lvl w:ilvl="2" w:tplc="01C89B96">
      <w:start w:val="1"/>
      <w:numFmt w:val="bullet"/>
      <w:lvlText w:val=""/>
      <w:lvlJc w:val="left"/>
      <w:pPr>
        <w:ind w:left="1440" w:hanging="360"/>
      </w:pPr>
      <w:rPr>
        <w:rFonts w:ascii="Symbol" w:hAnsi="Symbol"/>
      </w:rPr>
    </w:lvl>
    <w:lvl w:ilvl="3" w:tplc="5CCA3FB2">
      <w:start w:val="1"/>
      <w:numFmt w:val="bullet"/>
      <w:lvlText w:val=""/>
      <w:lvlJc w:val="left"/>
      <w:pPr>
        <w:ind w:left="1440" w:hanging="360"/>
      </w:pPr>
      <w:rPr>
        <w:rFonts w:ascii="Symbol" w:hAnsi="Symbol"/>
      </w:rPr>
    </w:lvl>
    <w:lvl w:ilvl="4" w:tplc="E474F8F6">
      <w:start w:val="1"/>
      <w:numFmt w:val="bullet"/>
      <w:lvlText w:val=""/>
      <w:lvlJc w:val="left"/>
      <w:pPr>
        <w:ind w:left="1440" w:hanging="360"/>
      </w:pPr>
      <w:rPr>
        <w:rFonts w:ascii="Symbol" w:hAnsi="Symbol"/>
      </w:rPr>
    </w:lvl>
    <w:lvl w:ilvl="5" w:tplc="773CC790">
      <w:start w:val="1"/>
      <w:numFmt w:val="bullet"/>
      <w:lvlText w:val=""/>
      <w:lvlJc w:val="left"/>
      <w:pPr>
        <w:ind w:left="1440" w:hanging="360"/>
      </w:pPr>
      <w:rPr>
        <w:rFonts w:ascii="Symbol" w:hAnsi="Symbol"/>
      </w:rPr>
    </w:lvl>
    <w:lvl w:ilvl="6" w:tplc="5BAEB53C">
      <w:start w:val="1"/>
      <w:numFmt w:val="bullet"/>
      <w:lvlText w:val=""/>
      <w:lvlJc w:val="left"/>
      <w:pPr>
        <w:ind w:left="1440" w:hanging="360"/>
      </w:pPr>
      <w:rPr>
        <w:rFonts w:ascii="Symbol" w:hAnsi="Symbol"/>
      </w:rPr>
    </w:lvl>
    <w:lvl w:ilvl="7" w:tplc="451CCB5E">
      <w:start w:val="1"/>
      <w:numFmt w:val="bullet"/>
      <w:lvlText w:val=""/>
      <w:lvlJc w:val="left"/>
      <w:pPr>
        <w:ind w:left="1440" w:hanging="360"/>
      </w:pPr>
      <w:rPr>
        <w:rFonts w:ascii="Symbol" w:hAnsi="Symbol"/>
      </w:rPr>
    </w:lvl>
    <w:lvl w:ilvl="8" w:tplc="4C3E3AB2">
      <w:start w:val="1"/>
      <w:numFmt w:val="bullet"/>
      <w:lvlText w:val=""/>
      <w:lvlJc w:val="left"/>
      <w:pPr>
        <w:ind w:left="1440" w:hanging="360"/>
      </w:pPr>
      <w:rPr>
        <w:rFonts w:ascii="Symbol" w:hAnsi="Symbol"/>
      </w:rPr>
    </w:lvl>
  </w:abstractNum>
  <w:abstractNum w:abstractNumId="14" w15:restartNumberingAfterBreak="0">
    <w:nsid w:val="634925C8"/>
    <w:multiLevelType w:val="hybridMultilevel"/>
    <w:tmpl w:val="614E708E"/>
    <w:lvl w:ilvl="0" w:tplc="04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F645EF"/>
    <w:multiLevelType w:val="hybridMultilevel"/>
    <w:tmpl w:val="3D822950"/>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0A726A"/>
    <w:multiLevelType w:val="hybridMultilevel"/>
    <w:tmpl w:val="4F3CFF68"/>
    <w:lvl w:ilvl="0" w:tplc="04090017">
      <w:start w:val="1"/>
      <w:numFmt w:val="lowerLetter"/>
      <w:lvlText w:val="%1)"/>
      <w:lvlJc w:val="left"/>
      <w:pPr>
        <w:ind w:left="1080" w:hanging="360"/>
      </w:pPr>
      <w:rPr>
        <w:rFonts w:hint="default"/>
        <w:color w:val="auto"/>
      </w:rPr>
    </w:lvl>
    <w:lvl w:ilvl="1" w:tplc="FFFFFFFF">
      <w:start w:val="1"/>
      <w:numFmt w:val="bullet"/>
      <w:lvlText w:val=""/>
      <w:lvlPicBulletId w:val="0"/>
      <w:lvlJc w:val="left"/>
      <w:pPr>
        <w:ind w:left="1800" w:hanging="360"/>
      </w:pPr>
      <w:rPr>
        <w:rFonts w:ascii="Symbol" w:hAnsi="Symbol"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E005301"/>
    <w:multiLevelType w:val="hybridMultilevel"/>
    <w:tmpl w:val="0EB20EDC"/>
    <w:lvl w:ilvl="0" w:tplc="04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F1214C"/>
    <w:multiLevelType w:val="hybridMultilevel"/>
    <w:tmpl w:val="4356AB5E"/>
    <w:lvl w:ilvl="0" w:tplc="04090017">
      <w:start w:val="1"/>
      <w:numFmt w:val="lowerLetter"/>
      <w:lvlText w:val="%1)"/>
      <w:lvlJc w:val="left"/>
      <w:pPr>
        <w:ind w:left="720" w:hanging="360"/>
      </w:pPr>
      <w:rPr>
        <w:rFonts w:hint="default"/>
        <w:color w:val="auto"/>
      </w:rPr>
    </w:lvl>
    <w:lvl w:ilvl="1" w:tplc="FFFFFFFF">
      <w:numFmt w:val="bullet"/>
      <w:lvlText w:val="·"/>
      <w:lvlJc w:val="left"/>
      <w:pPr>
        <w:ind w:left="1545" w:hanging="465"/>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3344092">
    <w:abstractNumId w:val="3"/>
  </w:num>
  <w:num w:numId="2" w16cid:durableId="595528443">
    <w:abstractNumId w:val="1"/>
  </w:num>
  <w:num w:numId="3" w16cid:durableId="553388278">
    <w:abstractNumId w:val="13"/>
  </w:num>
  <w:num w:numId="4" w16cid:durableId="1999840917">
    <w:abstractNumId w:val="9"/>
  </w:num>
  <w:num w:numId="5" w16cid:durableId="1568107048">
    <w:abstractNumId w:val="7"/>
  </w:num>
  <w:num w:numId="6" w16cid:durableId="1353922900">
    <w:abstractNumId w:val="4"/>
  </w:num>
  <w:num w:numId="7" w16cid:durableId="430785199">
    <w:abstractNumId w:val="0"/>
  </w:num>
  <w:num w:numId="8" w16cid:durableId="316885564">
    <w:abstractNumId w:val="14"/>
  </w:num>
  <w:num w:numId="9" w16cid:durableId="285161478">
    <w:abstractNumId w:val="17"/>
  </w:num>
  <w:num w:numId="10" w16cid:durableId="1388264354">
    <w:abstractNumId w:val="11"/>
  </w:num>
  <w:num w:numId="11" w16cid:durableId="556286320">
    <w:abstractNumId w:val="6"/>
  </w:num>
  <w:num w:numId="12" w16cid:durableId="1275941635">
    <w:abstractNumId w:val="2"/>
  </w:num>
  <w:num w:numId="13" w16cid:durableId="581715920">
    <w:abstractNumId w:val="16"/>
  </w:num>
  <w:num w:numId="14" w16cid:durableId="146674122">
    <w:abstractNumId w:val="18"/>
  </w:num>
  <w:num w:numId="15" w16cid:durableId="1562866325">
    <w:abstractNumId w:val="8"/>
  </w:num>
  <w:num w:numId="16" w16cid:durableId="1880511116">
    <w:abstractNumId w:val="12"/>
  </w:num>
  <w:num w:numId="17" w16cid:durableId="831676493">
    <w:abstractNumId w:val="10"/>
  </w:num>
  <w:num w:numId="18" w16cid:durableId="1039470480">
    <w:abstractNumId w:val="5"/>
  </w:num>
  <w:num w:numId="19" w16cid:durableId="339359387">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Atella">
    <w15:presenceInfo w15:providerId="AD" w15:userId="S::julie.atella@wilder.org::c79fa5d5-6ced-405d-81c3-3cb6cb9ee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BFujV8mUNp9nmRPFJRDwaNbse1A5acX2b7ImZaEuJuxh6HJoRt/QHvwN9N/HZW5L4TBhxWhQ2CMK2sTt0qODg==" w:salt="fcuYL/li2XrH60TVcaK2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62"/>
    <w:rsid w:val="00056FD8"/>
    <w:rsid w:val="000C4AB5"/>
    <w:rsid w:val="000F4188"/>
    <w:rsid w:val="001274D9"/>
    <w:rsid w:val="002A544A"/>
    <w:rsid w:val="00382708"/>
    <w:rsid w:val="00400ECA"/>
    <w:rsid w:val="00430585"/>
    <w:rsid w:val="004F625F"/>
    <w:rsid w:val="005B44BE"/>
    <w:rsid w:val="00673523"/>
    <w:rsid w:val="006820AF"/>
    <w:rsid w:val="006C6867"/>
    <w:rsid w:val="006C75E1"/>
    <w:rsid w:val="006E3725"/>
    <w:rsid w:val="0070084F"/>
    <w:rsid w:val="00762748"/>
    <w:rsid w:val="007A3EC4"/>
    <w:rsid w:val="007B7872"/>
    <w:rsid w:val="007E37B2"/>
    <w:rsid w:val="00806768"/>
    <w:rsid w:val="00844D7D"/>
    <w:rsid w:val="008925E6"/>
    <w:rsid w:val="00965962"/>
    <w:rsid w:val="00973A0E"/>
    <w:rsid w:val="009B5775"/>
    <w:rsid w:val="009C688E"/>
    <w:rsid w:val="00A010F4"/>
    <w:rsid w:val="00AA74B5"/>
    <w:rsid w:val="00B134D1"/>
    <w:rsid w:val="00C04B1D"/>
    <w:rsid w:val="00C32160"/>
    <w:rsid w:val="00C466BD"/>
    <w:rsid w:val="00C7164F"/>
    <w:rsid w:val="00CE3058"/>
    <w:rsid w:val="00D26C51"/>
    <w:rsid w:val="00DD182C"/>
    <w:rsid w:val="00E7526A"/>
    <w:rsid w:val="00E77F45"/>
    <w:rsid w:val="00F9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4B8C3E"/>
  <w15:chartTrackingRefBased/>
  <w15:docId w15:val="{75C3AC03-2726-4D4C-A419-F8D3F1C4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5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5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65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5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5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65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62"/>
    <w:rPr>
      <w:rFonts w:eastAsiaTheme="majorEastAsia" w:cstheme="majorBidi"/>
      <w:color w:val="272727" w:themeColor="text1" w:themeTint="D8"/>
    </w:rPr>
  </w:style>
  <w:style w:type="paragraph" w:styleId="Title">
    <w:name w:val="Title"/>
    <w:basedOn w:val="Normal"/>
    <w:next w:val="Normal"/>
    <w:link w:val="TitleChar"/>
    <w:uiPriority w:val="10"/>
    <w:qFormat/>
    <w:rsid w:val="00965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62"/>
    <w:pPr>
      <w:spacing w:before="160"/>
      <w:jc w:val="center"/>
    </w:pPr>
    <w:rPr>
      <w:i/>
      <w:iCs/>
      <w:color w:val="404040" w:themeColor="text1" w:themeTint="BF"/>
    </w:rPr>
  </w:style>
  <w:style w:type="character" w:customStyle="1" w:styleId="QuoteChar">
    <w:name w:val="Quote Char"/>
    <w:basedOn w:val="DefaultParagraphFont"/>
    <w:link w:val="Quote"/>
    <w:uiPriority w:val="29"/>
    <w:rsid w:val="00965962"/>
    <w:rPr>
      <w:i/>
      <w:iCs/>
      <w:color w:val="404040" w:themeColor="text1" w:themeTint="BF"/>
    </w:rPr>
  </w:style>
  <w:style w:type="paragraph" w:styleId="ListParagraph">
    <w:name w:val="List Paragraph"/>
    <w:basedOn w:val="Normal"/>
    <w:uiPriority w:val="34"/>
    <w:qFormat/>
    <w:rsid w:val="00965962"/>
    <w:pPr>
      <w:ind w:left="720"/>
      <w:contextualSpacing/>
    </w:pPr>
  </w:style>
  <w:style w:type="character" w:styleId="IntenseEmphasis">
    <w:name w:val="Intense Emphasis"/>
    <w:basedOn w:val="DefaultParagraphFont"/>
    <w:uiPriority w:val="21"/>
    <w:qFormat/>
    <w:rsid w:val="00965962"/>
    <w:rPr>
      <w:i/>
      <w:iCs/>
      <w:color w:val="0F4761" w:themeColor="accent1" w:themeShade="BF"/>
    </w:rPr>
  </w:style>
  <w:style w:type="paragraph" w:styleId="IntenseQuote">
    <w:name w:val="Intense Quote"/>
    <w:basedOn w:val="Normal"/>
    <w:next w:val="Normal"/>
    <w:link w:val="IntenseQuoteChar"/>
    <w:uiPriority w:val="30"/>
    <w:qFormat/>
    <w:rsid w:val="00965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62"/>
    <w:rPr>
      <w:i/>
      <w:iCs/>
      <w:color w:val="0F4761" w:themeColor="accent1" w:themeShade="BF"/>
    </w:rPr>
  </w:style>
  <w:style w:type="character" w:styleId="IntenseReference">
    <w:name w:val="Intense Reference"/>
    <w:basedOn w:val="DefaultParagraphFont"/>
    <w:uiPriority w:val="32"/>
    <w:qFormat/>
    <w:rsid w:val="00965962"/>
    <w:rPr>
      <w:b/>
      <w:bCs/>
      <w:smallCaps/>
      <w:color w:val="0F4761" w:themeColor="accent1" w:themeShade="BF"/>
      <w:spacing w:val="5"/>
    </w:rPr>
  </w:style>
  <w:style w:type="paragraph" w:styleId="NormalWeb">
    <w:name w:val="Normal (Web)"/>
    <w:basedOn w:val="Normal"/>
    <w:uiPriority w:val="99"/>
    <w:semiHidden/>
    <w:unhideWhenUsed/>
    <w:rsid w:val="007E37B2"/>
    <w:rPr>
      <w:rFonts w:ascii="Times New Roman" w:hAnsi="Times New Roman" w:cs="Times New Roman"/>
    </w:rPr>
  </w:style>
  <w:style w:type="character" w:styleId="SubtleReference">
    <w:name w:val="Subtle Reference"/>
    <w:basedOn w:val="DefaultParagraphFont"/>
    <w:uiPriority w:val="31"/>
    <w:qFormat/>
    <w:rsid w:val="00D26C51"/>
    <w:rPr>
      <w:smallCaps/>
      <w:color w:val="5A5A5A" w:themeColor="text1" w:themeTint="A5"/>
    </w:rPr>
  </w:style>
  <w:style w:type="character" w:styleId="SubtleEmphasis">
    <w:name w:val="Subtle Emphasis"/>
    <w:basedOn w:val="DefaultParagraphFont"/>
    <w:uiPriority w:val="19"/>
    <w:qFormat/>
    <w:rsid w:val="00D26C51"/>
    <w:rPr>
      <w:i/>
      <w:iCs/>
      <w:color w:val="404040" w:themeColor="text1" w:themeTint="BF"/>
    </w:rPr>
  </w:style>
  <w:style w:type="character" w:styleId="Strong">
    <w:name w:val="Strong"/>
    <w:basedOn w:val="DefaultParagraphFont"/>
    <w:uiPriority w:val="22"/>
    <w:qFormat/>
    <w:rsid w:val="00D26C51"/>
    <w:rPr>
      <w:b/>
      <w:bCs/>
    </w:rPr>
  </w:style>
  <w:style w:type="character" w:styleId="BookTitle">
    <w:name w:val="Book Title"/>
    <w:basedOn w:val="DefaultParagraphFont"/>
    <w:uiPriority w:val="33"/>
    <w:qFormat/>
    <w:rsid w:val="00D26C51"/>
    <w:rPr>
      <w:b/>
      <w:bCs/>
      <w:i/>
      <w:iCs/>
      <w:spacing w:val="5"/>
    </w:rPr>
  </w:style>
  <w:style w:type="table" w:styleId="TableGrid">
    <w:name w:val="Table Grid"/>
    <w:basedOn w:val="TableNormal"/>
    <w:uiPriority w:val="39"/>
    <w:rsid w:val="00400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ECA"/>
    <w:rPr>
      <w:sz w:val="16"/>
      <w:szCs w:val="16"/>
    </w:rPr>
  </w:style>
  <w:style w:type="paragraph" w:styleId="CommentText">
    <w:name w:val="annotation text"/>
    <w:basedOn w:val="Normal"/>
    <w:link w:val="CommentTextChar"/>
    <w:uiPriority w:val="99"/>
    <w:unhideWhenUsed/>
    <w:rsid w:val="00400ECA"/>
    <w:pPr>
      <w:spacing w:line="240" w:lineRule="auto"/>
    </w:pPr>
    <w:rPr>
      <w:sz w:val="20"/>
      <w:szCs w:val="20"/>
    </w:rPr>
  </w:style>
  <w:style w:type="character" w:customStyle="1" w:styleId="CommentTextChar">
    <w:name w:val="Comment Text Char"/>
    <w:basedOn w:val="DefaultParagraphFont"/>
    <w:link w:val="CommentText"/>
    <w:uiPriority w:val="99"/>
    <w:rsid w:val="00400ECA"/>
    <w:rPr>
      <w:sz w:val="20"/>
      <w:szCs w:val="20"/>
    </w:rPr>
  </w:style>
  <w:style w:type="paragraph" w:styleId="CommentSubject">
    <w:name w:val="annotation subject"/>
    <w:basedOn w:val="CommentText"/>
    <w:next w:val="CommentText"/>
    <w:link w:val="CommentSubjectChar"/>
    <w:uiPriority w:val="99"/>
    <w:semiHidden/>
    <w:unhideWhenUsed/>
    <w:rsid w:val="00400ECA"/>
    <w:rPr>
      <w:b/>
      <w:bCs/>
    </w:rPr>
  </w:style>
  <w:style w:type="character" w:customStyle="1" w:styleId="CommentSubjectChar">
    <w:name w:val="Comment Subject Char"/>
    <w:basedOn w:val="CommentTextChar"/>
    <w:link w:val="CommentSubject"/>
    <w:uiPriority w:val="99"/>
    <w:semiHidden/>
    <w:rsid w:val="00400ECA"/>
    <w:rPr>
      <w:b/>
      <w:bCs/>
      <w:sz w:val="20"/>
      <w:szCs w:val="20"/>
    </w:rPr>
  </w:style>
  <w:style w:type="character" w:styleId="Emphasis">
    <w:name w:val="Emphasis"/>
    <w:basedOn w:val="DefaultParagraphFont"/>
    <w:uiPriority w:val="20"/>
    <w:qFormat/>
    <w:rsid w:val="00400ECA"/>
    <w:rPr>
      <w:i/>
      <w:iCs/>
    </w:rPr>
  </w:style>
  <w:style w:type="paragraph" w:styleId="Revision">
    <w:name w:val="Revision"/>
    <w:hidden/>
    <w:uiPriority w:val="99"/>
    <w:semiHidden/>
    <w:rsid w:val="00C32160"/>
    <w:pPr>
      <w:spacing w:after="0" w:line="240" w:lineRule="auto"/>
    </w:pPr>
  </w:style>
  <w:style w:type="paragraph" w:styleId="Header">
    <w:name w:val="header"/>
    <w:basedOn w:val="Normal"/>
    <w:link w:val="HeaderChar"/>
    <w:uiPriority w:val="99"/>
    <w:unhideWhenUsed/>
    <w:rsid w:val="00B13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4D1"/>
  </w:style>
  <w:style w:type="paragraph" w:styleId="Footer">
    <w:name w:val="footer"/>
    <w:basedOn w:val="Normal"/>
    <w:link w:val="FooterChar"/>
    <w:uiPriority w:val="99"/>
    <w:unhideWhenUsed/>
    <w:rsid w:val="00B13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2007</Words>
  <Characters>11441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Amherst H. Wilder Foundation</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Atella</dc:creator>
  <cp:keywords/>
  <dc:description/>
  <cp:lastModifiedBy>Klick, Donald (DOC)</cp:lastModifiedBy>
  <cp:revision>2</cp:revision>
  <dcterms:created xsi:type="dcterms:W3CDTF">2026-06-11T19:32:00Z</dcterms:created>
  <dcterms:modified xsi:type="dcterms:W3CDTF">2026-06-11T19:32:00Z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94f07392-e272-464b-b0ab-36a72689fd3c</vt:lpwstr>
  </property>
</Properties>
</file>