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FB3CF" w14:textId="77777777" w:rsidR="00C02AA7" w:rsidRPr="00061787" w:rsidRDefault="00C02AA7" w:rsidP="00425D10">
      <w:pPr>
        <w:pStyle w:val="Heading1"/>
        <w:spacing w:before="120"/>
        <w:rPr>
          <w:rFonts w:ascii="Brandon Grotesque Black" w:hAnsi="Brandon Grotesque Black"/>
          <w:b w:val="0"/>
          <w:bCs/>
          <w:spacing w:val="40"/>
        </w:rPr>
      </w:pPr>
      <w:bookmarkStart w:id="0" w:name="_Toc227165210"/>
      <w:bookmarkStart w:id="1" w:name="_Toc227165598"/>
      <w:bookmarkStart w:id="2" w:name="_Toc227319207"/>
      <w:bookmarkStart w:id="3" w:name="_Toc227319361"/>
      <w:r w:rsidRPr="00061787">
        <w:rPr>
          <w:rFonts w:ascii="Brandon Grotesque Black" w:hAnsi="Brandon Grotesque Black"/>
          <w:b w:val="0"/>
          <w:bCs/>
          <w:spacing w:val="40"/>
        </w:rPr>
        <w:t>MEMORANDUM</w:t>
      </w:r>
      <w:bookmarkEnd w:id="0"/>
      <w:bookmarkEnd w:id="1"/>
      <w:bookmarkEnd w:id="2"/>
      <w:bookmarkEnd w:id="3"/>
    </w:p>
    <w:p w14:paraId="3221B26A" w14:textId="093A0B0A" w:rsidR="00C02AA7" w:rsidRPr="00520E92" w:rsidRDefault="00C02AA7" w:rsidP="0039570C">
      <w:pPr>
        <w:pStyle w:val="BodyText"/>
        <w:tabs>
          <w:tab w:val="left" w:pos="990"/>
        </w:tabs>
        <w:spacing w:line="312" w:lineRule="auto"/>
        <w:contextualSpacing/>
      </w:pPr>
      <w:r w:rsidRPr="00520E92">
        <w:t>To:</w:t>
      </w:r>
      <w:r w:rsidRPr="00520E92">
        <w:tab/>
      </w:r>
      <w:r w:rsidR="00E46BEC">
        <w:t>The Task Force</w:t>
      </w:r>
    </w:p>
    <w:p w14:paraId="51C65869" w14:textId="77777777" w:rsidR="00C02AA7" w:rsidRPr="00520E92" w:rsidRDefault="00C02AA7" w:rsidP="0039570C">
      <w:pPr>
        <w:pStyle w:val="BodyText"/>
        <w:tabs>
          <w:tab w:val="left" w:pos="990"/>
        </w:tabs>
        <w:spacing w:line="312" w:lineRule="auto"/>
        <w:contextualSpacing/>
      </w:pPr>
      <w:r w:rsidRPr="00520E92">
        <w:t>From:</w:t>
      </w:r>
      <w:r w:rsidRPr="00520E92">
        <w:tab/>
      </w:r>
      <w:r>
        <w:t xml:space="preserve">Nate Reitz, </w:t>
      </w:r>
      <w:r w:rsidR="0006251A">
        <w:t>Task Force Chair</w:t>
      </w:r>
    </w:p>
    <w:p w14:paraId="413A8E0F" w14:textId="5BBC5E9B" w:rsidR="00C02AA7" w:rsidRPr="00D601FA" w:rsidRDefault="00C02AA7" w:rsidP="0039570C">
      <w:pPr>
        <w:pStyle w:val="BodyText"/>
        <w:tabs>
          <w:tab w:val="left" w:pos="990"/>
        </w:tabs>
        <w:spacing w:line="312" w:lineRule="auto"/>
        <w:contextualSpacing/>
        <w:rPr>
          <w:b/>
        </w:rPr>
      </w:pPr>
      <w:r w:rsidRPr="00520E92">
        <w:t>Date:</w:t>
      </w:r>
      <w:r w:rsidRPr="00520E92">
        <w:tab/>
      </w:r>
      <w:r>
        <w:fldChar w:fldCharType="begin"/>
      </w:r>
      <w:r>
        <w:instrText xml:space="preserve"> SAVEDATE  \@ "MMMM d, yyyy"  \* MERGEFORMAT </w:instrText>
      </w:r>
      <w:r>
        <w:fldChar w:fldCharType="separate"/>
      </w:r>
      <w:r w:rsidR="00092952">
        <w:rPr>
          <w:noProof/>
        </w:rPr>
        <w:t>June 11, 2026</w:t>
      </w:r>
      <w:r>
        <w:fldChar w:fldCharType="end"/>
      </w:r>
    </w:p>
    <w:p w14:paraId="7E68AE16" w14:textId="6BF1A3AA" w:rsidR="00C02AA7" w:rsidRPr="00520E92" w:rsidRDefault="00C02AA7" w:rsidP="0039570C">
      <w:pPr>
        <w:pStyle w:val="BodyText"/>
        <w:tabs>
          <w:tab w:val="left" w:pos="990"/>
        </w:tabs>
        <w:spacing w:line="312" w:lineRule="auto"/>
        <w:rPr>
          <w:b/>
        </w:rPr>
      </w:pPr>
      <w:r w:rsidRPr="00520E92">
        <w:rPr>
          <w:b/>
        </w:rPr>
        <w:t xml:space="preserve">Subject: </w:t>
      </w:r>
      <w:r w:rsidRPr="00520E92">
        <w:rPr>
          <w:b/>
        </w:rPr>
        <w:tab/>
      </w:r>
      <w:r w:rsidR="00E46BEC">
        <w:rPr>
          <w:b/>
        </w:rPr>
        <w:t>Replacing</w:t>
      </w:r>
      <w:r w:rsidR="00C85CFF">
        <w:rPr>
          <w:b/>
        </w:rPr>
        <w:t xml:space="preserve"> </w:t>
      </w:r>
      <w:r w:rsidR="00D853BD">
        <w:rPr>
          <w:b/>
        </w:rPr>
        <w:t>§ </w:t>
      </w:r>
      <w:r w:rsidR="00122F72">
        <w:rPr>
          <w:b/>
        </w:rPr>
        <w:t>609.11</w:t>
      </w:r>
      <w:r w:rsidR="00C85CFF">
        <w:rPr>
          <w:b/>
        </w:rPr>
        <w:t xml:space="preserve"> – </w:t>
      </w:r>
      <w:r w:rsidR="00E46BEC">
        <w:rPr>
          <w:b/>
        </w:rPr>
        <w:t>Alternative Frameworks</w:t>
      </w:r>
    </w:p>
    <w:p w14:paraId="624C41B5" w14:textId="4498731B" w:rsidR="008A2764" w:rsidRDefault="00C71CF9" w:rsidP="00121496">
      <w:pPr>
        <w:pStyle w:val="BodyText"/>
      </w:pPr>
      <w:r>
        <w:t>To be rational, a</w:t>
      </w:r>
      <w:r w:rsidR="00EF2A2D">
        <w:t xml:space="preserve"> special penalty framework for committing crimes with firearms (or other dangerous weapons)</w:t>
      </w:r>
      <w:r w:rsidR="003C2756">
        <w:t xml:space="preserve"> </w:t>
      </w:r>
      <w:r w:rsidR="007F68D5">
        <w:t>ought to</w:t>
      </w:r>
      <w:r w:rsidR="00EF2A2D">
        <w:t xml:space="preserve"> </w:t>
      </w:r>
      <w:proofErr w:type="gramStart"/>
      <w:r w:rsidR="00EF2A2D">
        <w:t>assign</w:t>
      </w:r>
      <w:r w:rsidR="008A2764">
        <w:t>—</w:t>
      </w:r>
      <w:proofErr w:type="gramEnd"/>
    </w:p>
    <w:p w14:paraId="06C8CE3C" w14:textId="71E2B8EF" w:rsidR="006D6261" w:rsidRPr="00A32748" w:rsidRDefault="006D6261" w:rsidP="00A32748">
      <w:pPr>
        <w:pStyle w:val="NumberedList"/>
      </w:pPr>
      <w:r w:rsidRPr="00A32748">
        <w:t>t</w:t>
      </w:r>
      <w:r w:rsidR="00EF2A2D" w:rsidRPr="00A32748">
        <w:t xml:space="preserve">he </w:t>
      </w:r>
      <w:r w:rsidR="00EF2A2D" w:rsidRPr="00A32748">
        <w:rPr>
          <w:b/>
          <w:bCs/>
        </w:rPr>
        <w:t>most serious penalties</w:t>
      </w:r>
    </w:p>
    <w:p w14:paraId="72C8D888" w14:textId="77777777" w:rsidR="006D6261" w:rsidRPr="00A32748" w:rsidRDefault="006D6261" w:rsidP="00A32748">
      <w:pPr>
        <w:pStyle w:val="NumberedList"/>
      </w:pPr>
      <w:r w:rsidRPr="00A32748">
        <w:t>t</w:t>
      </w:r>
      <w:r w:rsidR="00EF2A2D" w:rsidRPr="00A32748">
        <w:t xml:space="preserve">o those with the </w:t>
      </w:r>
      <w:r w:rsidR="00EF2A2D" w:rsidRPr="00A32748">
        <w:rPr>
          <w:b/>
          <w:bCs/>
        </w:rPr>
        <w:t>most serious criminal histories</w:t>
      </w:r>
      <w:r w:rsidR="00EF2A2D" w:rsidRPr="00A32748">
        <w:t xml:space="preserve"> </w:t>
      </w:r>
    </w:p>
    <w:p w14:paraId="04FE2072" w14:textId="77777777" w:rsidR="006D6261" w:rsidRPr="00A32748" w:rsidRDefault="00EF2A2D" w:rsidP="00A32748">
      <w:pPr>
        <w:pStyle w:val="NumberedList"/>
      </w:pPr>
      <w:r w:rsidRPr="00A32748">
        <w:t xml:space="preserve">who </w:t>
      </w:r>
      <w:r w:rsidRPr="00A32748">
        <w:rPr>
          <w:b/>
          <w:bCs/>
        </w:rPr>
        <w:t>most seriously involve firearms</w:t>
      </w:r>
      <w:r w:rsidRPr="00A32748">
        <w:t xml:space="preserve"> (or other dangerous weapons)</w:t>
      </w:r>
    </w:p>
    <w:p w14:paraId="7215F60E" w14:textId="22111923" w:rsidR="008A2764" w:rsidRPr="00A32748" w:rsidRDefault="007F6280" w:rsidP="00A32748">
      <w:pPr>
        <w:pStyle w:val="NumberedList"/>
      </w:pPr>
      <w:r w:rsidRPr="00A32748">
        <w:t xml:space="preserve">in </w:t>
      </w:r>
      <w:r w:rsidRPr="00A32748">
        <w:rPr>
          <w:b/>
          <w:bCs/>
        </w:rPr>
        <w:t>committing</w:t>
      </w:r>
      <w:r w:rsidR="00EF2A2D" w:rsidRPr="00A32748">
        <w:rPr>
          <w:b/>
          <w:bCs/>
        </w:rPr>
        <w:t xml:space="preserve"> the most serious crimes</w:t>
      </w:r>
      <w:r w:rsidR="00EF2A2D" w:rsidRPr="00A32748">
        <w:t>.</w:t>
      </w:r>
    </w:p>
    <w:p w14:paraId="55A84F1D" w14:textId="6CC9447B" w:rsidR="002B419F" w:rsidRPr="004255F2" w:rsidRDefault="005974A9" w:rsidP="006D6261">
      <w:pPr>
        <w:pStyle w:val="BodyText"/>
        <w:rPr>
          <w:b/>
          <w:bCs/>
        </w:rPr>
      </w:pPr>
      <w:r>
        <w:t>Minnesota</w:t>
      </w:r>
      <w:r w:rsidR="009F4FE6">
        <w:t xml:space="preserve">’s existing </w:t>
      </w:r>
      <w:r>
        <w:t>special penalty framework for committing crimes with firearms or other dangerous weapons,</w:t>
      </w:r>
      <w:r w:rsidR="00EF2A2D">
        <w:t xml:space="preserve"> </w:t>
      </w:r>
      <w:r w:rsidR="00EF2A2D" w:rsidRPr="00EF2A2D">
        <w:t>Minn. Stat. § 609.11</w:t>
      </w:r>
      <w:r>
        <w:t>,</w:t>
      </w:r>
      <w:r w:rsidR="00EF2A2D" w:rsidRPr="00EF2A2D">
        <w:t xml:space="preserve"> </w:t>
      </w:r>
      <w:r w:rsidR="009F4FE6">
        <w:t>does</w:t>
      </w:r>
      <w:r w:rsidR="00E73E91">
        <w:t xml:space="preserve"> </w:t>
      </w:r>
      <w:r w:rsidR="009F4FE6">
        <w:t>n</w:t>
      </w:r>
      <w:r w:rsidR="00E73E91">
        <w:t>o</w:t>
      </w:r>
      <w:r w:rsidR="009F4FE6">
        <w:t>t do this. It</w:t>
      </w:r>
      <w:r w:rsidR="00E73E91">
        <w:t xml:space="preserve"> cannot, because it</w:t>
      </w:r>
      <w:r w:rsidR="009F4FE6">
        <w:t xml:space="preserve"> </w:t>
      </w:r>
      <w:r w:rsidR="00EF2A2D" w:rsidRPr="00EF2A2D">
        <w:t>was</w:t>
      </w:r>
      <w:r w:rsidR="00E73E91">
        <w:t xml:space="preserve"> </w:t>
      </w:r>
      <w:r w:rsidR="00EF2A2D" w:rsidRPr="00EF2A2D">
        <w:t>n</w:t>
      </w:r>
      <w:r w:rsidR="00E73E91">
        <w:t>o</w:t>
      </w:r>
      <w:r w:rsidR="00EF2A2D" w:rsidRPr="00EF2A2D">
        <w:t>t designed to</w:t>
      </w:r>
      <w:r>
        <w:t xml:space="preserve">. </w:t>
      </w:r>
      <w:r w:rsidR="00EF2A2D">
        <w:t xml:space="preserve">I believe this task force can unify behind </w:t>
      </w:r>
      <w:r w:rsidR="00B211D3">
        <w:t>a</w:t>
      </w:r>
      <w:r w:rsidR="00EF2A2D">
        <w:t xml:space="preserve"> § 609.11 </w:t>
      </w:r>
      <w:r w:rsidR="00B211D3">
        <w:t xml:space="preserve">replacement framework </w:t>
      </w:r>
      <w:r w:rsidR="00EF2A2D">
        <w:t xml:space="preserve">that </w:t>
      </w:r>
      <w:r w:rsidR="000D19C2">
        <w:t xml:space="preserve">is designed </w:t>
      </w:r>
      <w:r w:rsidR="00BA12C5">
        <w:t>this way</w:t>
      </w:r>
      <w:r w:rsidR="00607630">
        <w:t>.</w:t>
      </w:r>
      <w:r w:rsidR="00EF2A2D">
        <w:t xml:space="preserve"> Because </w:t>
      </w:r>
      <w:r w:rsidR="00607630">
        <w:t xml:space="preserve">Minnesota’s </w:t>
      </w:r>
      <w:r w:rsidR="00EF2A2D">
        <w:t xml:space="preserve">Sentencing Guidelines already grade punishment by criminal history and offense </w:t>
      </w:r>
      <w:proofErr w:type="gramStart"/>
      <w:r w:rsidR="00EF2A2D">
        <w:t>severity</w:t>
      </w:r>
      <w:r w:rsidR="000D1DFA">
        <w:t xml:space="preserve"> (#</w:t>
      </w:r>
      <w:proofErr w:type="gramEnd"/>
      <w:r w:rsidR="000D1DFA">
        <w:t>2 and #4, above)</w:t>
      </w:r>
      <w:r w:rsidR="0067523A">
        <w:t>, they can serve as an effective starting point. A</w:t>
      </w:r>
      <w:r w:rsidR="00EF2A2D">
        <w:t xml:space="preserve">ll that remains is to determine what </w:t>
      </w:r>
      <w:r w:rsidR="000D1DFA">
        <w:t xml:space="preserve">additional </w:t>
      </w:r>
      <w:proofErr w:type="gramStart"/>
      <w:r w:rsidR="00EF2A2D">
        <w:t xml:space="preserve">penalties </w:t>
      </w:r>
      <w:r w:rsidR="000D1DFA">
        <w:t>(#</w:t>
      </w:r>
      <w:proofErr w:type="gramEnd"/>
      <w:r w:rsidR="000D1DFA">
        <w:t xml:space="preserve">1 above) </w:t>
      </w:r>
      <w:r w:rsidR="00EF2A2D">
        <w:t xml:space="preserve">should be </w:t>
      </w:r>
      <w:r w:rsidR="000D1DFA">
        <w:t xml:space="preserve">assigned to </w:t>
      </w:r>
      <w:r w:rsidR="00EF2A2D">
        <w:t>what types of weapons involvement</w:t>
      </w:r>
      <w:r w:rsidR="000D1DFA">
        <w:t xml:space="preserve"> (#3 above)</w:t>
      </w:r>
      <w:r w:rsidR="00EF2A2D">
        <w:t>.</w:t>
      </w:r>
    </w:p>
    <w:p w14:paraId="5029C4C1" w14:textId="2BC68658" w:rsidR="0061156B" w:rsidRDefault="0061156B" w:rsidP="00073BB7">
      <w:pPr>
        <w:pStyle w:val="Heading2"/>
      </w:pPr>
      <w:r>
        <w:t xml:space="preserve">The April/May </w:t>
      </w:r>
      <w:r w:rsidR="000B621C">
        <w:t>f</w:t>
      </w:r>
      <w:r>
        <w:t xml:space="preserve">ramework: </w:t>
      </w:r>
      <w:r w:rsidRPr="00073BB7">
        <w:rPr>
          <w:sz w:val="24"/>
          <w:szCs w:val="24"/>
        </w:rPr>
        <w:t>Firear</w:t>
      </w:r>
      <w:r w:rsidR="000B621C" w:rsidRPr="00073BB7">
        <w:rPr>
          <w:sz w:val="24"/>
          <w:szCs w:val="24"/>
        </w:rPr>
        <w:t>m use + listed crime = five</w:t>
      </w:r>
      <w:r w:rsidR="000B621C" w:rsidRPr="00073BB7">
        <w:rPr>
          <w:sz w:val="24"/>
          <w:szCs w:val="24"/>
        </w:rPr>
        <w:noBreakHyphen/>
        <w:t>year statutory maximum</w:t>
      </w:r>
      <w:r w:rsidR="000B621C">
        <w:rPr>
          <w:sz w:val="24"/>
          <w:szCs w:val="24"/>
        </w:rPr>
        <w:t> </w:t>
      </w:r>
      <w:r w:rsidR="000B621C" w:rsidRPr="00073BB7">
        <w:rPr>
          <w:sz w:val="24"/>
          <w:szCs w:val="24"/>
        </w:rPr>
        <w:t>increase (doubled</w:t>
      </w:r>
      <w:r w:rsidR="000B621C">
        <w:rPr>
          <w:sz w:val="24"/>
          <w:szCs w:val="24"/>
        </w:rPr>
        <w:t> </w:t>
      </w:r>
      <w:r w:rsidR="000B621C" w:rsidRPr="00073BB7">
        <w:rPr>
          <w:sz w:val="24"/>
          <w:szCs w:val="24"/>
        </w:rPr>
        <w:t>if</w:t>
      </w:r>
      <w:r w:rsidR="000B621C">
        <w:rPr>
          <w:sz w:val="24"/>
          <w:szCs w:val="24"/>
        </w:rPr>
        <w:t> </w:t>
      </w:r>
      <w:r w:rsidR="000B621C" w:rsidRPr="00073BB7">
        <w:rPr>
          <w:sz w:val="24"/>
          <w:szCs w:val="24"/>
        </w:rPr>
        <w:t>prior</w:t>
      </w:r>
      <w:r w:rsidR="000B621C">
        <w:rPr>
          <w:sz w:val="24"/>
          <w:szCs w:val="24"/>
        </w:rPr>
        <w:t> </w:t>
      </w:r>
      <w:r w:rsidR="000B621C" w:rsidRPr="00073BB7">
        <w:rPr>
          <w:sz w:val="24"/>
          <w:szCs w:val="24"/>
        </w:rPr>
        <w:t>crime</w:t>
      </w:r>
      <w:r w:rsidR="000B621C">
        <w:rPr>
          <w:sz w:val="24"/>
          <w:szCs w:val="24"/>
        </w:rPr>
        <w:t> </w:t>
      </w:r>
      <w:r w:rsidR="000B621C" w:rsidRPr="00073BB7">
        <w:rPr>
          <w:sz w:val="24"/>
          <w:szCs w:val="24"/>
        </w:rPr>
        <w:t>of</w:t>
      </w:r>
      <w:r w:rsidR="000B621C">
        <w:rPr>
          <w:sz w:val="24"/>
          <w:szCs w:val="24"/>
        </w:rPr>
        <w:t> </w:t>
      </w:r>
      <w:r w:rsidR="000B621C" w:rsidRPr="00073BB7">
        <w:rPr>
          <w:sz w:val="24"/>
          <w:szCs w:val="24"/>
        </w:rPr>
        <w:t>viole</w:t>
      </w:r>
      <w:r w:rsidR="006F6BFE" w:rsidRPr="00073BB7">
        <w:rPr>
          <w:sz w:val="24"/>
          <w:szCs w:val="24"/>
        </w:rPr>
        <w:t>nce)</w:t>
      </w:r>
    </w:p>
    <w:p w14:paraId="71010845" w14:textId="4D09D0DF" w:rsidR="00A32748" w:rsidRPr="004255F2" w:rsidRDefault="008F62C0" w:rsidP="00121496">
      <w:pPr>
        <w:pStyle w:val="BodyText"/>
        <w:rPr>
          <w:b/>
          <w:bCs/>
        </w:rPr>
      </w:pPr>
      <w:r>
        <w:t>In April</w:t>
      </w:r>
      <w:r w:rsidR="00E37BAB">
        <w:t xml:space="preserve"> and May</w:t>
      </w:r>
      <w:r>
        <w:t>, I pro</w:t>
      </w:r>
      <w:r w:rsidR="00E37BAB">
        <w:t>posed a</w:t>
      </w:r>
      <w:r w:rsidR="00BE7D18">
        <w:t xml:space="preserve"> framework </w:t>
      </w:r>
      <w:r w:rsidR="00612597">
        <w:t xml:space="preserve">to replace </w:t>
      </w:r>
      <w:r w:rsidR="00CB114B">
        <w:t xml:space="preserve">the mandatory minimums in </w:t>
      </w:r>
      <w:r w:rsidR="00612597">
        <w:t>§ 609.11</w:t>
      </w:r>
      <w:r w:rsidR="00A100AC">
        <w:t xml:space="preserve">. The April/May framework considers </w:t>
      </w:r>
      <w:r w:rsidR="000802F4">
        <w:t>two</w:t>
      </w:r>
      <w:r w:rsidR="00A32748">
        <w:t xml:space="preserve"> types of </w:t>
      </w:r>
      <w:r w:rsidR="00A32748" w:rsidRPr="008F3A18">
        <w:rPr>
          <w:b/>
          <w:bCs/>
        </w:rPr>
        <w:t>weapons involvement</w:t>
      </w:r>
      <w:r w:rsidR="004255F2">
        <w:t xml:space="preserve"> and associated </w:t>
      </w:r>
      <w:r w:rsidR="004255F2">
        <w:rPr>
          <w:b/>
          <w:bCs/>
        </w:rPr>
        <w:t>penalties.</w:t>
      </w:r>
    </w:p>
    <w:p w14:paraId="5B30AE79" w14:textId="307208C4" w:rsidR="00A32748" w:rsidRDefault="000802F4" w:rsidP="00A32748">
      <w:pPr>
        <w:pStyle w:val="NumberedList"/>
        <w:numPr>
          <w:ilvl w:val="0"/>
          <w:numId w:val="36"/>
        </w:numPr>
      </w:pPr>
      <w:r>
        <w:rPr>
          <w:b/>
          <w:bCs/>
        </w:rPr>
        <w:t>Using</w:t>
      </w:r>
      <w:r w:rsidR="002B77AE" w:rsidRPr="008F3A18">
        <w:rPr>
          <w:b/>
          <w:bCs/>
        </w:rPr>
        <w:t xml:space="preserve"> a firearm</w:t>
      </w:r>
      <w:r w:rsidR="002B77AE">
        <w:t xml:space="preserve"> to commit a </w:t>
      </w:r>
      <w:r w:rsidR="00E647CA">
        <w:t>designated</w:t>
      </w:r>
      <w:r w:rsidR="002B77AE">
        <w:t xml:space="preserve"> crime,</w:t>
      </w:r>
      <w:r w:rsidR="002B77AE">
        <w:rPr>
          <w:rStyle w:val="FootnoteReference"/>
        </w:rPr>
        <w:footnoteReference w:id="1"/>
      </w:r>
      <w:r w:rsidR="002B77AE">
        <w:t xml:space="preserve"> or while immediately fleeing from </w:t>
      </w:r>
      <w:r w:rsidR="005F612B">
        <w:t>such a crime</w:t>
      </w:r>
      <w:r w:rsidR="00A100AC">
        <w:t>, increases</w:t>
      </w:r>
      <w:r w:rsidR="004255F2">
        <w:t xml:space="preserve"> the listed crime’s statutory maximum penalty by </w:t>
      </w:r>
      <w:r w:rsidR="004255F2">
        <w:rPr>
          <w:b/>
          <w:bCs/>
        </w:rPr>
        <w:t>five years</w:t>
      </w:r>
      <w:r w:rsidR="004255F2">
        <w:t xml:space="preserve">. </w:t>
      </w:r>
    </w:p>
    <w:p w14:paraId="0AF41C01" w14:textId="3100924E" w:rsidR="002B77AE" w:rsidRDefault="002B77AE" w:rsidP="00A32748">
      <w:pPr>
        <w:pStyle w:val="NumberedList"/>
        <w:numPr>
          <w:ilvl w:val="0"/>
          <w:numId w:val="36"/>
        </w:numPr>
      </w:pPr>
      <w:r>
        <w:lastRenderedPageBreak/>
        <w:t xml:space="preserve">Alternatively, an </w:t>
      </w:r>
      <w:r w:rsidRPr="008F3A18">
        <w:rPr>
          <w:b/>
          <w:bCs/>
        </w:rPr>
        <w:t xml:space="preserve">accomplice’s </w:t>
      </w:r>
      <w:r w:rsidR="005D3E63" w:rsidRPr="008F3A18">
        <w:rPr>
          <w:b/>
          <w:bCs/>
        </w:rPr>
        <w:t>use of a firearm</w:t>
      </w:r>
      <w:r w:rsidR="005D3E63">
        <w:t xml:space="preserve"> to commit a </w:t>
      </w:r>
      <w:r w:rsidR="00E647CA">
        <w:t>designated</w:t>
      </w:r>
      <w:r w:rsidR="005D3E63">
        <w:t xml:space="preserve"> crime, or while immediately fleeing from </w:t>
      </w:r>
      <w:r w:rsidR="005F612B">
        <w:t>such a</w:t>
      </w:r>
      <w:r w:rsidR="005D3E63">
        <w:t xml:space="preserve"> crime</w:t>
      </w:r>
      <w:r w:rsidR="00B2057E">
        <w:t>,</w:t>
      </w:r>
      <w:r w:rsidR="00E30A41">
        <w:t xml:space="preserve"> would likewise increase the listed crime’s statutory maximum penalty by five years</w:t>
      </w:r>
      <w:r w:rsidR="005F612B">
        <w:t>—</w:t>
      </w:r>
      <w:r w:rsidR="005F612B" w:rsidRPr="005F612B">
        <w:t>if the defendant aided the accomplice</w:t>
      </w:r>
      <w:r w:rsidR="005F612B">
        <w:t>’s</w:t>
      </w:r>
      <w:r w:rsidR="005F612B" w:rsidRPr="005F612B">
        <w:t xml:space="preserve"> </w:t>
      </w:r>
      <w:r w:rsidR="005F612B">
        <w:t>firearm</w:t>
      </w:r>
      <w:r w:rsidR="005F612B" w:rsidRPr="005F612B">
        <w:t xml:space="preserve"> </w:t>
      </w:r>
      <w:r w:rsidR="0013003F">
        <w:t>use</w:t>
      </w:r>
      <w:r w:rsidR="005F612B">
        <w:t>.</w:t>
      </w:r>
    </w:p>
    <w:p w14:paraId="2CE97F33" w14:textId="28BAD832" w:rsidR="001F033A" w:rsidRDefault="00E30A41" w:rsidP="00A32748">
      <w:pPr>
        <w:pStyle w:val="NumberedList"/>
        <w:numPr>
          <w:ilvl w:val="0"/>
          <w:numId w:val="36"/>
        </w:numPr>
      </w:pPr>
      <w:r>
        <w:t>If the</w:t>
      </w:r>
      <w:r w:rsidR="001F033A">
        <w:t xml:space="preserve"> defendant’s</w:t>
      </w:r>
      <w:r>
        <w:t xml:space="preserve"> use of the firearm to commit the listed crime</w:t>
      </w:r>
      <w:bookmarkStart w:id="4" w:name="_Ref231248060"/>
      <w:r>
        <w:rPr>
          <w:rStyle w:val="FootnoteReference"/>
        </w:rPr>
        <w:footnoteReference w:id="2"/>
      </w:r>
      <w:bookmarkEnd w:id="4"/>
      <w:r>
        <w:t xml:space="preserve"> was</w:t>
      </w:r>
      <w:r w:rsidR="001F033A">
        <w:t xml:space="preserve"> </w:t>
      </w:r>
      <w:r w:rsidR="001F033A" w:rsidRPr="001F033A">
        <w:rPr>
          <w:b/>
          <w:bCs/>
        </w:rPr>
        <w:t xml:space="preserve">disqualified </w:t>
      </w:r>
      <w:r w:rsidR="001F033A" w:rsidRPr="00E30A41">
        <w:rPr>
          <w:b/>
          <w:bCs/>
        </w:rPr>
        <w:t>due to a p</w:t>
      </w:r>
      <w:r w:rsidR="001F033A" w:rsidRPr="001F033A">
        <w:rPr>
          <w:b/>
          <w:bCs/>
        </w:rPr>
        <w:t>rior crime of violence conviction</w:t>
      </w:r>
      <w:r w:rsidR="00625B80">
        <w:t xml:space="preserve">, the statutory-maximum increase is </w:t>
      </w:r>
      <w:r w:rsidR="00625B80" w:rsidRPr="00625B80">
        <w:rPr>
          <w:b/>
          <w:bCs/>
        </w:rPr>
        <w:t>doubled</w:t>
      </w:r>
      <w:r w:rsidR="00625B80">
        <w:t xml:space="preserve"> (</w:t>
      </w:r>
      <w:r w:rsidR="00872CCB">
        <w:t xml:space="preserve">increasing </w:t>
      </w:r>
      <w:r w:rsidR="00625B80">
        <w:t>by another five years).</w:t>
      </w:r>
    </w:p>
    <w:p w14:paraId="3683A9F5" w14:textId="7F801C5A" w:rsidR="001C6FA6" w:rsidRDefault="00872CCB" w:rsidP="00E647CA">
      <w:pPr>
        <w:pStyle w:val="BodyText"/>
      </w:pPr>
      <w:r>
        <w:t xml:space="preserve">The </w:t>
      </w:r>
      <w:r w:rsidR="007B1CE8">
        <w:t>case-level</w:t>
      </w:r>
      <w:r>
        <w:t xml:space="preserve"> </w:t>
      </w:r>
      <w:r w:rsidR="007B1CE8">
        <w:t>impact</w:t>
      </w:r>
      <w:r>
        <w:t xml:space="preserve"> </w:t>
      </w:r>
      <w:r w:rsidR="005A078E">
        <w:t xml:space="preserve">of these statutory-maximum increases would be up to the Sentencing Guidelines Commission, which </w:t>
      </w:r>
      <w:r w:rsidR="00A100AC">
        <w:t xml:space="preserve">would be directed to </w:t>
      </w:r>
      <w:r w:rsidR="00E647CA">
        <w:t>consider modifying how the Sentencing Guidelines address the use of a firearm in the commission of a designated crime</w:t>
      </w:r>
      <w:r w:rsidR="00DC4A64">
        <w:t xml:space="preserve"> </w:t>
      </w:r>
      <w:proofErr w:type="gramStart"/>
      <w:r w:rsidR="00DC4A64">
        <w:t>in light of</w:t>
      </w:r>
      <w:proofErr w:type="gramEnd"/>
      <w:r w:rsidR="00DC4A64">
        <w:t xml:space="preserve"> the new framework</w:t>
      </w:r>
      <w:r w:rsidR="00E647CA">
        <w:t>.</w:t>
      </w:r>
      <w:r w:rsidR="00DC4A64">
        <w:t xml:space="preserve"> One plausible scenario—based on a similar statutory-maximum increase framework for crimes committed </w:t>
      </w:r>
      <w:r w:rsidR="00B43918">
        <w:t>for</w:t>
      </w:r>
      <w:r w:rsidR="00DC4A64">
        <w:t xml:space="preserve"> the benefit of a gang—is that the</w:t>
      </w:r>
      <w:r w:rsidR="0031376A">
        <w:t xml:space="preserve"> Commission would</w:t>
      </w:r>
      <w:r w:rsidR="00DC4A64">
        <w:t xml:space="preserve"> </w:t>
      </w:r>
      <w:r w:rsidR="0031376A">
        <w:t>increase the Guidelines-</w:t>
      </w:r>
      <w:r w:rsidR="00DC4A64">
        <w:t xml:space="preserve">recommended prison duration by twelve months for every five years </w:t>
      </w:r>
      <w:r w:rsidR="009707FC">
        <w:t>that the statutory maximum penalty was increased.</w:t>
      </w:r>
    </w:p>
    <w:p w14:paraId="7CD12F4B" w14:textId="5043E63E" w:rsidR="000B621C" w:rsidRDefault="000B621C" w:rsidP="000B621C">
      <w:pPr>
        <w:pStyle w:val="Heading3"/>
      </w:pPr>
      <w:r>
        <w:t>Practical implications of the April/May framework</w:t>
      </w:r>
    </w:p>
    <w:p w14:paraId="59750F79" w14:textId="6B216FF6" w:rsidR="00D80439" w:rsidRDefault="001201B5" w:rsidP="00E647CA">
      <w:pPr>
        <w:pStyle w:val="BodyText"/>
      </w:pPr>
      <w:r>
        <w:t xml:space="preserve">To </w:t>
      </w:r>
      <w:r w:rsidR="00FC4944">
        <w:t>visualize the impact of the April/May framework in practice, let us assume that</w:t>
      </w:r>
      <w:r w:rsidR="001D65CF">
        <w:t xml:space="preserve"> the Commission </w:t>
      </w:r>
      <w:r w:rsidR="00FC4944">
        <w:t>chooses</w:t>
      </w:r>
      <w:r w:rsidR="001D65CF">
        <w:t xml:space="preserve"> to follow the </w:t>
      </w:r>
      <w:r>
        <w:t xml:space="preserve">example of the </w:t>
      </w:r>
      <w:r w:rsidR="001D65CF">
        <w:t>gang</w:t>
      </w:r>
      <w:r>
        <w:t xml:space="preserve"> </w:t>
      </w:r>
      <w:r w:rsidR="001D65CF">
        <w:t>modifier</w:t>
      </w:r>
      <w:r w:rsidR="00FC4944">
        <w:t xml:space="preserve"> and assign</w:t>
      </w:r>
      <w:r w:rsidR="009A01E6">
        <w:t>s</w:t>
      </w:r>
      <w:r w:rsidR="00FC4944">
        <w:t xml:space="preserve"> a </w:t>
      </w:r>
      <w:r w:rsidR="009A01E6">
        <w:t xml:space="preserve">twelve-month increase </w:t>
      </w:r>
      <w:r w:rsidR="00E168C9">
        <w:t xml:space="preserve">for every five years of statutory-maximum increase. </w:t>
      </w:r>
      <w:r w:rsidR="00D80439">
        <w:t xml:space="preserve">In that case, here </w:t>
      </w:r>
      <w:proofErr w:type="gramStart"/>
      <w:r w:rsidR="00D80439">
        <w:t>would be</w:t>
      </w:r>
      <w:proofErr w:type="gramEnd"/>
      <w:r w:rsidR="00D80439">
        <w:t xml:space="preserve"> some practical effects of the April/May framework:</w:t>
      </w:r>
    </w:p>
    <w:p w14:paraId="686845FC" w14:textId="745F549A" w:rsidR="00D80439" w:rsidRDefault="00D80439" w:rsidP="00D80439">
      <w:pPr>
        <w:pStyle w:val="List"/>
      </w:pPr>
      <w:r>
        <w:t xml:space="preserve">For those who </w:t>
      </w:r>
      <w:r w:rsidRPr="00B2057E">
        <w:rPr>
          <w:b/>
          <w:bCs/>
        </w:rPr>
        <w:t>possess firearms</w:t>
      </w:r>
      <w:r w:rsidR="00DB4BE9">
        <w:t xml:space="preserve"> when</w:t>
      </w:r>
      <w:r>
        <w:t xml:space="preserve"> committing </w:t>
      </w:r>
      <w:r w:rsidR="00DB4BE9">
        <w:t xml:space="preserve">designated </w:t>
      </w:r>
      <w:r>
        <w:t>crime</w:t>
      </w:r>
      <w:r w:rsidR="00897FC5">
        <w:t>s</w:t>
      </w:r>
      <w:r w:rsidR="00411DCE">
        <w:t>,</w:t>
      </w:r>
      <w:r w:rsidR="006F7BBB">
        <w:t xml:space="preserve"> </w:t>
      </w:r>
      <w:r>
        <w:t xml:space="preserve">the Minn. Stat. § 609.11 mandatory minimums (3 or 5 years) would </w:t>
      </w:r>
      <w:r w:rsidR="00DA65C3">
        <w:t>cease</w:t>
      </w:r>
      <w:r>
        <w:t>.</w:t>
      </w:r>
      <w:r w:rsidR="009449E6">
        <w:t xml:space="preserve"> The Sentencing Guidelines would apply to these crimes, without legislative </w:t>
      </w:r>
      <w:r w:rsidR="000B2457">
        <w:t>involvement</w:t>
      </w:r>
      <w:r w:rsidR="009449E6">
        <w:t>.</w:t>
      </w:r>
    </w:p>
    <w:p w14:paraId="3ADD1D1A" w14:textId="758A5C61" w:rsidR="00897FC5" w:rsidRDefault="00897FC5" w:rsidP="006E505E">
      <w:pPr>
        <w:pStyle w:val="List"/>
      </w:pPr>
      <w:r>
        <w:t xml:space="preserve">For those who </w:t>
      </w:r>
      <w:r w:rsidRPr="00B2057E">
        <w:rPr>
          <w:b/>
          <w:bCs/>
        </w:rPr>
        <w:t>use</w:t>
      </w:r>
      <w:r>
        <w:t xml:space="preserve"> (or who aid accomplices in using) firearms when committing designated crime</w:t>
      </w:r>
      <w:r w:rsidR="002A3A72">
        <w:t>s</w:t>
      </w:r>
      <w:r>
        <w:t xml:space="preserve">, </w:t>
      </w:r>
      <w:r w:rsidR="00B2057E">
        <w:t>the § 609.11 mandatory minimums would</w:t>
      </w:r>
      <w:r>
        <w:t xml:space="preserve"> be </w:t>
      </w:r>
      <w:r w:rsidR="00B2057E">
        <w:t xml:space="preserve">replaced by </w:t>
      </w:r>
      <w:r>
        <w:t xml:space="preserve">a 12-month increase in the </w:t>
      </w:r>
      <w:r w:rsidR="00CC6B24">
        <w:t>Guidelines-recommended</w:t>
      </w:r>
      <w:r>
        <w:t xml:space="preserve"> sentence. This would be less significant for those in the shaded area of the </w:t>
      </w:r>
      <w:hyperlink r:id="rId8" w:history="1">
        <w:r w:rsidRPr="002A3A72">
          <w:rPr>
            <w:rStyle w:val="Hyperlink"/>
          </w:rPr>
          <w:t>sentencin</w:t>
        </w:r>
        <w:r w:rsidRPr="002751A5">
          <w:rPr>
            <w:rStyle w:val="Hyperlink"/>
            <w:u w:val="none"/>
          </w:rPr>
          <w:t>g</w:t>
        </w:r>
        <w:r w:rsidRPr="002A3A72">
          <w:rPr>
            <w:rStyle w:val="Hyperlink"/>
          </w:rPr>
          <w:t xml:space="preserve"> </w:t>
        </w:r>
        <w:r w:rsidRPr="002751A5">
          <w:rPr>
            <w:rStyle w:val="Hyperlink"/>
            <w:u w:val="none"/>
          </w:rPr>
          <w:t>g</w:t>
        </w:r>
        <w:r w:rsidRPr="002A3A72">
          <w:rPr>
            <w:rStyle w:val="Hyperlink"/>
          </w:rPr>
          <w:t>rid</w:t>
        </w:r>
      </w:hyperlink>
      <w:r w:rsidR="00910345">
        <w:t>—</w:t>
      </w:r>
      <w:r w:rsidR="00910345" w:rsidRPr="002751A5">
        <w:rPr>
          <w:i/>
          <w:iCs/>
        </w:rPr>
        <w:t>i.e.</w:t>
      </w:r>
      <w:r w:rsidR="00910345">
        <w:t>, those with less serious offenses or lower criminal histories—b</w:t>
      </w:r>
      <w:r w:rsidR="0083236F">
        <w:t>ecause the Guidelines would still recommend a stayed sentence.</w:t>
      </w:r>
      <w:r w:rsidR="002751A5">
        <w:t xml:space="preserve"> </w:t>
      </w:r>
      <w:r w:rsidR="0083236F">
        <w:t xml:space="preserve">On the other hand, those with higher criminal history scores who use a firearm to commit a designated </w:t>
      </w:r>
      <w:r w:rsidR="00AB5347">
        <w:t>crime</w:t>
      </w:r>
      <w:r w:rsidR="0083236F">
        <w:t>, or those who commit more serious offenses—</w:t>
      </w:r>
      <w:r w:rsidR="0083236F" w:rsidRPr="002751A5">
        <w:rPr>
          <w:i/>
          <w:iCs/>
        </w:rPr>
        <w:t>e.g.</w:t>
      </w:r>
      <w:r w:rsidR="0083236F">
        <w:t xml:space="preserve">, second-degree </w:t>
      </w:r>
      <w:r w:rsidR="0083236F" w:rsidRPr="0083236F">
        <w:t xml:space="preserve">murder, </w:t>
      </w:r>
      <w:r w:rsidR="0083236F">
        <w:t xml:space="preserve">third-degree murder, </w:t>
      </w:r>
      <w:r w:rsidR="0083236F" w:rsidRPr="0083236F">
        <w:t xml:space="preserve">manslaughter, </w:t>
      </w:r>
      <w:r w:rsidR="0083236F">
        <w:t xml:space="preserve">first-degree </w:t>
      </w:r>
      <w:r w:rsidR="0083236F" w:rsidRPr="0083236F">
        <w:t>assault, carjacking</w:t>
      </w:r>
      <w:r w:rsidR="0083236F">
        <w:t xml:space="preserve">, first-degree aggravated </w:t>
      </w:r>
      <w:r w:rsidR="0083236F" w:rsidRPr="0083236F">
        <w:t>robbery, and burglary</w:t>
      </w:r>
      <w:r w:rsidR="0083236F">
        <w:t>—</w:t>
      </w:r>
      <w:r w:rsidR="0083236F" w:rsidRPr="0083236F">
        <w:t>by using a firearm</w:t>
      </w:r>
      <w:r w:rsidR="0083236F">
        <w:t xml:space="preserve">, would be sentenced to an additional </w:t>
      </w:r>
      <w:r w:rsidR="0083236F" w:rsidRPr="002751A5">
        <w:rPr>
          <w:b/>
          <w:bCs/>
        </w:rPr>
        <w:t>year in prison</w:t>
      </w:r>
      <w:r w:rsidR="0083236F">
        <w:t xml:space="preserve">, </w:t>
      </w:r>
      <w:r w:rsidR="00CC6B24">
        <w:t>if the</w:t>
      </w:r>
      <w:r w:rsidR="0083236F">
        <w:t xml:space="preserve"> </w:t>
      </w:r>
      <w:r w:rsidR="00CC6B24">
        <w:t xml:space="preserve">sentencing court follows the </w:t>
      </w:r>
      <w:r w:rsidR="0083236F">
        <w:t>Guidelines</w:t>
      </w:r>
      <w:r w:rsidR="00CC6B24">
        <w:t xml:space="preserve"> </w:t>
      </w:r>
      <w:r w:rsidR="0083236F">
        <w:t>recommend</w:t>
      </w:r>
      <w:r w:rsidR="00CC6B24">
        <w:t>ation</w:t>
      </w:r>
      <w:r w:rsidR="0083236F">
        <w:t>.</w:t>
      </w:r>
    </w:p>
    <w:p w14:paraId="73403837" w14:textId="237615CE" w:rsidR="004A6A83" w:rsidRDefault="004A6A83" w:rsidP="006271B9">
      <w:pPr>
        <w:pStyle w:val="List"/>
        <w:numPr>
          <w:ilvl w:val="0"/>
          <w:numId w:val="0"/>
        </w:numPr>
        <w:ind w:left="360"/>
      </w:pPr>
      <w:r w:rsidRPr="004A6A83">
        <w:rPr>
          <w:b/>
          <w:bCs/>
        </w:rPr>
        <w:t>Note</w:t>
      </w:r>
      <w:r>
        <w:rPr>
          <w:b/>
          <w:bCs/>
        </w:rPr>
        <w:t>:</w:t>
      </w:r>
      <w:r>
        <w:t xml:space="preserve"> This is precisely the </w:t>
      </w:r>
      <w:r w:rsidR="00B2057E">
        <w:t>opposite</w:t>
      </w:r>
      <w:r>
        <w:t xml:space="preserve"> of the status quo: Under § 609.11, the mandatory minimums fall only on those with low criminal histories or those who commit low-severity offenses. Those with high criminal-history scores or those who commit high-severity offenses have, in effect, “graduated” from § 609.11; its mandatory minimums are swallowed up in the larger Guidelines-recommended sentence.</w:t>
      </w:r>
    </w:p>
    <w:p w14:paraId="0EA93464" w14:textId="13910B8D" w:rsidR="00F767C2" w:rsidRPr="00F767C2" w:rsidRDefault="00F767C2" w:rsidP="00F767C2">
      <w:pPr>
        <w:pStyle w:val="List"/>
      </w:pPr>
      <w:r w:rsidRPr="00F767C2">
        <w:lastRenderedPageBreak/>
        <w:t xml:space="preserve">For those who, </w:t>
      </w:r>
      <w:r w:rsidRPr="00B2057E">
        <w:rPr>
          <w:b/>
          <w:bCs/>
        </w:rPr>
        <w:t>after a crime of violence</w:t>
      </w:r>
      <w:r w:rsidRPr="00F767C2">
        <w:t xml:space="preserve"> conviction or adjudication of delinquency, </w:t>
      </w:r>
      <w:r w:rsidRPr="00B2057E">
        <w:rPr>
          <w:b/>
          <w:bCs/>
        </w:rPr>
        <w:t>possess ammunition or a firearm</w:t>
      </w:r>
      <w:r w:rsidRPr="00F767C2">
        <w:t xml:space="preserve">, the 5-year mandatory minimum would </w:t>
      </w:r>
      <w:r w:rsidR="00DA65C3">
        <w:t>cease</w:t>
      </w:r>
      <w:r w:rsidRPr="00F767C2">
        <w:t>.</w:t>
      </w:r>
      <w:r w:rsidR="00DA65C3" w:rsidRPr="00DA65C3">
        <w:t xml:space="preserve"> The Sentencing Guidelines would apply to these crimes, without legislative involvement.</w:t>
      </w:r>
    </w:p>
    <w:p w14:paraId="5B2E2713" w14:textId="1E35435F" w:rsidR="0083236F" w:rsidRDefault="00B2057E" w:rsidP="00D80439">
      <w:pPr>
        <w:pStyle w:val="List"/>
      </w:pPr>
      <w:r>
        <w:t>I</w:t>
      </w:r>
      <w:r w:rsidR="00CC6B24">
        <w:t xml:space="preserve">f </w:t>
      </w:r>
      <w:r w:rsidR="00A13A3E">
        <w:t>a</w:t>
      </w:r>
      <w:r w:rsidR="00CC6B24">
        <w:t xml:space="preserve"> </w:t>
      </w:r>
      <w:r w:rsidR="00CC6B24" w:rsidRPr="00B2057E">
        <w:rPr>
          <w:b/>
          <w:bCs/>
        </w:rPr>
        <w:t>firearm</w:t>
      </w:r>
      <w:r w:rsidR="00A13A3E" w:rsidRPr="00B2057E">
        <w:rPr>
          <w:b/>
          <w:bCs/>
        </w:rPr>
        <w:t xml:space="preserve"> is</w:t>
      </w:r>
      <w:r w:rsidR="00CC6B24" w:rsidRPr="00B2057E">
        <w:rPr>
          <w:b/>
          <w:bCs/>
        </w:rPr>
        <w:t xml:space="preserve"> use</w:t>
      </w:r>
      <w:r w:rsidR="00A13A3E" w:rsidRPr="00B2057E">
        <w:rPr>
          <w:b/>
          <w:bCs/>
        </w:rPr>
        <w:t>d</w:t>
      </w:r>
      <w:r w:rsidR="00CC6B24">
        <w:t xml:space="preserve"> </w:t>
      </w:r>
      <w:r w:rsidR="00A13A3E">
        <w:t xml:space="preserve">to commit a designated crime, </w:t>
      </w:r>
      <w:r>
        <w:t xml:space="preserve">on the other hand, </w:t>
      </w:r>
      <w:r w:rsidR="00A13A3E">
        <w:t>and that use is</w:t>
      </w:r>
      <w:r w:rsidR="00CC6B24">
        <w:t xml:space="preserve"> prohibited due to a prior crime of violence, the 12-month increase </w:t>
      </w:r>
      <w:r w:rsidR="00A13A3E">
        <w:t xml:space="preserve">described above </w:t>
      </w:r>
      <w:r w:rsidR="00CC6B24">
        <w:t>would be doubled</w:t>
      </w:r>
      <w:r w:rsidR="00C125D6">
        <w:t>—to 24 months</w:t>
      </w:r>
      <w:r w:rsidR="001B34AA">
        <w:rPr>
          <w:rStyle w:val="FootnoteReference"/>
        </w:rPr>
        <w:footnoteReference w:id="3"/>
      </w:r>
      <w:r>
        <w:t>—in lieu of the § 609.11 mandatory minimum.</w:t>
      </w:r>
      <w:r w:rsidR="00C125D6">
        <w:t xml:space="preserve"> Again, this would impact </w:t>
      </w:r>
      <w:r w:rsidR="001B34AA">
        <w:t xml:space="preserve">those with higher criminal history scores </w:t>
      </w:r>
      <w:r w:rsidR="000F68B8">
        <w:t>or those who commit more serious offenses the most.</w:t>
      </w:r>
    </w:p>
    <w:p w14:paraId="56FD8714" w14:textId="43B8E898" w:rsidR="000F68B8" w:rsidRDefault="000F68B8" w:rsidP="006271B9">
      <w:pPr>
        <w:pStyle w:val="List"/>
        <w:numPr>
          <w:ilvl w:val="0"/>
          <w:numId w:val="0"/>
        </w:numPr>
        <w:ind w:left="360"/>
      </w:pPr>
      <w:r>
        <w:rPr>
          <w:b/>
          <w:bCs/>
        </w:rPr>
        <w:t>Note:</w:t>
      </w:r>
      <w:r>
        <w:t xml:space="preserve"> Again, this is the </w:t>
      </w:r>
      <w:r w:rsidR="00B2057E">
        <w:t>opposite</w:t>
      </w:r>
      <w:r>
        <w:t xml:space="preserve"> of the status quo. The only ones affected by the five-year mandatory minimum for </w:t>
      </w:r>
      <w:r w:rsidR="00597D4A" w:rsidRPr="002B7832">
        <w:t>possession of a firearm or ammunition after a crime of violence</w:t>
      </w:r>
      <w:r w:rsidR="00597D4A">
        <w:t xml:space="preserve"> are those with lower criminal history scores or those who commit low-severity offenses. </w:t>
      </w:r>
      <w:r w:rsidR="00D27007">
        <w:t xml:space="preserve">For those disqualified from firearms possession </w:t>
      </w:r>
      <w:r w:rsidR="00DF6D1E">
        <w:t xml:space="preserve">due to a prior crime of violence </w:t>
      </w:r>
      <w:r w:rsidR="00D27007">
        <w:t xml:space="preserve">who use a firearm to commit </w:t>
      </w:r>
      <w:r w:rsidR="00B2057E">
        <w:t>one of the most serious designated crimes (see example list on previous page)</w:t>
      </w:r>
      <w:r w:rsidR="00D27007">
        <w:t xml:space="preserve">, the </w:t>
      </w:r>
      <w:r w:rsidR="00E50FB6">
        <w:t xml:space="preserve">§ 609.11 </w:t>
      </w:r>
      <w:r w:rsidR="00D27007">
        <w:t xml:space="preserve">five-year mandatory minimum </w:t>
      </w:r>
      <w:r w:rsidR="00E50FB6">
        <w:t xml:space="preserve">is </w:t>
      </w:r>
      <w:r w:rsidR="00D27007">
        <w:t>eclipsed—or nearly so—by the significant Guidelines-recommended prison term</w:t>
      </w:r>
      <w:r w:rsidR="00DF6D1E">
        <w:t xml:space="preserve"> for </w:t>
      </w:r>
      <w:r w:rsidR="008E3EB1">
        <w:t>those offenses</w:t>
      </w:r>
      <w:r w:rsidR="00D27007">
        <w:t xml:space="preserve">. </w:t>
      </w:r>
      <w:r w:rsidR="001D029D">
        <w:t xml:space="preserve">For </w:t>
      </w:r>
      <w:r w:rsidR="00EE3506">
        <w:t xml:space="preserve">these serious </w:t>
      </w:r>
      <w:proofErr w:type="gramStart"/>
      <w:r w:rsidR="00EE3506">
        <w:t>crimes—all</w:t>
      </w:r>
      <w:proofErr w:type="gramEnd"/>
      <w:r w:rsidR="00EE3506">
        <w:t xml:space="preserve"> ranked at or above severity level 8—a</w:t>
      </w:r>
      <w:r w:rsidR="001D029D">
        <w:t xml:space="preserve"> two-year increase in the Guidelines-recommended prison sentence would be a more severe sanction</w:t>
      </w:r>
      <w:r w:rsidR="00EE3506">
        <w:t xml:space="preserve"> than § 609.11’s five-year mandatory minimum</w:t>
      </w:r>
      <w:r w:rsidR="001D029D">
        <w:t>.</w:t>
      </w:r>
    </w:p>
    <w:p w14:paraId="7D5570C8" w14:textId="4BF2FFFB" w:rsidR="006F7BBB" w:rsidRDefault="006F7BBB" w:rsidP="00D80439">
      <w:pPr>
        <w:pStyle w:val="List"/>
      </w:pPr>
      <w:r>
        <w:t xml:space="preserve">For those who </w:t>
      </w:r>
      <w:r w:rsidR="000E077D">
        <w:t>use dangerous weapons</w:t>
      </w:r>
      <w:r w:rsidR="00411DCE">
        <w:t xml:space="preserve"> other than firearms</w:t>
      </w:r>
      <w:r w:rsidR="000E077D">
        <w:t xml:space="preserve"> when committing a designated crime, the §</w:t>
      </w:r>
      <w:r w:rsidR="0043248C">
        <w:t xml:space="preserve"> 609.11 mandatory minimums (1-year-and-one day or 3 years) </w:t>
      </w:r>
      <w:r w:rsidR="00036FE2">
        <w:t xml:space="preserve">would </w:t>
      </w:r>
      <w:r w:rsidR="00DA65C3" w:rsidRPr="00DA65C3">
        <w:t>cease. The Sentencing Guidelines would apply to these crimes, without legislative involvement.</w:t>
      </w:r>
    </w:p>
    <w:p w14:paraId="084B736B" w14:textId="24B9ABD2" w:rsidR="00D80439" w:rsidRDefault="00036FE2" w:rsidP="00D80439">
      <w:pPr>
        <w:pStyle w:val="List"/>
      </w:pPr>
      <w:r>
        <w:t xml:space="preserve">Thus, for second-degree assault (the </w:t>
      </w:r>
      <w:r w:rsidR="00963EB2">
        <w:t>second-</w:t>
      </w:r>
      <w:r>
        <w:t>most common designated crime</w:t>
      </w:r>
      <w:r w:rsidR="00CA6AE8">
        <w:t>, which always involves a firearm or other dangerous weapon</w:t>
      </w:r>
      <w:r w:rsidR="003044B6">
        <w:t>)</w:t>
      </w:r>
      <w:r w:rsidR="00F6499F">
        <w:t xml:space="preserve">, </w:t>
      </w:r>
      <w:r w:rsidR="003044B6">
        <w:t xml:space="preserve">or </w:t>
      </w:r>
      <w:r w:rsidR="005830FD">
        <w:t>for</w:t>
      </w:r>
      <w:r w:rsidR="00511AA9">
        <w:t xml:space="preserve"> merely</w:t>
      </w:r>
      <w:r w:rsidR="005830FD">
        <w:t xml:space="preserve"> </w:t>
      </w:r>
      <w:r w:rsidR="00CA6AE8">
        <w:t>possessing a firearm or ammunition after a crime of violence</w:t>
      </w:r>
      <w:r w:rsidR="00F6499F">
        <w:t>—both severity-level 6 offenses</w:t>
      </w:r>
      <w:r w:rsidR="000B621C">
        <w:rPr>
          <w:rStyle w:val="FootnoteReference"/>
        </w:rPr>
        <w:footnoteReference w:id="4"/>
      </w:r>
      <w:r w:rsidR="00F6499F">
        <w:t>—t</w:t>
      </w:r>
      <w:r>
        <w:t xml:space="preserve">he </w:t>
      </w:r>
      <w:r w:rsidR="005C18B1">
        <w:t xml:space="preserve">Guidelines would recommend a </w:t>
      </w:r>
      <w:r>
        <w:t xml:space="preserve">stayed sentence </w:t>
      </w:r>
      <w:r w:rsidR="00A70C7B">
        <w:t>at criminal history scores of 2 and below.</w:t>
      </w:r>
      <w:r w:rsidR="00BE00B2">
        <w:t xml:space="preserve"> At higher criminal scores, the </w:t>
      </w:r>
      <w:r w:rsidR="00351886">
        <w:t>recommended</w:t>
      </w:r>
      <w:r w:rsidR="00BE00B2">
        <w:t xml:space="preserve"> sentence would quickly meet and exceed the</w:t>
      </w:r>
      <w:r w:rsidR="00913593">
        <w:t xml:space="preserve"> existing</w:t>
      </w:r>
      <w:r w:rsidR="00BE00B2">
        <w:t xml:space="preserve"> mandatory minimums.</w:t>
      </w:r>
    </w:p>
    <w:p w14:paraId="7FB1E3D4" w14:textId="4720C16D" w:rsidR="000853D4" w:rsidRPr="00C77A1E" w:rsidRDefault="00B10D7F" w:rsidP="001A258D">
      <w:pPr>
        <w:pStyle w:val="Heading2"/>
      </w:pPr>
      <w:r>
        <w:t>The June Alternative Framework:</w:t>
      </w:r>
      <w:r w:rsidR="001A258D">
        <w:t xml:space="preserve"> </w:t>
      </w:r>
      <w:r w:rsidR="00780695" w:rsidRPr="001016D0">
        <w:rPr>
          <w:sz w:val="24"/>
          <w:szCs w:val="24"/>
        </w:rPr>
        <w:t>T</w:t>
      </w:r>
      <w:r w:rsidRPr="001016D0">
        <w:rPr>
          <w:sz w:val="24"/>
          <w:szCs w:val="24"/>
        </w:rPr>
        <w:t>he</w:t>
      </w:r>
      <w:r w:rsidR="001A258D" w:rsidRPr="001016D0">
        <w:rPr>
          <w:sz w:val="24"/>
          <w:szCs w:val="24"/>
        </w:rPr>
        <w:t> </w:t>
      </w:r>
      <w:r w:rsidRPr="001016D0">
        <w:rPr>
          <w:sz w:val="24"/>
          <w:szCs w:val="24"/>
        </w:rPr>
        <w:t>April/May</w:t>
      </w:r>
      <w:r w:rsidR="001A258D" w:rsidRPr="001016D0">
        <w:rPr>
          <w:sz w:val="24"/>
          <w:szCs w:val="24"/>
        </w:rPr>
        <w:t> </w:t>
      </w:r>
      <w:r w:rsidR="00B511F8" w:rsidRPr="001016D0">
        <w:rPr>
          <w:sz w:val="24"/>
          <w:szCs w:val="24"/>
        </w:rPr>
        <w:t>framework, </w:t>
      </w:r>
      <w:r w:rsidR="00B511F8">
        <w:rPr>
          <w:sz w:val="24"/>
          <w:szCs w:val="24"/>
        </w:rPr>
        <w:t>but </w:t>
      </w:r>
      <w:r w:rsidR="00B511F8" w:rsidRPr="001016D0">
        <w:rPr>
          <w:sz w:val="24"/>
          <w:szCs w:val="24"/>
        </w:rPr>
        <w:t>with more types</w:t>
      </w:r>
      <w:r w:rsidR="00B511F8">
        <w:rPr>
          <w:sz w:val="24"/>
          <w:szCs w:val="24"/>
        </w:rPr>
        <w:t> </w:t>
      </w:r>
      <w:r w:rsidR="00B511F8" w:rsidRPr="001016D0">
        <w:rPr>
          <w:sz w:val="24"/>
          <w:szCs w:val="24"/>
        </w:rPr>
        <w:t>of weapon involvement, more penalties, and more</w:t>
      </w:r>
      <w:r w:rsidR="00B511F8">
        <w:rPr>
          <w:sz w:val="24"/>
          <w:szCs w:val="24"/>
        </w:rPr>
        <w:t> </w:t>
      </w:r>
      <w:r w:rsidR="00B511F8" w:rsidRPr="001016D0">
        <w:rPr>
          <w:sz w:val="24"/>
          <w:szCs w:val="24"/>
        </w:rPr>
        <w:t>direction to th</w:t>
      </w:r>
      <w:r w:rsidR="005A20F8" w:rsidRPr="001016D0">
        <w:rPr>
          <w:sz w:val="24"/>
          <w:szCs w:val="24"/>
        </w:rPr>
        <w:t>e Commission</w:t>
      </w:r>
    </w:p>
    <w:p w14:paraId="21C0D1E5" w14:textId="384E927E" w:rsidR="00C941BE" w:rsidRDefault="00C941BE" w:rsidP="00C941BE">
      <w:pPr>
        <w:pStyle w:val="Heading3"/>
      </w:pPr>
      <w:r>
        <w:t>Why an alternative framework?</w:t>
      </w:r>
    </w:p>
    <w:p w14:paraId="04D3BF65" w14:textId="1BA9FCE7" w:rsidR="00524234" w:rsidRDefault="00524234" w:rsidP="00121496">
      <w:pPr>
        <w:pStyle w:val="BodyText"/>
      </w:pPr>
      <w:r>
        <w:t xml:space="preserve">It is my opinion that </w:t>
      </w:r>
      <w:r w:rsidRPr="00B22A79">
        <w:rPr>
          <w:b/>
          <w:bCs/>
        </w:rPr>
        <w:t xml:space="preserve">the Task Force must arrive at a tentative policy agreement at our June 12 </w:t>
      </w:r>
      <w:r w:rsidR="00B22A79" w:rsidRPr="00B22A79">
        <w:rPr>
          <w:b/>
          <w:bCs/>
        </w:rPr>
        <w:t xml:space="preserve">meeting </w:t>
      </w:r>
      <w:r w:rsidRPr="00B22A79">
        <w:rPr>
          <w:b/>
          <w:bCs/>
        </w:rPr>
        <w:t xml:space="preserve">to stay on schedule to complete our report by </w:t>
      </w:r>
      <w:r w:rsidR="009144AC">
        <w:rPr>
          <w:b/>
          <w:bCs/>
        </w:rPr>
        <w:t>our</w:t>
      </w:r>
      <w:r w:rsidRPr="00B22A79">
        <w:rPr>
          <w:b/>
          <w:bCs/>
        </w:rPr>
        <w:t xml:space="preserve"> </w:t>
      </w:r>
      <w:hyperlink r:id="rId9" w:anchor="laws.2.26.0" w:history="1">
        <w:r w:rsidRPr="006A5B6F">
          <w:rPr>
            <w:rStyle w:val="Hyperlink"/>
            <w:b/>
            <w:bCs/>
          </w:rPr>
          <w:t>August 15 deadline</w:t>
        </w:r>
      </w:hyperlink>
      <w:r w:rsidRPr="00B22A79">
        <w:t>.</w:t>
      </w:r>
      <w:r w:rsidRPr="00524234">
        <w:t xml:space="preserve"> Doing so gives us a chance to ask MSGC to estimate the policy’s impact numbers, run the statutory language past the Revisor’s Office, and </w:t>
      </w:r>
      <w:r w:rsidRPr="00524234">
        <w:lastRenderedPageBreak/>
        <w:t xml:space="preserve">begin writing the final report before our July meeting, when </w:t>
      </w:r>
      <w:proofErr w:type="gramStart"/>
      <w:r w:rsidRPr="00524234">
        <w:t>we will</w:t>
      </w:r>
      <w:proofErr w:type="gramEnd"/>
      <w:r w:rsidRPr="00524234">
        <w:t xml:space="preserve"> conduct a full policy analysis and </w:t>
      </w:r>
      <w:r w:rsidR="00B629A2">
        <w:t>make</w:t>
      </w:r>
      <w:r w:rsidRPr="00524234">
        <w:t xml:space="preserve"> a final </w:t>
      </w:r>
      <w:r w:rsidR="00B629A2">
        <w:t>decision</w:t>
      </w:r>
      <w:r w:rsidRPr="00524234">
        <w:t>. The August meeting will be for final wordsmithing of the report.</w:t>
      </w:r>
    </w:p>
    <w:p w14:paraId="4A7A4984" w14:textId="1DF2AF3F" w:rsidR="00FE37A2" w:rsidRDefault="00862FEC" w:rsidP="00121496">
      <w:pPr>
        <w:pStyle w:val="BodyText"/>
      </w:pPr>
      <w:r>
        <w:t>M</w:t>
      </w:r>
      <w:r w:rsidR="003266CC">
        <w:t>y experience</w:t>
      </w:r>
      <w:r w:rsidR="00580A81">
        <w:t>s</w:t>
      </w:r>
      <w:r w:rsidR="003266CC">
        <w:t xml:space="preserve"> on several other task forces and working groups</w:t>
      </w:r>
      <w:r>
        <w:t xml:space="preserve"> teach me that</w:t>
      </w:r>
      <w:r w:rsidR="003266CC">
        <w:t xml:space="preserve"> </w:t>
      </w:r>
      <w:r w:rsidR="00DA667D">
        <w:t>t</w:t>
      </w:r>
      <w:r w:rsidR="00010063">
        <w:t xml:space="preserve">he likelihood </w:t>
      </w:r>
      <w:r w:rsidR="00580A81">
        <w:t xml:space="preserve">of </w:t>
      </w:r>
      <w:r w:rsidR="00B152E0">
        <w:t>the</w:t>
      </w:r>
      <w:r w:rsidR="005479B6">
        <w:t xml:space="preserve"> </w:t>
      </w:r>
      <w:r w:rsidR="00B152E0">
        <w:t>enactment of</w:t>
      </w:r>
      <w:r w:rsidR="00010063">
        <w:t xml:space="preserve"> this Task Force’s </w:t>
      </w:r>
      <w:r w:rsidR="005C299A">
        <w:t xml:space="preserve">legislative </w:t>
      </w:r>
      <w:r w:rsidR="00010063">
        <w:t xml:space="preserve">recommendations </w:t>
      </w:r>
      <w:r w:rsidR="005C299A">
        <w:t xml:space="preserve">is </w:t>
      </w:r>
      <w:r w:rsidR="00933A35">
        <w:t xml:space="preserve">linked to the degree of consensus with which </w:t>
      </w:r>
      <w:r w:rsidR="009A1EE5">
        <w:t>we recommend them</w:t>
      </w:r>
      <w:r w:rsidR="00933A35">
        <w:t xml:space="preserve">. </w:t>
      </w:r>
      <w:r w:rsidR="007E6D41">
        <w:t>If possible</w:t>
      </w:r>
      <w:r w:rsidR="00933A35">
        <w:t xml:space="preserve">, I would like to speak with one voice. </w:t>
      </w:r>
      <w:r w:rsidR="00096498">
        <w:t>I</w:t>
      </w:r>
      <w:r w:rsidR="007E6D41">
        <w:t>f</w:t>
      </w:r>
      <w:r w:rsidR="003D54F7">
        <w:t xml:space="preserve"> we create</w:t>
      </w:r>
      <w:r w:rsidR="003D54F7" w:rsidRPr="003D54F7">
        <w:t xml:space="preserve"> the ideal policy document </w:t>
      </w:r>
      <w:r w:rsidR="00DA667D">
        <w:t>that</w:t>
      </w:r>
      <w:r w:rsidR="003D54F7" w:rsidRPr="003D54F7">
        <w:t xml:space="preserve"> sit</w:t>
      </w:r>
      <w:r w:rsidR="00DA667D">
        <w:t>s</w:t>
      </w:r>
      <w:r w:rsidR="003D54F7" w:rsidRPr="003D54F7">
        <w:t xml:space="preserve"> on a shelf,</w:t>
      </w:r>
      <w:r w:rsidR="00DA667D">
        <w:t xml:space="preserve"> we have failed</w:t>
      </w:r>
      <w:r w:rsidR="007E6D41">
        <w:t xml:space="preserve">. </w:t>
      </w:r>
      <w:r w:rsidR="00E575D6">
        <w:t>O</w:t>
      </w:r>
      <w:r w:rsidR="007E6D41">
        <w:t xml:space="preserve">ur </w:t>
      </w:r>
      <w:r w:rsidR="00FE37A2">
        <w:t>collective goal</w:t>
      </w:r>
      <w:r w:rsidR="00E575D6">
        <w:t xml:space="preserve"> should be</w:t>
      </w:r>
      <w:r w:rsidR="00FE37A2">
        <w:t xml:space="preserve"> to </w:t>
      </w:r>
      <w:r w:rsidR="00E575D6">
        <w:t>arrive</w:t>
      </w:r>
      <w:r w:rsidR="00FE37A2">
        <w:t xml:space="preserve"> at</w:t>
      </w:r>
      <w:r w:rsidR="007E6D41">
        <w:t xml:space="preserve"> recommendations that </w:t>
      </w:r>
      <w:r w:rsidR="00096498">
        <w:t xml:space="preserve">meaningfully improve the status quo, that </w:t>
      </w:r>
      <w:r w:rsidR="003D54F7" w:rsidRPr="003D54F7">
        <w:t xml:space="preserve">everyone on the Task Force can live with, </w:t>
      </w:r>
      <w:r w:rsidR="00096498">
        <w:t xml:space="preserve">and that have </w:t>
      </w:r>
      <w:r w:rsidR="003D54F7" w:rsidRPr="003D54F7">
        <w:t>a solid chance of being enacted into law.</w:t>
      </w:r>
    </w:p>
    <w:p w14:paraId="09ABBB6A" w14:textId="75B987E1" w:rsidR="002B7832" w:rsidRDefault="00CF5D23" w:rsidP="003D6F97">
      <w:pPr>
        <w:pStyle w:val="BodyText"/>
      </w:pPr>
      <w:r>
        <w:t>To that end, I present the following framework as an alternative to the April/May framework</w:t>
      </w:r>
      <w:r w:rsidR="00C123F5">
        <w:t xml:space="preserve"> for your consideration</w:t>
      </w:r>
      <w:r>
        <w:t>.</w:t>
      </w:r>
      <w:r w:rsidR="003D6F97">
        <w:t xml:space="preserve"> </w:t>
      </w:r>
      <w:r w:rsidR="00BD5D77">
        <w:t xml:space="preserve">It was written </w:t>
      </w:r>
      <w:r w:rsidR="00B17111">
        <w:t>to</w:t>
      </w:r>
      <w:r w:rsidR="00BD5D77">
        <w:t xml:space="preserve"> be responsive to objections made </w:t>
      </w:r>
      <w:r w:rsidR="00B17111">
        <w:t>at the May meeting</w:t>
      </w:r>
      <w:r w:rsidR="00BE391A">
        <w:t xml:space="preserve">. </w:t>
      </w:r>
      <w:r w:rsidR="008420DC">
        <w:t>Although considerably different from the April/May framework, the June alternative</w:t>
      </w:r>
      <w:r w:rsidR="00BE391A" w:rsidRPr="00BE391A">
        <w:t xml:space="preserve"> framework </w:t>
      </w:r>
      <w:r w:rsidR="00815904">
        <w:t xml:space="preserve">is similar in that it </w:t>
      </w:r>
      <w:r w:rsidR="008420DC">
        <w:t xml:space="preserve">also </w:t>
      </w:r>
      <w:r w:rsidR="002B7832">
        <w:t xml:space="preserve">does what </w:t>
      </w:r>
      <w:r w:rsidR="008420DC">
        <w:t>a</w:t>
      </w:r>
      <w:r w:rsidR="00C123F5">
        <w:t>ny</w:t>
      </w:r>
      <w:r w:rsidR="008420DC">
        <w:t xml:space="preserve"> special weapons penalty scheme ought to do</w:t>
      </w:r>
      <w:r w:rsidR="00EE3506">
        <w:t xml:space="preserve"> (see page 1)</w:t>
      </w:r>
      <w:r w:rsidR="008420DC">
        <w:t xml:space="preserve">: it </w:t>
      </w:r>
      <w:r w:rsidR="00BE391A" w:rsidRPr="00BE391A">
        <w:t>assign</w:t>
      </w:r>
      <w:r w:rsidR="008420DC">
        <w:t>s</w:t>
      </w:r>
      <w:r w:rsidR="00BE391A" w:rsidRPr="00BE391A">
        <w:t xml:space="preserve"> the most serious penalties to those with the most serious criminal </w:t>
      </w:r>
      <w:proofErr w:type="gramStart"/>
      <w:r w:rsidR="00BE391A" w:rsidRPr="00BE391A">
        <w:t>histories</w:t>
      </w:r>
      <w:proofErr w:type="gramEnd"/>
      <w:r w:rsidR="00BE391A" w:rsidRPr="00BE391A">
        <w:t xml:space="preserve"> who most seriously involve dangerous weapons in committing the most serious crimes. </w:t>
      </w:r>
      <w:r w:rsidR="00B67A79">
        <w:t>By presenting</w:t>
      </w:r>
      <w:r w:rsidR="00BE391A">
        <w:t xml:space="preserve"> </w:t>
      </w:r>
      <w:r w:rsidR="00C123F5">
        <w:t xml:space="preserve">you with </w:t>
      </w:r>
      <w:r w:rsidR="00BE391A">
        <w:t>two considerably different frameworks</w:t>
      </w:r>
      <w:r w:rsidR="00C123F5">
        <w:t xml:space="preserve">, </w:t>
      </w:r>
      <w:r w:rsidR="002E421C">
        <w:t xml:space="preserve">both </w:t>
      </w:r>
      <w:r w:rsidR="00C123F5">
        <w:t xml:space="preserve">of which </w:t>
      </w:r>
      <w:r w:rsidR="002E421C">
        <w:t xml:space="preserve">accomplish the basic functions </w:t>
      </w:r>
      <w:r w:rsidR="00EE3506">
        <w:t>that</w:t>
      </w:r>
      <w:r w:rsidR="002E421C">
        <w:t xml:space="preserve"> a special weapons penalty scheme</w:t>
      </w:r>
      <w:r w:rsidR="001462AA">
        <w:t xml:space="preserve"> rationally ought to accomplish</w:t>
      </w:r>
      <w:r w:rsidR="00B629A2">
        <w:t xml:space="preserve">, </w:t>
      </w:r>
      <w:r w:rsidR="001045F1">
        <w:t xml:space="preserve">I hope </w:t>
      </w:r>
      <w:r w:rsidR="00B629A2">
        <w:t xml:space="preserve">to </w:t>
      </w:r>
      <w:r w:rsidR="000950D1" w:rsidRPr="008420DC">
        <w:t>illustrate</w:t>
      </w:r>
      <w:r w:rsidR="008420DC" w:rsidRPr="008420DC">
        <w:t xml:space="preserve"> </w:t>
      </w:r>
      <w:r w:rsidR="000848B2">
        <w:t>very different ways of accomplishing</w:t>
      </w:r>
      <w:r w:rsidR="001462AA">
        <w:t xml:space="preserve"> these f</w:t>
      </w:r>
      <w:r w:rsidR="00B629A2">
        <w:t>unctions.</w:t>
      </w:r>
      <w:r w:rsidR="001045F1">
        <w:t xml:space="preserve"> I preliminarily consider either to be superior to § 609.11</w:t>
      </w:r>
      <w:r w:rsidR="00963EB2">
        <w:t>, but I cannot give—or ask for—final support for any framework until we see the impact estimate in July. To get those impact numbers, though, we need to give tentative support to some policy framework—whether one of these alternatives or something else—on June 12</w:t>
      </w:r>
      <w:r w:rsidR="001045F1">
        <w:t>.</w:t>
      </w:r>
    </w:p>
    <w:p w14:paraId="64829778" w14:textId="60214604" w:rsidR="00FE37A2" w:rsidRDefault="00B629A2" w:rsidP="003D6F97">
      <w:pPr>
        <w:pStyle w:val="BodyText"/>
      </w:pPr>
      <w:r>
        <w:t>I hop</w:t>
      </w:r>
      <w:r w:rsidR="00C941BE">
        <w:t xml:space="preserve">e </w:t>
      </w:r>
      <w:r w:rsidR="006B2985">
        <w:t>these</w:t>
      </w:r>
      <w:r w:rsidR="00C941BE">
        <w:t xml:space="preserve"> alternative frameworks engender a lively </w:t>
      </w:r>
      <w:r>
        <w:t xml:space="preserve">discussion </w:t>
      </w:r>
      <w:r w:rsidR="001462AA">
        <w:t>on June 12 as we seek to arrive at a tentative policy agreement.</w:t>
      </w:r>
    </w:p>
    <w:p w14:paraId="302DDBB9" w14:textId="2F946506" w:rsidR="001462AA" w:rsidRDefault="00FD29C5" w:rsidP="00473B38">
      <w:pPr>
        <w:pStyle w:val="Heading3"/>
      </w:pPr>
      <w:r>
        <w:t>General</w:t>
      </w:r>
      <w:r w:rsidR="00C67A11">
        <w:t xml:space="preserve"> description of the </w:t>
      </w:r>
      <w:r w:rsidR="00473B38">
        <w:t>June alternative framework</w:t>
      </w:r>
    </w:p>
    <w:p w14:paraId="66B515FA" w14:textId="2E3B20C8" w:rsidR="001731C7" w:rsidRDefault="004F6C27" w:rsidP="003D6F97">
      <w:pPr>
        <w:pStyle w:val="BodyText"/>
      </w:pPr>
      <w:r>
        <w:t>The June alternative framework uses t</w:t>
      </w:r>
      <w:r w:rsidR="006F2FAF">
        <w:t xml:space="preserve">he April/May framework </w:t>
      </w:r>
      <w:r>
        <w:t>as its starting point</w:t>
      </w:r>
      <w:r w:rsidR="00473B38">
        <w:t xml:space="preserve">: </w:t>
      </w:r>
      <w:r w:rsidR="00E679C9">
        <w:t>the use of</w:t>
      </w:r>
      <w:r w:rsidR="00DE0EC9">
        <w:t xml:space="preserve"> a firearm to commit a designated crime causes a five-year increase in the designated crime’s statutory maximum penalty, which is doubled if the defendant’s firearm use was prohibited due to a prior crime of violence.</w:t>
      </w:r>
      <w:r w:rsidR="004C5DC7">
        <w:t xml:space="preserve"> There are, however, several differences:</w:t>
      </w:r>
    </w:p>
    <w:p w14:paraId="1C08BFD8" w14:textId="1F6FDA07" w:rsidR="004C5DC7" w:rsidRDefault="00331E7B" w:rsidP="00AB5347">
      <w:pPr>
        <w:pStyle w:val="NumberedList"/>
        <w:numPr>
          <w:ilvl w:val="0"/>
          <w:numId w:val="38"/>
        </w:numPr>
      </w:pPr>
      <w:r>
        <w:t>Leaving nothing to chance, this version gives t</w:t>
      </w:r>
      <w:r w:rsidR="00E679C9">
        <w:t xml:space="preserve">he Sentencing Guidelines Commission </w:t>
      </w:r>
      <w:r w:rsidR="00E679C9" w:rsidRPr="00E679C9">
        <w:t xml:space="preserve">a new mandate: </w:t>
      </w:r>
      <w:r w:rsidR="00C057E7">
        <w:t>it must</w:t>
      </w:r>
      <w:r w:rsidR="00E679C9" w:rsidRPr="00E679C9">
        <w:t xml:space="preserve"> increase the </w:t>
      </w:r>
      <w:r w:rsidR="00A1288A">
        <w:t xml:space="preserve">Sentencing Guidelines’ </w:t>
      </w:r>
      <w:r w:rsidR="00ED7350">
        <w:t>recommended</w:t>
      </w:r>
      <w:r w:rsidR="00E679C9" w:rsidRPr="00E679C9">
        <w:t xml:space="preserve"> </w:t>
      </w:r>
      <w:r w:rsidR="00C057E7">
        <w:t xml:space="preserve">prison </w:t>
      </w:r>
      <w:r w:rsidR="00A1288A">
        <w:t>sentence</w:t>
      </w:r>
      <w:r w:rsidR="00E679C9" w:rsidRPr="00E679C9">
        <w:t xml:space="preserve"> at a rate at least as serious as </w:t>
      </w:r>
      <w:r w:rsidR="00E679C9" w:rsidRPr="00AB5347">
        <w:rPr>
          <w:b/>
          <w:bCs/>
        </w:rPr>
        <w:t>12 months of grid time for every five years of increase</w:t>
      </w:r>
      <w:r w:rsidR="00A1288A" w:rsidRPr="00AB5347">
        <w:rPr>
          <w:b/>
          <w:bCs/>
        </w:rPr>
        <w:t>d statutory maximum penalty</w:t>
      </w:r>
      <w:r w:rsidR="00E679C9" w:rsidRPr="00E679C9">
        <w:t xml:space="preserve"> (like the gang modifier)</w:t>
      </w:r>
      <w:r w:rsidR="00E679C9">
        <w:t xml:space="preserve">. </w:t>
      </w:r>
      <w:r w:rsidR="00E02AA1" w:rsidRPr="00E02AA1">
        <w:t xml:space="preserve">To keep things simple, the </w:t>
      </w:r>
      <w:r w:rsidR="00E02AA1">
        <w:t>rest of this memo will</w:t>
      </w:r>
      <w:r w:rsidR="00E02AA1" w:rsidRPr="00E02AA1">
        <w:t xml:space="preserve"> automatically convert the statutory maximum increases into Sentencing Guidelines’ </w:t>
      </w:r>
      <w:r w:rsidR="00ED7350">
        <w:t>recommended</w:t>
      </w:r>
      <w:r w:rsidR="00E02AA1" w:rsidRPr="00E02AA1">
        <w:t xml:space="preserve"> sentence (or “grid time”) increases, assuming the Commission adopts the minimum required 1:5 gang-modifier ratio.</w:t>
      </w:r>
    </w:p>
    <w:p w14:paraId="0C8ECAC0" w14:textId="554B9A2F" w:rsidR="00ED4B79" w:rsidRDefault="00A903A9" w:rsidP="00C76AED">
      <w:pPr>
        <w:pStyle w:val="NumberedList"/>
        <w:numPr>
          <w:ilvl w:val="0"/>
          <w:numId w:val="38"/>
        </w:numPr>
      </w:pPr>
      <w:r>
        <w:t xml:space="preserve">Liability for an accomplice’s use of a firearm is expanded. The requirement that </w:t>
      </w:r>
      <w:r w:rsidRPr="00A903A9">
        <w:t>the defendant aided the accomplice’s firearm use</w:t>
      </w:r>
      <w:r>
        <w:t xml:space="preserve"> is replaced with a </w:t>
      </w:r>
      <w:r w:rsidR="00EE3506">
        <w:t xml:space="preserve">more relaxed </w:t>
      </w:r>
      <w:r>
        <w:t>requirement that</w:t>
      </w:r>
      <w:r w:rsidR="00A1288A">
        <w:t xml:space="preserve">, before the </w:t>
      </w:r>
      <w:r w:rsidR="004A4A48">
        <w:t xml:space="preserve">designated </w:t>
      </w:r>
      <w:r w:rsidR="00A1288A">
        <w:t>crime,</w:t>
      </w:r>
      <w:r>
        <w:t xml:space="preserve"> the defendant knew </w:t>
      </w:r>
      <w:r w:rsidR="00023E7D" w:rsidRPr="00023E7D">
        <w:t xml:space="preserve">that the accomplice would likely possess the firearm or </w:t>
      </w:r>
      <w:r w:rsidR="00023E7D" w:rsidRPr="00023E7D">
        <w:lastRenderedPageBreak/>
        <w:t>other dangerous weapon at the time of the crime.</w:t>
      </w:r>
      <w:r w:rsidR="00023E7D">
        <w:t xml:space="preserve"> (“Likely” is a commonly used term in criminal law.)</w:t>
      </w:r>
    </w:p>
    <w:p w14:paraId="6735350A" w14:textId="69017DA6" w:rsidR="004A4A48" w:rsidRDefault="00513342" w:rsidP="00C76AED">
      <w:pPr>
        <w:pStyle w:val="NumberedList"/>
        <w:numPr>
          <w:ilvl w:val="0"/>
          <w:numId w:val="38"/>
        </w:numPr>
      </w:pPr>
      <w:r>
        <w:t>In addition to the 12- or 24-month durational increase, t</w:t>
      </w:r>
      <w:r w:rsidR="00E95915">
        <w:t xml:space="preserve">here is a new mandatory minimum for using a firearm to commit a designated crime: </w:t>
      </w:r>
      <w:r w:rsidR="00293ABF">
        <w:t>Executed (even if the Guidelines recommend a stayed sentence), at the Guidelines’ grid time</w:t>
      </w:r>
      <w:r>
        <w:t xml:space="preserve"> (</w:t>
      </w:r>
      <w:r w:rsidR="00DD7E35">
        <w:t>as extended by</w:t>
      </w:r>
      <w:r>
        <w:t xml:space="preserve"> 12 or 24 months)</w:t>
      </w:r>
      <w:r w:rsidR="00293ABF">
        <w:t xml:space="preserve">. </w:t>
      </w:r>
      <w:r w:rsidR="004F78C7">
        <w:t>For example, if s</w:t>
      </w:r>
      <w:r w:rsidR="004B4470">
        <w:t xml:space="preserve">omeone with a criminal-history score at or below </w:t>
      </w:r>
      <w:r w:rsidR="00EE3506">
        <w:t>2</w:t>
      </w:r>
      <w:r w:rsidR="004B4470">
        <w:t xml:space="preserve"> commits second-degree assault </w:t>
      </w:r>
      <w:r w:rsidR="000B3C77">
        <w:t>by using (</w:t>
      </w:r>
      <w:r w:rsidR="000B3C77" w:rsidRPr="00A242C6">
        <w:rPr>
          <w:i/>
          <w:iCs/>
        </w:rPr>
        <w:t>e.g.</w:t>
      </w:r>
      <w:r w:rsidR="000B3C77">
        <w:t xml:space="preserve">, brandishing) a firearm, </w:t>
      </w:r>
      <w:r w:rsidR="00A242C6">
        <w:t xml:space="preserve">or </w:t>
      </w:r>
      <w:r w:rsidR="00E9619C">
        <w:t>uses</w:t>
      </w:r>
      <w:r w:rsidR="00E9619C" w:rsidRPr="00E9619C">
        <w:t xml:space="preserve"> a firearm </w:t>
      </w:r>
      <w:r w:rsidR="00A242C6">
        <w:t>(</w:t>
      </w:r>
      <w:r w:rsidR="00A242C6" w:rsidRPr="00A242C6">
        <w:rPr>
          <w:i/>
          <w:iCs/>
        </w:rPr>
        <w:t>e.g.</w:t>
      </w:r>
      <w:r w:rsidR="00A242C6">
        <w:t xml:space="preserve">, hunting) </w:t>
      </w:r>
      <w:r w:rsidR="00E9619C" w:rsidRPr="00E9619C">
        <w:t>after a crime of violence</w:t>
      </w:r>
      <w:r w:rsidR="004F78C7">
        <w:t xml:space="preserve">, </w:t>
      </w:r>
      <w:r w:rsidR="008B6E17">
        <w:t xml:space="preserve">the Guidelines would presume a stayed sentence, but the mandatory-minimum would </w:t>
      </w:r>
      <w:r w:rsidR="00B8605C">
        <w:t xml:space="preserve">instead </w:t>
      </w:r>
      <w:r w:rsidR="008B6E17">
        <w:t>require</w:t>
      </w:r>
      <w:r w:rsidR="002471C9">
        <w:t xml:space="preserve"> an executed prison sentence </w:t>
      </w:r>
      <w:r w:rsidR="00EE3506">
        <w:t>at</w:t>
      </w:r>
      <w:r w:rsidR="002471C9">
        <w:t xml:space="preserve"> the Guidelines-recommended duration</w:t>
      </w:r>
      <w:r w:rsidR="00913F9D">
        <w:t>, which would be 12 months longer than stated on the grid</w:t>
      </w:r>
      <w:r w:rsidR="002471C9">
        <w:t>.</w:t>
      </w:r>
    </w:p>
    <w:p w14:paraId="6EAD9179" w14:textId="7343F722" w:rsidR="002471C9" w:rsidRDefault="009E7385" w:rsidP="00C76AED">
      <w:pPr>
        <w:pStyle w:val="NumberedList"/>
        <w:numPr>
          <w:ilvl w:val="0"/>
          <w:numId w:val="38"/>
        </w:numPr>
      </w:pPr>
      <w:r>
        <w:t>In general, this mandatory minimum is waivable</w:t>
      </w:r>
      <w:r w:rsidR="0051151B">
        <w:rPr>
          <w:rStyle w:val="FootnoteReference"/>
        </w:rPr>
        <w:footnoteReference w:id="5"/>
      </w:r>
      <w:r>
        <w:t xml:space="preserve"> if the sentencing court can articulate substantial and compelling reasons for departure. </w:t>
      </w:r>
      <w:r w:rsidR="00513342">
        <w:t>T</w:t>
      </w:r>
      <w:r>
        <w:t>wo exceptions</w:t>
      </w:r>
      <w:r w:rsidR="00513342">
        <w:t xml:space="preserve"> follow</w:t>
      </w:r>
      <w:r>
        <w:t>.</w:t>
      </w:r>
    </w:p>
    <w:p w14:paraId="49F0B9CD" w14:textId="3A574B00" w:rsidR="009E7385" w:rsidRDefault="009E7385" w:rsidP="00C76AED">
      <w:pPr>
        <w:pStyle w:val="NumberedList"/>
        <w:numPr>
          <w:ilvl w:val="0"/>
          <w:numId w:val="38"/>
        </w:numPr>
      </w:pPr>
      <w:r>
        <w:t xml:space="preserve">The mandatory minimum is not waivable—prison is legally required—if </w:t>
      </w:r>
      <w:r w:rsidR="00513342">
        <w:t xml:space="preserve">the firearm was discharged. </w:t>
      </w:r>
      <w:r w:rsidR="000B1D1F">
        <w:t>(</w:t>
      </w:r>
      <w:r w:rsidR="00400D29">
        <w:t xml:space="preserve">This </w:t>
      </w:r>
      <w:r w:rsidR="000B1D1F">
        <w:t xml:space="preserve">exception </w:t>
      </w:r>
      <w:r w:rsidR="00400D29">
        <w:t>does not apply</w:t>
      </w:r>
      <w:r w:rsidR="00513342">
        <w:t xml:space="preserve"> </w:t>
      </w:r>
      <w:r w:rsidR="00BB7FA7">
        <w:t xml:space="preserve">if the designated crime is possession of a firearm or ammunition </w:t>
      </w:r>
      <w:r w:rsidR="00400D29">
        <w:t>after a crime of violence</w:t>
      </w:r>
      <w:r w:rsidR="000B1D1F">
        <w:t>; the defendant may merely be hunting.)</w:t>
      </w:r>
    </w:p>
    <w:p w14:paraId="09AC87AC" w14:textId="77784A64" w:rsidR="000B1D1F" w:rsidRDefault="000B1D1F" w:rsidP="00C76AED">
      <w:pPr>
        <w:pStyle w:val="NumberedList"/>
        <w:numPr>
          <w:ilvl w:val="0"/>
          <w:numId w:val="38"/>
        </w:numPr>
      </w:pPr>
      <w:r>
        <w:t xml:space="preserve">The mandatory minimum is not waivable if the defendant had been previously eligible for a mandatory minimum sentence, either under the new law or under § 609.11, subd. 5, due to firearm use. </w:t>
      </w:r>
      <w:r w:rsidR="005D6311">
        <w:t>(</w:t>
      </w:r>
      <w:r w:rsidR="009613BE">
        <w:t>But t</w:t>
      </w:r>
      <w:r w:rsidR="007C6357">
        <w:t xml:space="preserve">he </w:t>
      </w:r>
      <w:r w:rsidR="005D6311">
        <w:t>prior offense</w:t>
      </w:r>
      <w:r w:rsidR="007C6357">
        <w:t xml:space="preserve"> must count in the defendant’s Sentencing Guidelines criminal history score; </w:t>
      </w:r>
      <w:r w:rsidR="007C6357">
        <w:rPr>
          <w:i/>
          <w:iCs/>
        </w:rPr>
        <w:t>i.e.</w:t>
      </w:r>
      <w:r w:rsidR="007C6357">
        <w:t>, decayed offenses do not count</w:t>
      </w:r>
      <w:r w:rsidR="005D6311">
        <w:t>.)</w:t>
      </w:r>
    </w:p>
    <w:p w14:paraId="3EA294E2" w14:textId="1F85E7A2" w:rsidR="009613BE" w:rsidRDefault="009613BE" w:rsidP="00C76AED">
      <w:pPr>
        <w:pStyle w:val="NumberedList"/>
        <w:numPr>
          <w:ilvl w:val="0"/>
          <w:numId w:val="38"/>
        </w:numPr>
      </w:pPr>
      <w:r>
        <w:t>There is a new</w:t>
      </w:r>
      <w:r w:rsidRPr="009613BE">
        <w:t xml:space="preserve"> six-month increase in grid time for use of a dangerous weapon other than a firearm, and a six- or twelve-month increase in grid time for firearm possession—depending on whether </w:t>
      </w:r>
      <w:r w:rsidR="00D71E27">
        <w:t>firearm</w:t>
      </w:r>
      <w:r w:rsidRPr="009613BE">
        <w:t xml:space="preserve"> possession was prohibited due to a prior crime of violence. </w:t>
      </w:r>
      <w:r w:rsidR="00D71E27">
        <w:t xml:space="preserve">This is a change to the </w:t>
      </w:r>
      <w:r w:rsidR="00ED7350">
        <w:t>Guidelines-recommended</w:t>
      </w:r>
      <w:r w:rsidR="00D71E27">
        <w:t xml:space="preserve"> duration only; there is no mandatory minimum.</w:t>
      </w:r>
      <w:r w:rsidR="009F086D">
        <w:t xml:space="preserve"> The firearm possession must be on the defendant’s person or within immediate reach.</w:t>
      </w:r>
    </w:p>
    <w:p w14:paraId="530B5492" w14:textId="621E3114" w:rsidR="00E575BA" w:rsidRDefault="00E575BA" w:rsidP="00C76AED">
      <w:pPr>
        <w:pStyle w:val="NumberedList"/>
        <w:numPr>
          <w:ilvl w:val="0"/>
          <w:numId w:val="38"/>
        </w:numPr>
      </w:pPr>
      <w:r>
        <w:t>Attempts and conspiracies get half the increase stated.</w:t>
      </w:r>
    </w:p>
    <w:p w14:paraId="0B5F16D4" w14:textId="6DDA3A1B" w:rsidR="004B4470" w:rsidRDefault="00C63A66" w:rsidP="00FF7EDB">
      <w:pPr>
        <w:pStyle w:val="NumberedList"/>
        <w:numPr>
          <w:ilvl w:val="0"/>
          <w:numId w:val="38"/>
        </w:numPr>
      </w:pPr>
      <w:r>
        <w:t>Finally, t</w:t>
      </w:r>
      <w:r w:rsidR="007608D1">
        <w:t xml:space="preserve">his version </w:t>
      </w:r>
      <w:r w:rsidR="00FF7EDB">
        <w:t>includes</w:t>
      </w:r>
      <w:r w:rsidR="007608D1">
        <w:t xml:space="preserve"> </w:t>
      </w:r>
      <w:r w:rsidR="00DC7C55">
        <w:t xml:space="preserve">a change to the designated crime list: </w:t>
      </w:r>
      <w:r w:rsidR="007608D1">
        <w:t>instead of “</w:t>
      </w:r>
      <w:r w:rsidR="007608D1" w:rsidRPr="007608D1">
        <w:t>a felony violation of chapter 152</w:t>
      </w:r>
      <w:r w:rsidR="007608D1">
        <w:t xml:space="preserve">,” </w:t>
      </w:r>
      <w:r w:rsidR="00787B35">
        <w:t>the list is limited to</w:t>
      </w:r>
      <w:r w:rsidR="00367485">
        <w:t xml:space="preserve"> </w:t>
      </w:r>
      <w:r w:rsidR="002F62A9">
        <w:t xml:space="preserve">first-degree controlled substance crime, second-degree controlled substance crime, and all </w:t>
      </w:r>
      <w:r w:rsidR="00367485">
        <w:t xml:space="preserve">chapter 152 </w:t>
      </w:r>
      <w:r w:rsidR="002F62A9">
        <w:t>sale, manufacture, and importation crimes.</w:t>
      </w:r>
      <w:bookmarkStart w:id="5" w:name="_Ref231259405"/>
      <w:r w:rsidR="002F62A9">
        <w:rPr>
          <w:rStyle w:val="FootnoteReference"/>
        </w:rPr>
        <w:footnoteReference w:id="6"/>
      </w:r>
      <w:bookmarkEnd w:id="5"/>
      <w:r w:rsidR="002F62A9">
        <w:t xml:space="preserve"> </w:t>
      </w:r>
      <w:r w:rsidR="0009056D">
        <w:t>(This might be a compromise position</w:t>
      </w:r>
      <w:r w:rsidR="00CC4005">
        <w:t xml:space="preserve"> worth discussing</w:t>
      </w:r>
      <w:r w:rsidR="0009056D">
        <w:t xml:space="preserve"> with respect to the “crimes of violence” list in </w:t>
      </w:r>
      <w:r w:rsidR="00FF7EDB">
        <w:t>§ 624.712, as well.)</w:t>
      </w:r>
    </w:p>
    <w:p w14:paraId="7B2C17A3" w14:textId="4F53E7C3" w:rsidR="00AB5347" w:rsidRDefault="0005651D" w:rsidP="00C63A66">
      <w:pPr>
        <w:pStyle w:val="BodyText"/>
      </w:pPr>
      <w:r>
        <w:lastRenderedPageBreak/>
        <w:t xml:space="preserve">Does the June alternative framework </w:t>
      </w:r>
      <w:r w:rsidR="00B749E2">
        <w:t xml:space="preserve">grade the severity of penalty by </w:t>
      </w:r>
      <w:r w:rsidR="00AB5347">
        <w:t>criminal history, crime severity, and the severity of weapons involvement? Clearly</w:t>
      </w:r>
      <w:r w:rsidR="002A4D2F">
        <w:t xml:space="preserve">, it grades the severity of the </w:t>
      </w:r>
      <w:r w:rsidR="00111803" w:rsidRPr="00125B56">
        <w:rPr>
          <w:b/>
          <w:bCs/>
        </w:rPr>
        <w:t xml:space="preserve">additional </w:t>
      </w:r>
      <w:r w:rsidR="002A4D2F" w:rsidRPr="00125B56">
        <w:rPr>
          <w:b/>
          <w:bCs/>
        </w:rPr>
        <w:t>penalty</w:t>
      </w:r>
      <w:r w:rsidR="002A4D2F">
        <w:t xml:space="preserve"> by the </w:t>
      </w:r>
      <w:r w:rsidR="002A4D2F" w:rsidRPr="00125B56">
        <w:rPr>
          <w:b/>
          <w:bCs/>
        </w:rPr>
        <w:t>severity of weapons involvement</w:t>
      </w:r>
      <w:r w:rsidR="002A4D2F">
        <w:t>:</w:t>
      </w:r>
    </w:p>
    <w:p w14:paraId="369FE212" w14:textId="77777777" w:rsidR="00963EB2" w:rsidRDefault="00AB5347" w:rsidP="00963EB2">
      <w:pPr>
        <w:pStyle w:val="List"/>
      </w:pPr>
      <w:r>
        <w:t xml:space="preserve">Committing a designated offense with </w:t>
      </w:r>
      <w:r w:rsidRPr="00963EB2">
        <w:rPr>
          <w:b/>
          <w:bCs/>
        </w:rPr>
        <w:t>no firearm</w:t>
      </w:r>
      <w:r>
        <w:t xml:space="preserve"> or while </w:t>
      </w:r>
      <w:r w:rsidRPr="00963EB2">
        <w:rPr>
          <w:b/>
          <w:bCs/>
        </w:rPr>
        <w:t>possessing a firearm off-site</w:t>
      </w:r>
      <w:r>
        <w:t xml:space="preserve"> results in </w:t>
      </w:r>
      <w:r w:rsidRPr="00963EB2">
        <w:rPr>
          <w:b/>
          <w:bCs/>
        </w:rPr>
        <w:t>no additional penalt</w:t>
      </w:r>
      <w:r w:rsidR="004C5D88" w:rsidRPr="00963EB2">
        <w:rPr>
          <w:b/>
          <w:bCs/>
        </w:rPr>
        <w:t>y</w:t>
      </w:r>
      <w:r>
        <w:t xml:space="preserve"> apply</w:t>
      </w:r>
      <w:r w:rsidR="0093475E">
        <w:t>ing</w:t>
      </w:r>
      <w:r>
        <w:t xml:space="preserve"> to the Guidelines-recommended sentence (a change from § 609.11).</w:t>
      </w:r>
      <w:r w:rsidR="00963EB2">
        <w:t xml:space="preserve"> Typical scenarios: possessing ammunition, or possessing a firearm in a weapons locker, after a crime of violence conviction or adjudication.</w:t>
      </w:r>
    </w:p>
    <w:p w14:paraId="763BA4B7" w14:textId="2AB1BF34" w:rsidR="008A6F64" w:rsidRDefault="00AB5347" w:rsidP="009329CD">
      <w:pPr>
        <w:pStyle w:val="List"/>
      </w:pPr>
      <w:r w:rsidRPr="00963EB2">
        <w:rPr>
          <w:b/>
          <w:bCs/>
        </w:rPr>
        <w:t>Using a dangerous weapon</w:t>
      </w:r>
      <w:r>
        <w:t xml:space="preserve"> (other than a firearm) to commit a </w:t>
      </w:r>
      <w:r w:rsidR="0093475E">
        <w:t>designated crime</w:t>
      </w:r>
      <w:r>
        <w:t xml:space="preserve"> results in </w:t>
      </w:r>
      <w:r w:rsidRPr="00963EB2">
        <w:rPr>
          <w:b/>
          <w:bCs/>
        </w:rPr>
        <w:t>six months added</w:t>
      </w:r>
      <w:r>
        <w:t xml:space="preserve"> to the Guidelines-recommended duration (no change in the Guidelines-recommended disposition).</w:t>
      </w:r>
      <w:r w:rsidR="00963EB2">
        <w:t xml:space="preserve"> Typical scenario: brandishing a knife in a threatening manner.</w:t>
      </w:r>
    </w:p>
    <w:p w14:paraId="456E57B9" w14:textId="3C769009" w:rsidR="00AB5347" w:rsidRDefault="0093475E" w:rsidP="0085022A">
      <w:pPr>
        <w:pStyle w:val="List"/>
      </w:pPr>
      <w:r w:rsidRPr="00963EB2">
        <w:rPr>
          <w:b/>
          <w:bCs/>
        </w:rPr>
        <w:t>Possessing a firearm</w:t>
      </w:r>
      <w:r>
        <w:t xml:space="preserve"> on </w:t>
      </w:r>
      <w:r w:rsidR="00963EB2">
        <w:t>one’s</w:t>
      </w:r>
      <w:r w:rsidR="00140967">
        <w:t xml:space="preserve"> </w:t>
      </w:r>
      <w:r>
        <w:t xml:space="preserve">person or in immediate reach while committing a designated crime results in </w:t>
      </w:r>
      <w:r w:rsidRPr="00963EB2">
        <w:rPr>
          <w:b/>
          <w:bCs/>
        </w:rPr>
        <w:t xml:space="preserve">six months added </w:t>
      </w:r>
      <w:r>
        <w:t xml:space="preserve">to the duration, or </w:t>
      </w:r>
      <w:r w:rsidRPr="00963EB2">
        <w:rPr>
          <w:b/>
          <w:bCs/>
        </w:rPr>
        <w:t>twelve months</w:t>
      </w:r>
      <w:r>
        <w:t xml:space="preserve"> </w:t>
      </w:r>
      <w:r w:rsidRPr="00963EB2">
        <w:rPr>
          <w:b/>
          <w:bCs/>
        </w:rPr>
        <w:t>added</w:t>
      </w:r>
      <w:r>
        <w:t xml:space="preserve"> if the possession was prohibited due to a prior crime of violence. (No change in the disposition.)</w:t>
      </w:r>
      <w:r w:rsidR="00963EB2">
        <w:t xml:space="preserve"> </w:t>
      </w:r>
      <w:r w:rsidR="00963EB2" w:rsidRPr="00963EB2">
        <w:t>Typical scenario: carrying a firearm after a crime of violence conviction or juvenile adjudication</w:t>
      </w:r>
      <w:r w:rsidR="00963EB2">
        <w:t xml:space="preserve"> (this adds six months only).</w:t>
      </w:r>
    </w:p>
    <w:p w14:paraId="2B611CC7" w14:textId="0CB6F06F" w:rsidR="0093475E" w:rsidRDefault="0093475E" w:rsidP="004A4CDA">
      <w:pPr>
        <w:pStyle w:val="List"/>
      </w:pPr>
      <w:r w:rsidRPr="00963EB2">
        <w:rPr>
          <w:b/>
          <w:bCs/>
        </w:rPr>
        <w:t>Using a firearm</w:t>
      </w:r>
      <w:r>
        <w:t xml:space="preserve"> to commit</w:t>
      </w:r>
      <w:r w:rsidR="00982A6D">
        <w:t>, or flee from,</w:t>
      </w:r>
      <w:r>
        <w:t xml:space="preserve"> a designated crime results in </w:t>
      </w:r>
      <w:r w:rsidRPr="00963EB2">
        <w:rPr>
          <w:b/>
          <w:bCs/>
        </w:rPr>
        <w:t>twelve months added</w:t>
      </w:r>
      <w:r>
        <w:t xml:space="preserve"> to the Guidelines duration</w:t>
      </w:r>
      <w:r w:rsidR="00AF2F16">
        <w:t xml:space="preserve">—or </w:t>
      </w:r>
      <w:r w:rsidR="00E227E7" w:rsidRPr="00963EB2">
        <w:rPr>
          <w:b/>
          <w:bCs/>
        </w:rPr>
        <w:t>twenty-four</w:t>
      </w:r>
      <w:r w:rsidR="00AF2F16" w:rsidRPr="00963EB2">
        <w:rPr>
          <w:b/>
          <w:bCs/>
        </w:rPr>
        <w:t xml:space="preserve"> months added</w:t>
      </w:r>
      <w:r w:rsidR="00AF2F16">
        <w:t xml:space="preserve"> if the use was prohibited due to a prior crime of violence—</w:t>
      </w:r>
      <w:r w:rsidR="00EE3506">
        <w:t>plus</w:t>
      </w:r>
      <w:r>
        <w:t xml:space="preserve"> a </w:t>
      </w:r>
      <w:r w:rsidRPr="00D17FF6">
        <w:rPr>
          <w:b/>
          <w:bCs/>
        </w:rPr>
        <w:t xml:space="preserve">mandatory </w:t>
      </w:r>
      <w:r w:rsidR="00EE3506" w:rsidRPr="00D17FF6">
        <w:rPr>
          <w:b/>
          <w:bCs/>
        </w:rPr>
        <w:t>executed prison</w:t>
      </w:r>
      <w:r w:rsidR="00EE3506">
        <w:t xml:space="preserve"> sentence </w:t>
      </w:r>
      <w:r>
        <w:t xml:space="preserve">for the </w:t>
      </w:r>
      <w:r w:rsidR="0066165C">
        <w:t xml:space="preserve">lengthened </w:t>
      </w:r>
      <w:r>
        <w:t>Guidelines duration (possibly waivable)</w:t>
      </w:r>
      <w:r w:rsidR="00AF2F16">
        <w:t>.</w:t>
      </w:r>
      <w:r w:rsidR="00963EB2">
        <w:t xml:space="preserve"> T</w:t>
      </w:r>
      <w:r w:rsidR="00963EB2" w:rsidRPr="00963EB2">
        <w:t>ypical scenarios: brandishing a firearm in a threatening manner (</w:t>
      </w:r>
      <w:r w:rsidR="00963EB2">
        <w:t xml:space="preserve">as in </w:t>
      </w:r>
      <w:r w:rsidR="00963EB2" w:rsidRPr="00963EB2">
        <w:t>second-degree assault or first-degree aggravated robbery/carjacking).</w:t>
      </w:r>
    </w:p>
    <w:p w14:paraId="6ADC99C8" w14:textId="2E0EB1BD" w:rsidR="00AF2F16" w:rsidRDefault="00AF2F16" w:rsidP="00223DF5">
      <w:pPr>
        <w:pStyle w:val="List"/>
      </w:pPr>
      <w:r w:rsidRPr="00D17FF6">
        <w:rPr>
          <w:b/>
          <w:bCs/>
        </w:rPr>
        <w:t>Using a firearm</w:t>
      </w:r>
      <w:r>
        <w:t xml:space="preserve"> to commit a designated crime a second time, before it has decayed from the criminal history score, results in the mandatory </w:t>
      </w:r>
      <w:r w:rsidR="00D17FF6">
        <w:t>executed prison sentence</w:t>
      </w:r>
      <w:r w:rsidR="00982A6D">
        <w:t xml:space="preserve"> for </w:t>
      </w:r>
      <w:r w:rsidR="00EE3506">
        <w:t xml:space="preserve">firearm </w:t>
      </w:r>
      <w:r w:rsidR="00982A6D">
        <w:t>use</w:t>
      </w:r>
      <w:r>
        <w:t xml:space="preserve"> (</w:t>
      </w:r>
      <w:r w:rsidR="00D17FF6">
        <w:t>above</w:t>
      </w:r>
      <w:r>
        <w:t xml:space="preserve">) being </w:t>
      </w:r>
      <w:r w:rsidRPr="00D17FF6">
        <w:rPr>
          <w:b/>
          <w:bCs/>
        </w:rPr>
        <w:t>nonwaivable</w:t>
      </w:r>
      <w:r w:rsidR="00BB0021" w:rsidRPr="00BB0021">
        <w:t>.</w:t>
      </w:r>
      <w:r w:rsidR="00D17FF6">
        <w:t xml:space="preserve"> </w:t>
      </w:r>
      <w:r w:rsidR="00D17FF6" w:rsidRPr="00D17FF6">
        <w:t>Typical scenario: Second conviction for robbery or carjacking using a firearm.</w:t>
      </w:r>
    </w:p>
    <w:p w14:paraId="792EA3CB" w14:textId="3131E1EA" w:rsidR="0093475E" w:rsidRDefault="00982A6D" w:rsidP="000635F5">
      <w:pPr>
        <w:pStyle w:val="List"/>
      </w:pPr>
      <w:r w:rsidRPr="00D17FF6">
        <w:rPr>
          <w:b/>
          <w:bCs/>
        </w:rPr>
        <w:t xml:space="preserve">Discharging </w:t>
      </w:r>
      <w:r>
        <w:t xml:space="preserve">a firearm while committing, or fleeing from, a designated crime results in the mandatory minimum for </w:t>
      </w:r>
      <w:r w:rsidR="00EE3506">
        <w:t xml:space="preserve">firearm </w:t>
      </w:r>
      <w:r>
        <w:t>use (</w:t>
      </w:r>
      <w:r w:rsidR="00D17FF6">
        <w:t>above</w:t>
      </w:r>
      <w:r>
        <w:t xml:space="preserve">) being </w:t>
      </w:r>
      <w:r w:rsidRPr="00D17FF6">
        <w:rPr>
          <w:b/>
          <w:bCs/>
        </w:rPr>
        <w:t>nonwaivable</w:t>
      </w:r>
      <w:r w:rsidR="00BB0021">
        <w:t>.</w:t>
      </w:r>
      <w:r w:rsidR="00D17FF6">
        <w:t xml:space="preserve"> </w:t>
      </w:r>
      <w:r w:rsidR="00D17FF6" w:rsidRPr="00D17FF6">
        <w:t>Typical scenarios: second- or first-degree assault, or attempted murder.</w:t>
      </w:r>
    </w:p>
    <w:p w14:paraId="468C3D07" w14:textId="4069955F" w:rsidR="00C67A11" w:rsidRDefault="00AD4A09" w:rsidP="007D1DD8">
      <w:pPr>
        <w:pStyle w:val="BodyText"/>
      </w:pPr>
      <w:r>
        <w:t>Because the</w:t>
      </w:r>
      <w:r w:rsidR="00C17583">
        <w:t>se</w:t>
      </w:r>
      <w:r w:rsidR="00111803" w:rsidRPr="00111803">
        <w:t xml:space="preserve"> additional </w:t>
      </w:r>
      <w:r w:rsidR="00391BB7" w:rsidRPr="00111803">
        <w:t>penalt</w:t>
      </w:r>
      <w:r w:rsidR="00391BB7">
        <w:t xml:space="preserve">ies, </w:t>
      </w:r>
      <w:r w:rsidR="00C17583">
        <w:t>being</w:t>
      </w:r>
      <w:r>
        <w:t xml:space="preserve"> graded</w:t>
      </w:r>
      <w:r w:rsidR="00111803" w:rsidRPr="00111803">
        <w:t xml:space="preserve"> </w:t>
      </w:r>
      <w:r>
        <w:t xml:space="preserve">in severity </w:t>
      </w:r>
      <w:r w:rsidR="00111803" w:rsidRPr="00111803">
        <w:t>by the severity of weapons involvement</w:t>
      </w:r>
      <w:r w:rsidR="00C17583">
        <w:t xml:space="preserve">, </w:t>
      </w:r>
      <w:r>
        <w:t>are</w:t>
      </w:r>
      <w:r w:rsidR="00C80F03">
        <w:t xml:space="preserve"> added to the Sentencing Guidelines sentence</w:t>
      </w:r>
      <w:r w:rsidR="00C17583">
        <w:t xml:space="preserve">, and because the Guidelines sentence </w:t>
      </w:r>
      <w:r w:rsidR="00C80F03">
        <w:t xml:space="preserve">is already graded by </w:t>
      </w:r>
      <w:r w:rsidR="007439CE">
        <w:t>offense severity and criminal history</w:t>
      </w:r>
      <w:r w:rsidR="00C17583">
        <w:t xml:space="preserve">, it follows that </w:t>
      </w:r>
      <w:r w:rsidR="007439CE">
        <w:t>the June alternative framework</w:t>
      </w:r>
      <w:r w:rsidR="00D17FF6">
        <w:t xml:space="preserve">—unlike § 609.11— </w:t>
      </w:r>
      <w:r w:rsidR="00AA5682" w:rsidRPr="00AA5682">
        <w:t>accomplish</w:t>
      </w:r>
      <w:r w:rsidR="00D17FF6">
        <w:t>es</w:t>
      </w:r>
      <w:r w:rsidR="00AA5682" w:rsidRPr="00AA5682">
        <w:t xml:space="preserve"> the basic functions </w:t>
      </w:r>
      <w:r w:rsidR="00DD7E35">
        <w:t>that</w:t>
      </w:r>
      <w:r w:rsidR="00AA5682" w:rsidRPr="00AA5682">
        <w:t xml:space="preserve"> a special weapons penalty scheme rationally ought to accomplis</w:t>
      </w:r>
      <w:r w:rsidR="00AA5682">
        <w:t>h.</w:t>
      </w:r>
    </w:p>
    <w:p w14:paraId="5ED0C072" w14:textId="26D258CA" w:rsidR="00FD29C5" w:rsidRPr="00FD29C5" w:rsidRDefault="00FD29C5" w:rsidP="00FD29C5">
      <w:pPr>
        <w:keepNext/>
        <w:tabs>
          <w:tab w:val="left" w:pos="735"/>
        </w:tabs>
        <w:spacing w:before="240" w:after="120"/>
        <w:outlineLvl w:val="2"/>
        <w:rPr>
          <w:rFonts w:eastAsiaTheme="majorEastAsia" w:cs="Arial"/>
          <w:b/>
          <w:color w:val="003865"/>
          <w:sz w:val="24"/>
        </w:rPr>
      </w:pPr>
      <w:r>
        <w:rPr>
          <w:rFonts w:eastAsiaTheme="majorEastAsia" w:cs="Arial"/>
          <w:b/>
          <w:color w:val="003865"/>
          <w:sz w:val="24"/>
        </w:rPr>
        <w:t>Detailed</w:t>
      </w:r>
      <w:r w:rsidRPr="00FD29C5">
        <w:rPr>
          <w:rFonts w:eastAsiaTheme="majorEastAsia" w:cs="Arial"/>
          <w:b/>
          <w:color w:val="003865"/>
          <w:sz w:val="24"/>
        </w:rPr>
        <w:t xml:space="preserve"> description of the June alternative framework</w:t>
      </w:r>
    </w:p>
    <w:p w14:paraId="1E574811" w14:textId="1B55D2FF" w:rsidR="00333C49" w:rsidRDefault="00333C49" w:rsidP="007D1DD8">
      <w:pPr>
        <w:pStyle w:val="BodyText"/>
      </w:pPr>
      <w:r>
        <w:t>The description that follows contains three levels of detail, tailored to the reader’s preference. A task force member who does not wish to go deeper may stop at any level and have an adequate grasp of the proposal.</w:t>
      </w:r>
      <w:r w:rsidR="00482ACE">
        <w:t xml:space="preserve"> They are:</w:t>
      </w:r>
    </w:p>
    <w:p w14:paraId="1574693A" w14:textId="4172A836" w:rsidR="00333C49" w:rsidRDefault="00333C49" w:rsidP="00333C49">
      <w:pPr>
        <w:pStyle w:val="List"/>
      </w:pPr>
      <w:r>
        <w:t xml:space="preserve">Level 1: The nutshell </w:t>
      </w:r>
      <w:r w:rsidR="0020645B">
        <w:t xml:space="preserve">summary </w:t>
      </w:r>
      <w:r>
        <w:t>table</w:t>
      </w:r>
      <w:r w:rsidR="005804E3">
        <w:t xml:space="preserve"> (</w:t>
      </w:r>
      <w:r w:rsidR="00FD29C5">
        <w:t>p. </w:t>
      </w:r>
      <w:r w:rsidR="00765C2A">
        <w:fldChar w:fldCharType="begin"/>
      </w:r>
      <w:r w:rsidR="00765C2A">
        <w:instrText xml:space="preserve"> PAGEREF _Ref231259293 \h </w:instrText>
      </w:r>
      <w:r w:rsidR="00765C2A">
        <w:fldChar w:fldCharType="separate"/>
      </w:r>
      <w:r w:rsidR="00D17FF6">
        <w:rPr>
          <w:noProof/>
        </w:rPr>
        <w:t>7</w:t>
      </w:r>
      <w:r w:rsidR="00765C2A">
        <w:fldChar w:fldCharType="end"/>
      </w:r>
      <w:r w:rsidR="005804E3">
        <w:t>)</w:t>
      </w:r>
    </w:p>
    <w:p w14:paraId="2DF5A0A0" w14:textId="6D9F39E8" w:rsidR="00333C49" w:rsidRDefault="00333C49" w:rsidP="00333C49">
      <w:pPr>
        <w:pStyle w:val="List"/>
      </w:pPr>
      <w:r>
        <w:t>Level 2: The table’s footnotes</w:t>
      </w:r>
      <w:r w:rsidR="005804E3">
        <w:t xml:space="preserve"> (p. </w:t>
      </w:r>
      <w:r w:rsidR="005804E3">
        <w:fldChar w:fldCharType="begin"/>
      </w:r>
      <w:r w:rsidR="005804E3">
        <w:instrText xml:space="preserve"> PAGEREF _Ref230351429 \h </w:instrText>
      </w:r>
      <w:r w:rsidR="005804E3">
        <w:fldChar w:fldCharType="separate"/>
      </w:r>
      <w:r w:rsidR="00D17FF6">
        <w:rPr>
          <w:noProof/>
        </w:rPr>
        <w:t>8</w:t>
      </w:r>
      <w:r w:rsidR="005804E3">
        <w:fldChar w:fldCharType="end"/>
      </w:r>
      <w:r w:rsidR="005804E3">
        <w:t>)</w:t>
      </w:r>
    </w:p>
    <w:p w14:paraId="431FE9B3" w14:textId="381D8235" w:rsidR="00333C49" w:rsidRPr="007D1DD8" w:rsidRDefault="00333C49" w:rsidP="00333C49">
      <w:pPr>
        <w:pStyle w:val="List"/>
      </w:pPr>
      <w:r>
        <w:t>Level 3: The draft statutory language</w:t>
      </w:r>
      <w:r w:rsidR="005804E3">
        <w:t xml:space="preserve"> (p</w:t>
      </w:r>
      <w:r>
        <w:t>.</w:t>
      </w:r>
      <w:r w:rsidR="005804E3">
        <w:t xml:space="preserve"> </w:t>
      </w:r>
      <w:r w:rsidR="005804E3">
        <w:fldChar w:fldCharType="begin"/>
      </w:r>
      <w:r w:rsidR="005804E3">
        <w:instrText xml:space="preserve"> PAGEREF _Ref230351437 \h </w:instrText>
      </w:r>
      <w:r w:rsidR="005804E3">
        <w:fldChar w:fldCharType="separate"/>
      </w:r>
      <w:r w:rsidR="00D17FF6">
        <w:rPr>
          <w:noProof/>
        </w:rPr>
        <w:t>9</w:t>
      </w:r>
      <w:r w:rsidR="005804E3">
        <w:fldChar w:fldCharType="end"/>
      </w:r>
      <w:r w:rsidR="005804E3">
        <w:t>)</w:t>
      </w:r>
    </w:p>
    <w:p w14:paraId="3A554E1F" w14:textId="77777777" w:rsidR="004D475B" w:rsidRPr="004D475B" w:rsidRDefault="0020645B" w:rsidP="002C3A41">
      <w:pPr>
        <w:pStyle w:val="Heading3"/>
      </w:pPr>
      <w:r w:rsidRPr="004D475B">
        <w:lastRenderedPageBreak/>
        <w:t>N</w:t>
      </w:r>
      <w:r w:rsidR="007D1DD8" w:rsidRPr="004D475B">
        <w:t xml:space="preserve">utshell </w:t>
      </w:r>
      <w:r w:rsidR="00482ACE" w:rsidRPr="004D475B">
        <w:t>summary ta</w:t>
      </w:r>
      <w:r w:rsidR="007D1DD8" w:rsidRPr="004D475B">
        <w:t>ble</w:t>
      </w:r>
    </w:p>
    <w:p w14:paraId="5CDE514E" w14:textId="46EE6258" w:rsidR="00853D48" w:rsidRDefault="00765C2A" w:rsidP="00641F20">
      <w:pPr>
        <w:pStyle w:val="BodyText"/>
        <w:keepNext/>
        <w:rPr>
          <w:rStyle w:val="Emphasis"/>
          <w:i w:val="0"/>
          <w:iCs w:val="0"/>
        </w:rPr>
      </w:pPr>
      <w:r>
        <w:rPr>
          <w:rStyle w:val="Emphasis"/>
          <w:i w:val="0"/>
          <w:iCs w:val="0"/>
        </w:rPr>
        <w:t xml:space="preserve">The following notes apply to </w:t>
      </w:r>
      <w:r w:rsidR="00853D48">
        <w:rPr>
          <w:rStyle w:val="Emphasis"/>
          <w:i w:val="0"/>
          <w:iCs w:val="0"/>
        </w:rPr>
        <w:fldChar w:fldCharType="begin"/>
      </w:r>
      <w:r w:rsidR="00853D48">
        <w:rPr>
          <w:rStyle w:val="Emphasis"/>
          <w:i w:val="0"/>
          <w:iCs w:val="0"/>
        </w:rPr>
        <w:instrText xml:space="preserve"> REF _Ref231259344 \h </w:instrText>
      </w:r>
      <w:r w:rsidR="00853D48">
        <w:rPr>
          <w:rStyle w:val="Emphasis"/>
          <w:i w:val="0"/>
          <w:iCs w:val="0"/>
        </w:rPr>
      </w:r>
      <w:r w:rsidR="00853D48">
        <w:rPr>
          <w:rStyle w:val="Emphasis"/>
          <w:i w:val="0"/>
          <w:iCs w:val="0"/>
        </w:rPr>
        <w:fldChar w:fldCharType="separate"/>
      </w:r>
      <w:r w:rsidR="00D17FF6" w:rsidRPr="00FD29C5">
        <w:rPr>
          <w:szCs w:val="23"/>
        </w:rPr>
        <w:t xml:space="preserve">Table </w:t>
      </w:r>
      <w:r w:rsidR="00D17FF6">
        <w:rPr>
          <w:noProof/>
          <w:szCs w:val="23"/>
        </w:rPr>
        <w:t>1</w:t>
      </w:r>
      <w:r w:rsidR="00853D48">
        <w:rPr>
          <w:rStyle w:val="Emphasis"/>
          <w:i w:val="0"/>
          <w:iCs w:val="0"/>
        </w:rPr>
        <w:fldChar w:fldCharType="end"/>
      </w:r>
      <w:r w:rsidR="00853D48">
        <w:rPr>
          <w:rStyle w:val="Emphasis"/>
          <w:i w:val="0"/>
          <w:iCs w:val="0"/>
        </w:rPr>
        <w:t>:</w:t>
      </w:r>
    </w:p>
    <w:p w14:paraId="576AE1D9" w14:textId="131A1EE8" w:rsidR="002B4DA3" w:rsidRDefault="002B4DA3" w:rsidP="00641F20">
      <w:pPr>
        <w:pStyle w:val="List"/>
        <w:keepNext/>
        <w:rPr>
          <w:rStyle w:val="Emphasis"/>
          <w:i w:val="0"/>
          <w:iCs w:val="0"/>
        </w:rPr>
      </w:pPr>
      <w:r>
        <w:rPr>
          <w:rStyle w:val="Emphasis"/>
          <w:i w:val="0"/>
          <w:iCs w:val="0"/>
        </w:rPr>
        <w:t xml:space="preserve">The area in </w:t>
      </w:r>
      <w:r w:rsidRPr="00D17FF6">
        <w:rPr>
          <w:rStyle w:val="Emphasis"/>
          <w:i w:val="0"/>
          <w:iCs w:val="0"/>
          <w:shd w:val="clear" w:color="auto" w:fill="D5ECFF" w:themeFill="text1" w:themeFillTint="1A"/>
        </w:rPr>
        <w:t>blue</w:t>
      </w:r>
      <w:r>
        <w:rPr>
          <w:rStyle w:val="Emphasis"/>
          <w:i w:val="0"/>
          <w:iCs w:val="0"/>
        </w:rPr>
        <w:t xml:space="preserve"> represents policies found in both the April/May framework and the June alternative framework</w:t>
      </w:r>
      <w:r w:rsidR="005C18B1">
        <w:rPr>
          <w:rStyle w:val="Emphasis"/>
          <w:i w:val="0"/>
          <w:iCs w:val="0"/>
        </w:rPr>
        <w:t xml:space="preserve">, although </w:t>
      </w:r>
      <w:r w:rsidR="00B234DA">
        <w:rPr>
          <w:rStyle w:val="Emphasis"/>
          <w:i w:val="0"/>
          <w:iCs w:val="0"/>
        </w:rPr>
        <w:t>some of the footnotes do not apply to the April/May framework</w:t>
      </w:r>
      <w:r>
        <w:rPr>
          <w:rStyle w:val="Emphasis"/>
          <w:i w:val="0"/>
          <w:iCs w:val="0"/>
        </w:rPr>
        <w:t>. The areas in white represent policies found only in the June alternative framework.</w:t>
      </w:r>
    </w:p>
    <w:p w14:paraId="3B504CF9" w14:textId="6662C5D9" w:rsidR="002B4DA3" w:rsidRPr="008201B4" w:rsidRDefault="00BA7EDD" w:rsidP="00641F20">
      <w:pPr>
        <w:pStyle w:val="List"/>
        <w:spacing w:after="240"/>
        <w:rPr>
          <w:rStyle w:val="Emphasis"/>
          <w:i w:val="0"/>
          <w:iCs w:val="0"/>
        </w:rPr>
      </w:pPr>
      <w:r w:rsidRPr="008201B4">
        <w:rPr>
          <w:rStyle w:val="Emphasis"/>
          <w:i w:val="0"/>
          <w:iCs w:val="0"/>
        </w:rPr>
        <w:t xml:space="preserve">A “designated crime” refers to any crime that is now listed in Minn. Stat. § 609.11, subd. 9, except as explained in footnote </w:t>
      </w:r>
      <w:r w:rsidRPr="008201B4">
        <w:rPr>
          <w:rStyle w:val="Emphasis"/>
          <w:i w:val="0"/>
          <w:iCs w:val="0"/>
        </w:rPr>
        <w:fldChar w:fldCharType="begin"/>
      </w:r>
      <w:r w:rsidRPr="008201B4">
        <w:rPr>
          <w:rStyle w:val="Emphasis"/>
          <w:i w:val="0"/>
          <w:iCs w:val="0"/>
        </w:rPr>
        <w:instrText xml:space="preserve"> NOTEREF _Ref231259405 \h </w:instrText>
      </w:r>
      <w:r w:rsidRPr="008201B4">
        <w:rPr>
          <w:rStyle w:val="Emphasis"/>
          <w:i w:val="0"/>
          <w:iCs w:val="0"/>
        </w:rPr>
      </w:r>
      <w:r w:rsidRPr="008201B4">
        <w:rPr>
          <w:rStyle w:val="Emphasis"/>
          <w:i w:val="0"/>
          <w:iCs w:val="0"/>
        </w:rPr>
        <w:fldChar w:fldCharType="separate"/>
      </w:r>
      <w:r w:rsidR="00D17FF6">
        <w:rPr>
          <w:rStyle w:val="Emphasis"/>
          <w:i w:val="0"/>
          <w:iCs w:val="0"/>
        </w:rPr>
        <w:t>f</w:t>
      </w:r>
      <w:r w:rsidRPr="008201B4">
        <w:rPr>
          <w:rStyle w:val="Emphasis"/>
          <w:i w:val="0"/>
          <w:iCs w:val="0"/>
        </w:rPr>
        <w:fldChar w:fldCharType="end"/>
      </w:r>
      <w:r w:rsidRPr="008201B4">
        <w:rPr>
          <w:rStyle w:val="Emphasis"/>
          <w:i w:val="0"/>
          <w:iCs w:val="0"/>
        </w:rPr>
        <w:t xml:space="preserve"> (p. </w:t>
      </w:r>
      <w:r w:rsidRPr="008201B4">
        <w:rPr>
          <w:rStyle w:val="Emphasis"/>
          <w:i w:val="0"/>
          <w:iCs w:val="0"/>
        </w:rPr>
        <w:fldChar w:fldCharType="begin"/>
      </w:r>
      <w:r w:rsidRPr="008201B4">
        <w:rPr>
          <w:rStyle w:val="Emphasis"/>
          <w:i w:val="0"/>
          <w:iCs w:val="0"/>
        </w:rPr>
        <w:instrText xml:space="preserve"> PAGEREF _Ref231259409 \h </w:instrText>
      </w:r>
      <w:r w:rsidRPr="008201B4">
        <w:rPr>
          <w:rStyle w:val="Emphasis"/>
          <w:i w:val="0"/>
          <w:iCs w:val="0"/>
        </w:rPr>
      </w:r>
      <w:r w:rsidRPr="008201B4">
        <w:rPr>
          <w:rStyle w:val="Emphasis"/>
          <w:i w:val="0"/>
          <w:iCs w:val="0"/>
        </w:rPr>
        <w:fldChar w:fldCharType="separate"/>
      </w:r>
      <w:r w:rsidR="00D17FF6">
        <w:rPr>
          <w:rStyle w:val="Emphasis"/>
          <w:i w:val="0"/>
          <w:iCs w:val="0"/>
          <w:noProof/>
        </w:rPr>
        <w:t>5</w:t>
      </w:r>
      <w:r w:rsidRPr="008201B4">
        <w:rPr>
          <w:rStyle w:val="Emphasis"/>
          <w:i w:val="0"/>
          <w:iCs w:val="0"/>
        </w:rPr>
        <w:fldChar w:fldCharType="end"/>
      </w:r>
      <w:r w:rsidRPr="008201B4">
        <w:rPr>
          <w:rStyle w:val="Emphasis"/>
          <w:i w:val="0"/>
          <w:iCs w:val="0"/>
        </w:rPr>
        <w:t>).</w:t>
      </w:r>
    </w:p>
    <w:p w14:paraId="1507DAD2" w14:textId="06B35D21" w:rsidR="00FD29C5" w:rsidRPr="00FD29C5" w:rsidRDefault="00FD29C5" w:rsidP="00FD29C5">
      <w:pPr>
        <w:pStyle w:val="Caption"/>
        <w:keepNext/>
        <w:rPr>
          <w:sz w:val="23"/>
          <w:szCs w:val="23"/>
        </w:rPr>
      </w:pPr>
      <w:bookmarkStart w:id="7" w:name="_Ref231259344"/>
      <w:bookmarkStart w:id="8" w:name="_Ref231259293"/>
      <w:r w:rsidRPr="00FD29C5">
        <w:rPr>
          <w:sz w:val="23"/>
          <w:szCs w:val="23"/>
        </w:rPr>
        <w:t xml:space="preserve">Table </w:t>
      </w:r>
      <w:r w:rsidRPr="00FD29C5">
        <w:rPr>
          <w:sz w:val="23"/>
          <w:szCs w:val="23"/>
        </w:rPr>
        <w:fldChar w:fldCharType="begin"/>
      </w:r>
      <w:r w:rsidRPr="00FD29C5">
        <w:rPr>
          <w:sz w:val="23"/>
          <w:szCs w:val="23"/>
        </w:rPr>
        <w:instrText xml:space="preserve"> SEQ Table \* ARABIC </w:instrText>
      </w:r>
      <w:r w:rsidRPr="00FD29C5">
        <w:rPr>
          <w:sz w:val="23"/>
          <w:szCs w:val="23"/>
        </w:rPr>
        <w:fldChar w:fldCharType="separate"/>
      </w:r>
      <w:r w:rsidR="00D17FF6">
        <w:rPr>
          <w:noProof/>
          <w:sz w:val="23"/>
          <w:szCs w:val="23"/>
        </w:rPr>
        <w:t>1</w:t>
      </w:r>
      <w:r w:rsidRPr="00FD29C5">
        <w:rPr>
          <w:sz w:val="23"/>
          <w:szCs w:val="23"/>
        </w:rPr>
        <w:fldChar w:fldCharType="end"/>
      </w:r>
      <w:bookmarkEnd w:id="7"/>
      <w:r w:rsidRPr="00FD29C5">
        <w:rPr>
          <w:sz w:val="23"/>
          <w:szCs w:val="23"/>
        </w:rPr>
        <w:t>. Summary description of June alternative framework to replace § 609.11.</w:t>
      </w:r>
      <w:bookmarkEnd w:id="8"/>
    </w:p>
    <w:tbl>
      <w:tblPr>
        <w:tblW w:w="0" w:type="auto"/>
        <w:tblLayout w:type="fixed"/>
        <w:tblCellMar>
          <w:left w:w="0" w:type="dxa"/>
          <w:right w:w="0" w:type="dxa"/>
        </w:tblCellMar>
        <w:tblLook w:val="04A0" w:firstRow="1" w:lastRow="0" w:firstColumn="1" w:lastColumn="0" w:noHBand="0" w:noVBand="1"/>
      </w:tblPr>
      <w:tblGrid>
        <w:gridCol w:w="620"/>
        <w:gridCol w:w="3600"/>
        <w:gridCol w:w="1980"/>
        <w:gridCol w:w="1350"/>
        <w:gridCol w:w="2510"/>
      </w:tblGrid>
      <w:tr w:rsidR="002C3A41" w:rsidRPr="001A264D" w14:paraId="1BF8FB9F" w14:textId="77777777" w:rsidTr="00706E38">
        <w:trPr>
          <w:tblHeader/>
        </w:trPr>
        <w:tc>
          <w:tcPr>
            <w:tcW w:w="4220"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01240BA6" w14:textId="77777777" w:rsidR="002C3A41" w:rsidRPr="001A264D" w:rsidRDefault="002C3A41" w:rsidP="002C3A41">
            <w:pPr>
              <w:pStyle w:val="BodyText"/>
              <w:spacing w:before="120" w:after="120" w:line="240" w:lineRule="auto"/>
              <w:jc w:val="center"/>
              <w:rPr>
                <w:b/>
                <w:bCs/>
              </w:rPr>
            </w:pPr>
            <w:r>
              <w:rPr>
                <w:b/>
                <w:bCs/>
              </w:rPr>
              <w:t>Situation</w:t>
            </w:r>
          </w:p>
        </w:tc>
        <w:tc>
          <w:tcPr>
            <w:tcW w:w="19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EDF9ADF" w14:textId="77777777" w:rsidR="002C3A41" w:rsidRPr="001A264D" w:rsidRDefault="002C3A41" w:rsidP="002C3A41">
            <w:pPr>
              <w:pStyle w:val="BodyText"/>
              <w:spacing w:before="120" w:after="120" w:line="240" w:lineRule="auto"/>
              <w:jc w:val="center"/>
              <w:rPr>
                <w:b/>
                <w:bCs/>
              </w:rPr>
            </w:pPr>
            <w:r w:rsidRPr="001A264D">
              <w:rPr>
                <w:b/>
                <w:bCs/>
              </w:rPr>
              <w:t>Increased Grid Time for Designated Crime</w:t>
            </w:r>
          </w:p>
        </w:tc>
        <w:tc>
          <w:tcPr>
            <w:tcW w:w="13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345465D" w14:textId="77777777" w:rsidR="002C3A41" w:rsidRPr="001A264D" w:rsidRDefault="002C3A41" w:rsidP="002C3A41">
            <w:pPr>
              <w:pStyle w:val="BodyText"/>
              <w:spacing w:before="120" w:after="120" w:line="240" w:lineRule="auto"/>
              <w:jc w:val="center"/>
              <w:rPr>
                <w:b/>
                <w:bCs/>
              </w:rPr>
            </w:pPr>
            <w:r w:rsidRPr="001A264D">
              <w:rPr>
                <w:b/>
                <w:bCs/>
              </w:rPr>
              <w:t>Mandatory Minimum?</w:t>
            </w:r>
          </w:p>
        </w:tc>
        <w:tc>
          <w:tcPr>
            <w:tcW w:w="25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3A92B8F" w14:textId="77777777" w:rsidR="002C3A41" w:rsidRPr="001A264D" w:rsidRDefault="002C3A41" w:rsidP="002C3A41">
            <w:pPr>
              <w:pStyle w:val="BodyText"/>
              <w:spacing w:before="120" w:after="120" w:line="240" w:lineRule="auto"/>
              <w:jc w:val="center"/>
              <w:rPr>
                <w:b/>
                <w:bCs/>
              </w:rPr>
            </w:pPr>
            <w:r w:rsidRPr="001A264D">
              <w:rPr>
                <w:b/>
                <w:bCs/>
              </w:rPr>
              <w:t>Waivable?</w:t>
            </w:r>
          </w:p>
        </w:tc>
      </w:tr>
      <w:tr w:rsidR="001A264D" w:rsidRPr="001A264D" w14:paraId="193867C8" w14:textId="77777777" w:rsidTr="00B56E0F">
        <w:tc>
          <w:tcPr>
            <w:tcW w:w="620" w:type="dxa"/>
            <w:vMerge w:val="restart"/>
            <w:tcBorders>
              <w:top w:val="nil"/>
              <w:left w:val="single" w:sz="8" w:space="0" w:color="auto"/>
              <w:bottom w:val="single" w:sz="8" w:space="0" w:color="auto"/>
              <w:right w:val="single" w:sz="8" w:space="0" w:color="auto"/>
            </w:tcBorders>
            <w:shd w:val="clear" w:color="auto" w:fill="D5ECFF" w:themeFill="text1" w:themeFillTint="1A"/>
            <w:tcMar>
              <w:top w:w="0" w:type="dxa"/>
              <w:left w:w="108" w:type="dxa"/>
              <w:bottom w:w="0" w:type="dxa"/>
              <w:right w:w="108" w:type="dxa"/>
            </w:tcMar>
            <w:textDirection w:val="btLr"/>
            <w:vAlign w:val="center"/>
            <w:hideMark/>
          </w:tcPr>
          <w:p w14:paraId="39D9C11A" w14:textId="77777777" w:rsidR="0020645B" w:rsidRPr="001A264D" w:rsidRDefault="0020645B" w:rsidP="002C3A41">
            <w:pPr>
              <w:pStyle w:val="BodyText"/>
              <w:spacing w:before="0" w:after="0" w:line="240" w:lineRule="auto"/>
              <w:jc w:val="center"/>
              <w:rPr>
                <w:b/>
                <w:bCs/>
              </w:rPr>
            </w:pPr>
            <w:r w:rsidRPr="001A264D">
              <w:rPr>
                <w:b/>
                <w:bCs/>
              </w:rPr>
              <w:t>FIREARM USE</w:t>
            </w:r>
          </w:p>
        </w:tc>
        <w:tc>
          <w:tcPr>
            <w:tcW w:w="3600" w:type="dxa"/>
            <w:tcBorders>
              <w:top w:val="nil"/>
              <w:left w:val="nil"/>
              <w:bottom w:val="single" w:sz="8" w:space="0" w:color="auto"/>
              <w:right w:val="single" w:sz="8" w:space="0" w:color="auto"/>
            </w:tcBorders>
            <w:shd w:val="clear" w:color="auto" w:fill="D5ECFF" w:themeFill="text1" w:themeFillTint="1A"/>
            <w:tcMar>
              <w:top w:w="0" w:type="dxa"/>
              <w:left w:w="108" w:type="dxa"/>
              <w:bottom w:w="0" w:type="dxa"/>
              <w:right w:w="108" w:type="dxa"/>
            </w:tcMar>
            <w:hideMark/>
          </w:tcPr>
          <w:p w14:paraId="71D1E114" w14:textId="5E010F6F" w:rsidR="0020645B" w:rsidRPr="001A264D" w:rsidRDefault="0020645B" w:rsidP="002C3A41">
            <w:pPr>
              <w:pStyle w:val="BodyText"/>
              <w:spacing w:before="120" w:after="120" w:line="240" w:lineRule="auto"/>
            </w:pPr>
            <w:r w:rsidRPr="001A264D">
              <w:t>Actor/</w:t>
            </w:r>
            <w:hyperlink w:anchor="N1" w:tooltip="¹ Prerequisite for a penalty increase to result from an accomplice’s possession of a firearm, or use of a firearm or other dangerous weapon: Before committing the designated crime, the actor must have known that the accomplice would likely possess the fire" w:history="1">
              <w:r w:rsidRPr="001A264D">
                <w:rPr>
                  <w:rStyle w:val="Hyperlink"/>
                  <w:color w:val="auto"/>
                  <w:u w:val="none"/>
                </w:rPr>
                <w:t>accomplice¹</w:t>
              </w:r>
            </w:hyperlink>
            <w:r w:rsidRPr="001A264D">
              <w:t xml:space="preserve"> uses a firearm to commit a </w:t>
            </w:r>
            <w:hyperlink w:anchor="N2" w:tooltip="² Excludes drive-by shooting and second-degree murder by drive-by shooting; these already have firearm use as an element. (If the defendant was previously convicted of a crime of violence, however, these offense are eligible for the twelve-month increase o" w:history="1">
              <w:r w:rsidRPr="001A264D">
                <w:rPr>
                  <w:rStyle w:val="Hyperlink"/>
                  <w:color w:val="auto"/>
                  <w:u w:val="none"/>
                </w:rPr>
                <w:t>designated crime²</w:t>
              </w:r>
            </w:hyperlink>
          </w:p>
        </w:tc>
        <w:tc>
          <w:tcPr>
            <w:tcW w:w="1980" w:type="dxa"/>
            <w:tcBorders>
              <w:top w:val="nil"/>
              <w:left w:val="nil"/>
              <w:bottom w:val="single" w:sz="8" w:space="0" w:color="auto"/>
              <w:right w:val="single" w:sz="8" w:space="0" w:color="auto"/>
            </w:tcBorders>
            <w:shd w:val="clear" w:color="auto" w:fill="D5ECFF" w:themeFill="text1" w:themeFillTint="1A"/>
            <w:tcMar>
              <w:top w:w="0" w:type="dxa"/>
              <w:left w:w="108" w:type="dxa"/>
              <w:bottom w:w="0" w:type="dxa"/>
              <w:right w:w="108" w:type="dxa"/>
            </w:tcMar>
            <w:hideMark/>
          </w:tcPr>
          <w:p w14:paraId="1BB4A5EB" w14:textId="21C1DA43" w:rsidR="0020645B" w:rsidRPr="001A264D" w:rsidRDefault="0020645B" w:rsidP="002C3A41">
            <w:pPr>
              <w:pStyle w:val="BodyText"/>
              <w:spacing w:before="120" w:after="120" w:line="240" w:lineRule="auto"/>
              <w:jc w:val="center"/>
            </w:pPr>
            <w:hyperlink w:anchor="N3" w:tooltip="³ Literally, this is a five-year increase in the designated crime’s statutory maximum, which the Sentencing Guidelines must convert into a durational increase of at least 12 months." w:history="1">
              <w:r w:rsidRPr="001A264D">
                <w:rPr>
                  <w:rStyle w:val="Hyperlink"/>
                  <w:color w:val="auto"/>
                  <w:u w:val="none"/>
                </w:rPr>
                <w:t>+12 months³</w:t>
              </w:r>
            </w:hyperlink>
          </w:p>
        </w:tc>
        <w:tc>
          <w:tcPr>
            <w:tcW w:w="135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C4DE057" w14:textId="19FBBB92" w:rsidR="0020645B" w:rsidRPr="001A264D" w:rsidRDefault="0020645B" w:rsidP="002C3A41">
            <w:pPr>
              <w:pStyle w:val="BodyText"/>
              <w:spacing w:before="120" w:after="120" w:line="240" w:lineRule="auto"/>
              <w:jc w:val="center"/>
            </w:pPr>
            <w:r w:rsidRPr="001A264D">
              <w:rPr>
                <w:b/>
                <w:bCs/>
              </w:rPr>
              <w:t>Yes</w:t>
            </w:r>
            <w:r w:rsidRPr="001A264D">
              <w:t xml:space="preserve"> – grid</w:t>
            </w:r>
            <w:r w:rsidR="00482ACE" w:rsidRPr="001A264D">
              <w:t> </w:t>
            </w:r>
            <w:r w:rsidRPr="001A264D">
              <w:t>time</w:t>
            </w:r>
            <w:hyperlink w:anchor="N4" w:tooltip="⁴ Includes drive-by shooting offenses. The mandatory minimum applies to a drive-by shooting offense, and a prior drive-by shooting offense conviction will render a present-day mandatory minimum nonwaivable, even if it didn’t get a durational increase due t" w:history="1">
              <w:r w:rsidRPr="001A264D">
                <w:rPr>
                  <w:rStyle w:val="Hyperlink"/>
                  <w:color w:val="auto"/>
                  <w:u w:val="none"/>
                </w:rPr>
                <w:t>⁴</w:t>
              </w:r>
            </w:hyperlink>
          </w:p>
        </w:tc>
        <w:tc>
          <w:tcPr>
            <w:tcW w:w="251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2A45DBE" w14:textId="6073AD0F" w:rsidR="0020645B" w:rsidRPr="001A264D" w:rsidRDefault="0020645B" w:rsidP="002C3A41">
            <w:pPr>
              <w:pStyle w:val="BodyText"/>
              <w:spacing w:before="120" w:after="120" w:line="240" w:lineRule="auto"/>
            </w:pPr>
            <w:r w:rsidRPr="001A264D">
              <w:t xml:space="preserve">• If firearm was discharged – </w:t>
            </w:r>
            <w:r w:rsidRPr="001A264D">
              <w:rPr>
                <w:b/>
                <w:bCs/>
              </w:rPr>
              <w:t>no</w:t>
            </w:r>
            <w:hyperlink w:anchor="N5" w:tooltip="⁵ Excludes a firearm discharge where the only designated crime is possessing a firearm after a crime of violence. This avoids a nonwaivable mandatory minimum for merely hunting or target shooting." w:history="1">
              <w:r w:rsidRPr="001A264D">
                <w:rPr>
                  <w:rStyle w:val="Hyperlink"/>
                  <w:color w:val="auto"/>
                  <w:u w:val="none"/>
                </w:rPr>
                <w:t>⁵</w:t>
              </w:r>
            </w:hyperlink>
          </w:p>
          <w:p w14:paraId="06AD30D9" w14:textId="2D8D0732" w:rsidR="0020645B" w:rsidRPr="001A264D" w:rsidRDefault="0020645B" w:rsidP="002C3A41">
            <w:pPr>
              <w:pStyle w:val="BodyText"/>
              <w:spacing w:before="120" w:after="120" w:line="240" w:lineRule="auto"/>
            </w:pPr>
            <w:r w:rsidRPr="001A264D">
              <w:t xml:space="preserve">• </w:t>
            </w:r>
            <w:r w:rsidR="00051A4B">
              <w:t xml:space="preserve">If a </w:t>
            </w:r>
            <w:r w:rsidRPr="001A264D">
              <w:t xml:space="preserve">mandatory minimum </w:t>
            </w:r>
            <w:r w:rsidR="00CF37D4">
              <w:t xml:space="preserve">previously </w:t>
            </w:r>
            <w:r w:rsidRPr="001A264D">
              <w:t>applied because a firearm was used to commit a designated crime</w:t>
            </w:r>
            <w:r w:rsidR="004D475B" w:rsidRPr="001A264D">
              <w:t xml:space="preserve"> </w:t>
            </w:r>
            <w:r w:rsidRPr="001A264D">
              <w:t xml:space="preserve">– </w:t>
            </w:r>
            <w:r w:rsidRPr="001A264D">
              <w:rPr>
                <w:b/>
                <w:bCs/>
              </w:rPr>
              <w:t>no</w:t>
            </w:r>
            <w:r w:rsidR="00BA23B8">
              <w:rPr>
                <w:rFonts w:cstheme="minorHAnsi"/>
              </w:rPr>
              <w:t>⁶</w:t>
            </w:r>
          </w:p>
          <w:p w14:paraId="3D379ABF" w14:textId="77777777" w:rsidR="0020645B" w:rsidRPr="001A264D" w:rsidRDefault="0020645B" w:rsidP="002C3A41">
            <w:pPr>
              <w:pStyle w:val="BodyText"/>
              <w:spacing w:before="120" w:after="120" w:line="240" w:lineRule="auto"/>
            </w:pPr>
            <w:r w:rsidRPr="001A264D">
              <w:t xml:space="preserve">• Otherwise – </w:t>
            </w:r>
            <w:r w:rsidRPr="001A264D">
              <w:rPr>
                <w:b/>
                <w:bCs/>
              </w:rPr>
              <w:t>yes</w:t>
            </w:r>
          </w:p>
        </w:tc>
      </w:tr>
      <w:tr w:rsidR="001A264D" w:rsidRPr="001A264D" w14:paraId="48DC19CE" w14:textId="77777777" w:rsidTr="00B56E0F">
        <w:tc>
          <w:tcPr>
            <w:tcW w:w="620" w:type="dxa"/>
            <w:vMerge/>
            <w:tcBorders>
              <w:top w:val="nil"/>
              <w:left w:val="single" w:sz="8" w:space="0" w:color="auto"/>
              <w:bottom w:val="single" w:sz="8" w:space="0" w:color="auto"/>
              <w:right w:val="single" w:sz="8" w:space="0" w:color="auto"/>
            </w:tcBorders>
            <w:shd w:val="clear" w:color="auto" w:fill="D5ECFF" w:themeFill="text1" w:themeFillTint="1A"/>
            <w:vAlign w:val="center"/>
            <w:hideMark/>
          </w:tcPr>
          <w:p w14:paraId="23F227B1" w14:textId="77777777" w:rsidR="0020645B" w:rsidRPr="001A264D" w:rsidRDefault="0020645B" w:rsidP="002C3A41">
            <w:pPr>
              <w:pStyle w:val="BodyText"/>
              <w:spacing w:before="120" w:after="120" w:line="240" w:lineRule="auto"/>
              <w:rPr>
                <w:b/>
                <w:bCs/>
              </w:rPr>
            </w:pPr>
          </w:p>
        </w:tc>
        <w:tc>
          <w:tcPr>
            <w:tcW w:w="3600" w:type="dxa"/>
            <w:tcBorders>
              <w:top w:val="nil"/>
              <w:left w:val="nil"/>
              <w:bottom w:val="single" w:sz="8" w:space="0" w:color="auto"/>
              <w:right w:val="single" w:sz="8" w:space="0" w:color="auto"/>
            </w:tcBorders>
            <w:shd w:val="clear" w:color="auto" w:fill="D5ECFF" w:themeFill="text1" w:themeFillTint="1A"/>
            <w:tcMar>
              <w:top w:w="0" w:type="dxa"/>
              <w:left w:w="108" w:type="dxa"/>
              <w:bottom w:w="0" w:type="dxa"/>
              <w:right w:w="108" w:type="dxa"/>
            </w:tcMar>
            <w:hideMark/>
          </w:tcPr>
          <w:p w14:paraId="1BE98872" w14:textId="3B3C070D" w:rsidR="0020645B" w:rsidRPr="001A264D" w:rsidRDefault="0020645B" w:rsidP="002C3A41">
            <w:pPr>
              <w:pStyle w:val="BodyText"/>
              <w:spacing w:before="120" w:after="120" w:line="240" w:lineRule="auto"/>
            </w:pPr>
            <w:r w:rsidRPr="001A264D">
              <w:t xml:space="preserve">After a crime of violence, actor uses a firearm to commit a </w:t>
            </w:r>
            <w:hyperlink w:anchor="N6" w:tooltip="⁶ Excludes possessing a firearm or ammunition after a crime of violence (to avoid double-counting). Includes all other designated crimes, including drive-by shooting, etc." w:history="1">
              <w:r w:rsidRPr="001A264D">
                <w:rPr>
                  <w:rStyle w:val="Hyperlink"/>
                  <w:color w:val="auto"/>
                  <w:u w:val="none"/>
                </w:rPr>
                <w:t>designated crime</w:t>
              </w:r>
              <w:r w:rsidR="00BA23B8">
                <w:rPr>
                  <w:rStyle w:val="Hyperlink"/>
                  <w:rFonts w:cstheme="minorHAnsi"/>
                  <w:color w:val="auto"/>
                  <w:u w:val="none"/>
                </w:rPr>
                <w:t>⁷</w:t>
              </w:r>
            </w:hyperlink>
          </w:p>
        </w:tc>
        <w:tc>
          <w:tcPr>
            <w:tcW w:w="1980" w:type="dxa"/>
            <w:tcBorders>
              <w:top w:val="nil"/>
              <w:left w:val="nil"/>
              <w:bottom w:val="single" w:sz="8" w:space="0" w:color="auto"/>
              <w:right w:val="single" w:sz="8" w:space="0" w:color="auto"/>
            </w:tcBorders>
            <w:shd w:val="clear" w:color="auto" w:fill="D5ECFF" w:themeFill="text1" w:themeFillTint="1A"/>
            <w:tcMar>
              <w:top w:w="0" w:type="dxa"/>
              <w:left w:w="108" w:type="dxa"/>
              <w:bottom w:w="0" w:type="dxa"/>
              <w:right w:w="108" w:type="dxa"/>
            </w:tcMar>
            <w:hideMark/>
          </w:tcPr>
          <w:p w14:paraId="69243A67" w14:textId="078A7517" w:rsidR="0020645B" w:rsidRPr="001A264D" w:rsidRDefault="0020645B" w:rsidP="002C3A41">
            <w:pPr>
              <w:pStyle w:val="BodyText"/>
              <w:spacing w:before="120" w:after="120" w:line="240" w:lineRule="auto"/>
              <w:jc w:val="center"/>
            </w:pPr>
            <w:hyperlink w:anchor="N3" w:tooltip="³ Literally, this is a five-year increase in the designated crime’s statutory maximum, which the Sentencing Guidelines must convert into a durational increase of at least 12 months." w:history="1">
              <w:r w:rsidRPr="001A264D">
                <w:rPr>
                  <w:rStyle w:val="Hyperlink"/>
                  <w:color w:val="auto"/>
                  <w:u w:val="none"/>
                </w:rPr>
                <w:t>+12 months³</w:t>
              </w:r>
            </w:hyperlink>
          </w:p>
        </w:tc>
        <w:tc>
          <w:tcPr>
            <w:tcW w:w="1350" w:type="dxa"/>
            <w:vMerge/>
            <w:tcBorders>
              <w:top w:val="nil"/>
              <w:left w:val="nil"/>
              <w:bottom w:val="single" w:sz="8" w:space="0" w:color="auto"/>
              <w:right w:val="single" w:sz="8" w:space="0" w:color="auto"/>
            </w:tcBorders>
            <w:vAlign w:val="center"/>
            <w:hideMark/>
          </w:tcPr>
          <w:p w14:paraId="2DE17C14" w14:textId="77777777" w:rsidR="0020645B" w:rsidRPr="001A264D" w:rsidRDefault="0020645B" w:rsidP="002C3A41">
            <w:pPr>
              <w:pStyle w:val="BodyText"/>
              <w:spacing w:before="120" w:after="120" w:line="240" w:lineRule="auto"/>
              <w:jc w:val="center"/>
            </w:pPr>
          </w:p>
        </w:tc>
        <w:tc>
          <w:tcPr>
            <w:tcW w:w="2510" w:type="dxa"/>
            <w:vMerge/>
            <w:tcBorders>
              <w:top w:val="nil"/>
              <w:left w:val="nil"/>
              <w:bottom w:val="single" w:sz="8" w:space="0" w:color="auto"/>
              <w:right w:val="single" w:sz="8" w:space="0" w:color="auto"/>
            </w:tcBorders>
            <w:vAlign w:val="center"/>
            <w:hideMark/>
          </w:tcPr>
          <w:p w14:paraId="3E61CC01" w14:textId="77777777" w:rsidR="0020645B" w:rsidRPr="001A264D" w:rsidRDefault="0020645B" w:rsidP="002C3A41">
            <w:pPr>
              <w:pStyle w:val="BodyText"/>
              <w:spacing w:before="120" w:after="120" w:line="240" w:lineRule="auto"/>
            </w:pPr>
          </w:p>
        </w:tc>
      </w:tr>
      <w:tr w:rsidR="001A264D" w:rsidRPr="001A264D" w14:paraId="54AAE440" w14:textId="77777777" w:rsidTr="00B56E0F">
        <w:tc>
          <w:tcPr>
            <w:tcW w:w="620" w:type="dxa"/>
            <w:vMerge/>
            <w:tcBorders>
              <w:top w:val="nil"/>
              <w:left w:val="single" w:sz="8" w:space="0" w:color="auto"/>
              <w:bottom w:val="single" w:sz="8" w:space="0" w:color="auto"/>
              <w:right w:val="single" w:sz="8" w:space="0" w:color="auto"/>
            </w:tcBorders>
            <w:shd w:val="clear" w:color="auto" w:fill="D5ECFF" w:themeFill="text1" w:themeFillTint="1A"/>
            <w:vAlign w:val="center"/>
            <w:hideMark/>
          </w:tcPr>
          <w:p w14:paraId="3ED6CCB4" w14:textId="77777777" w:rsidR="0020645B" w:rsidRPr="001A264D" w:rsidRDefault="0020645B" w:rsidP="002C3A41">
            <w:pPr>
              <w:pStyle w:val="BodyText"/>
              <w:spacing w:before="120" w:after="120" w:line="240" w:lineRule="auto"/>
              <w:rPr>
                <w:b/>
                <w:bCs/>
              </w:rPr>
            </w:pPr>
          </w:p>
        </w:tc>
        <w:tc>
          <w:tcPr>
            <w:tcW w:w="3600" w:type="dxa"/>
            <w:tcBorders>
              <w:top w:val="nil"/>
              <w:left w:val="nil"/>
              <w:bottom w:val="single" w:sz="8" w:space="0" w:color="auto"/>
              <w:right w:val="single" w:sz="8" w:space="0" w:color="auto"/>
            </w:tcBorders>
            <w:shd w:val="clear" w:color="auto" w:fill="D5ECFF" w:themeFill="text1" w:themeFillTint="1A"/>
            <w:tcMar>
              <w:top w:w="0" w:type="dxa"/>
              <w:left w:w="108" w:type="dxa"/>
              <w:bottom w:w="0" w:type="dxa"/>
              <w:right w:w="108" w:type="dxa"/>
            </w:tcMar>
            <w:hideMark/>
          </w:tcPr>
          <w:p w14:paraId="5177D933" w14:textId="77777777" w:rsidR="0020645B" w:rsidRPr="001A264D" w:rsidRDefault="0020645B" w:rsidP="002C3A41">
            <w:pPr>
              <w:pStyle w:val="BodyText"/>
              <w:spacing w:before="120" w:after="120" w:line="240" w:lineRule="auto"/>
              <w:jc w:val="center"/>
              <w:rPr>
                <w:b/>
                <w:bCs/>
              </w:rPr>
            </w:pPr>
            <w:r w:rsidRPr="001A264D">
              <w:rPr>
                <w:b/>
                <w:bCs/>
              </w:rPr>
              <w:t>Maximum total increased prison for firearm use:</w:t>
            </w:r>
          </w:p>
        </w:tc>
        <w:tc>
          <w:tcPr>
            <w:tcW w:w="1980" w:type="dxa"/>
            <w:tcBorders>
              <w:top w:val="nil"/>
              <w:left w:val="nil"/>
              <w:bottom w:val="single" w:sz="8" w:space="0" w:color="auto"/>
              <w:right w:val="single" w:sz="8" w:space="0" w:color="auto"/>
            </w:tcBorders>
            <w:shd w:val="clear" w:color="auto" w:fill="D5ECFF" w:themeFill="text1" w:themeFillTint="1A"/>
            <w:tcMar>
              <w:top w:w="0" w:type="dxa"/>
              <w:left w:w="108" w:type="dxa"/>
              <w:bottom w:w="0" w:type="dxa"/>
              <w:right w:w="108" w:type="dxa"/>
            </w:tcMar>
            <w:hideMark/>
          </w:tcPr>
          <w:p w14:paraId="7DD46220" w14:textId="43EF309A" w:rsidR="0020645B" w:rsidRPr="001A264D" w:rsidRDefault="0020645B" w:rsidP="002C3A41">
            <w:pPr>
              <w:pStyle w:val="BodyText"/>
              <w:spacing w:before="120" w:after="120" w:line="240" w:lineRule="auto"/>
              <w:jc w:val="center"/>
              <w:rPr>
                <w:b/>
                <w:bCs/>
              </w:rPr>
            </w:pPr>
            <w:r w:rsidRPr="001A264D">
              <w:rPr>
                <w:b/>
                <w:bCs/>
              </w:rPr>
              <w:t xml:space="preserve">Up to </w:t>
            </w:r>
            <w:hyperlink w:anchor="N7" w:tooltip="⁷ Literally, this is a ten-year increase in the designated crime’s statutory maximum, which the Sentencing Guidelines must convert into a durational increase of at least 24 months." w:history="1">
              <w:r w:rsidRPr="001A264D">
                <w:rPr>
                  <w:rStyle w:val="Hyperlink"/>
                  <w:b/>
                  <w:bCs/>
                  <w:color w:val="auto"/>
                  <w:u w:val="none"/>
                </w:rPr>
                <w:t>+24</w:t>
              </w:r>
              <w:r w:rsidR="00F57742" w:rsidRPr="001A264D">
                <w:rPr>
                  <w:rStyle w:val="Hyperlink"/>
                  <w:b/>
                  <w:bCs/>
                  <w:color w:val="auto"/>
                  <w:u w:val="none"/>
                </w:rPr>
                <w:t> </w:t>
              </w:r>
              <w:r w:rsidRPr="001A264D">
                <w:rPr>
                  <w:rStyle w:val="Hyperlink"/>
                  <w:b/>
                  <w:bCs/>
                  <w:color w:val="auto"/>
                  <w:u w:val="none"/>
                </w:rPr>
                <w:t>months</w:t>
              </w:r>
            </w:hyperlink>
            <w:r w:rsidR="00BA23B8">
              <w:rPr>
                <w:rFonts w:cstheme="minorHAnsi"/>
              </w:rPr>
              <w:t>⁸</w:t>
            </w:r>
          </w:p>
        </w:tc>
        <w:tc>
          <w:tcPr>
            <w:tcW w:w="1350" w:type="dxa"/>
            <w:vMerge/>
            <w:tcBorders>
              <w:top w:val="nil"/>
              <w:left w:val="nil"/>
              <w:bottom w:val="single" w:sz="8" w:space="0" w:color="auto"/>
              <w:right w:val="single" w:sz="8" w:space="0" w:color="auto"/>
            </w:tcBorders>
            <w:vAlign w:val="center"/>
            <w:hideMark/>
          </w:tcPr>
          <w:p w14:paraId="57C55558" w14:textId="77777777" w:rsidR="0020645B" w:rsidRPr="001A264D" w:rsidRDefault="0020645B" w:rsidP="002C3A41">
            <w:pPr>
              <w:pStyle w:val="BodyText"/>
              <w:spacing w:before="120" w:after="120" w:line="240" w:lineRule="auto"/>
              <w:jc w:val="center"/>
            </w:pPr>
          </w:p>
        </w:tc>
        <w:tc>
          <w:tcPr>
            <w:tcW w:w="2510" w:type="dxa"/>
            <w:vMerge/>
            <w:tcBorders>
              <w:top w:val="nil"/>
              <w:left w:val="nil"/>
              <w:bottom w:val="single" w:sz="8" w:space="0" w:color="auto"/>
              <w:right w:val="single" w:sz="8" w:space="0" w:color="auto"/>
            </w:tcBorders>
            <w:vAlign w:val="center"/>
            <w:hideMark/>
          </w:tcPr>
          <w:p w14:paraId="4867E437" w14:textId="77777777" w:rsidR="0020645B" w:rsidRPr="001A264D" w:rsidRDefault="0020645B" w:rsidP="002C3A41">
            <w:pPr>
              <w:pStyle w:val="BodyText"/>
              <w:spacing w:before="120" w:after="120" w:line="240" w:lineRule="auto"/>
            </w:pPr>
          </w:p>
        </w:tc>
      </w:tr>
      <w:tr w:rsidR="002C3A41" w:rsidRPr="001A264D" w14:paraId="0A07F7CE" w14:textId="77777777" w:rsidTr="00A27676">
        <w:tc>
          <w:tcPr>
            <w:tcW w:w="10060" w:type="dxa"/>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B035606" w14:textId="77777777" w:rsidR="002C3A41" w:rsidRPr="001A264D" w:rsidRDefault="002C3A41" w:rsidP="002C3A41">
            <w:pPr>
              <w:pStyle w:val="BodyText"/>
              <w:spacing w:before="120" w:after="120" w:line="240" w:lineRule="auto"/>
              <w:jc w:val="center"/>
              <w:rPr>
                <w:b/>
                <w:bCs/>
              </w:rPr>
            </w:pPr>
            <w:r w:rsidRPr="001A264D">
              <w:rPr>
                <w:b/>
                <w:bCs/>
              </w:rPr>
              <w:t>A PENALTY INCREASE FOR FIREARM USE, ABOVE, PRECLUDES FURTHER PENALTY INCREASE, BELOW</w:t>
            </w:r>
          </w:p>
        </w:tc>
      </w:tr>
      <w:tr w:rsidR="002C3A41" w:rsidRPr="001A264D" w14:paraId="26BCA436" w14:textId="77777777" w:rsidTr="002C3A41">
        <w:tc>
          <w:tcPr>
            <w:tcW w:w="620"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textDirection w:val="btLr"/>
            <w:vAlign w:val="center"/>
            <w:hideMark/>
          </w:tcPr>
          <w:p w14:paraId="6EBA4238" w14:textId="77777777" w:rsidR="002C3A41" w:rsidRPr="001A264D" w:rsidRDefault="002C3A41" w:rsidP="002C3A41">
            <w:pPr>
              <w:pStyle w:val="BodyText"/>
              <w:spacing w:before="0" w:after="0" w:line="240" w:lineRule="auto"/>
              <w:jc w:val="center"/>
              <w:rPr>
                <w:b/>
                <w:bCs/>
              </w:rPr>
            </w:pPr>
            <w:r w:rsidRPr="001A264D">
              <w:rPr>
                <w:b/>
                <w:bCs/>
              </w:rPr>
              <w:t>FIREARM POSSESSION OR</w:t>
            </w:r>
            <w:r w:rsidRPr="001A264D">
              <w:rPr>
                <w:b/>
                <w:bCs/>
              </w:rPr>
              <w:br/>
              <w:t>OTHER DANGEROUS WEAPON USE</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7A8B5ADF" w14:textId="5C5CB998" w:rsidR="002C3A41" w:rsidRPr="001A264D" w:rsidRDefault="002C3A41" w:rsidP="007417F2">
            <w:pPr>
              <w:pStyle w:val="BodyText"/>
              <w:spacing w:before="180" w:after="180" w:line="240" w:lineRule="auto"/>
            </w:pPr>
            <w:r w:rsidRPr="001A264D">
              <w:t>Actor/</w:t>
            </w:r>
            <w:hyperlink w:anchor="N1" w:tooltip="¹ Prerequisite for a penalty increase to result from an accomplice’s possession of a firearm, or use of a firearm or other dangerous weapon: Before committing the designated crime, the actor must have known that the accomplice would likely possess the fire" w:history="1">
              <w:r w:rsidRPr="001A264D">
                <w:rPr>
                  <w:rStyle w:val="Hyperlink"/>
                  <w:color w:val="auto"/>
                  <w:u w:val="none"/>
                </w:rPr>
                <w:t>accomplice¹</w:t>
              </w:r>
            </w:hyperlink>
            <w:r w:rsidRPr="001A264D">
              <w:t xml:space="preserve"> </w:t>
            </w:r>
            <w:hyperlink w:anchor="N8" w:tooltip="⁸ Limitation: The firearm must be possessed on their person or within immediate reach (language copied from chapter 152). The intent of the limitation is to exclude firearm possession with no immediate risk." w:history="1">
              <w:r w:rsidRPr="001A264D">
                <w:rPr>
                  <w:rStyle w:val="Hyperlink"/>
                  <w:color w:val="auto"/>
                  <w:u w:val="none"/>
                </w:rPr>
                <w:t>possesses</w:t>
              </w:r>
            </w:hyperlink>
            <w:r w:rsidR="00BA23B8">
              <w:rPr>
                <w:rFonts w:cstheme="minorHAnsi"/>
              </w:rPr>
              <w:t>⁹</w:t>
            </w:r>
            <w:r w:rsidRPr="001A264D">
              <w:t xml:space="preserve"> a firearm, or uses a dangerous weapon other than a firearm, while committing a </w:t>
            </w:r>
            <w:hyperlink w:anchor="N9" w:tooltip="⁹ Excludes second-degree assault, harassment with a dangerous weapon, drug crimes that have firearm possession as an element, and drive-by shooting offenses; these already have firearm possession, or use of another dangerous weapon, as an element. (If the " w:history="1">
              <w:r w:rsidRPr="001A264D">
                <w:rPr>
                  <w:rStyle w:val="Hyperlink"/>
                  <w:color w:val="auto"/>
                  <w:u w:val="none"/>
                </w:rPr>
                <w:t>designated crime</w:t>
              </w:r>
            </w:hyperlink>
            <w:r w:rsidR="00BA23B8">
              <w:rPr>
                <w:rFonts w:cstheme="minorHAnsi"/>
              </w:rPr>
              <w:t>¹</w:t>
            </w:r>
            <w:r w:rsidR="00BA23B8">
              <w:rPr>
                <w:rFonts w:ascii="Calibri" w:hAnsi="Calibri" w:cs="Calibri"/>
              </w:rPr>
              <w:t>⁰</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4F2A1904" w14:textId="1D2937DF" w:rsidR="002C3A41" w:rsidRPr="001A264D" w:rsidRDefault="002C3A41" w:rsidP="007417F2">
            <w:pPr>
              <w:pStyle w:val="BodyText"/>
              <w:spacing w:before="180" w:after="180" w:line="240" w:lineRule="auto"/>
              <w:jc w:val="center"/>
            </w:pPr>
            <w:hyperlink w:anchor="N10" w:tooltip="¹⁰ Literally, this is a 30-month increase in the designated crime’s statutory maximum, which the Sentencing Guidelines must convert into a durational increase of at least 6 months." w:history="1">
              <w:r w:rsidRPr="001A264D">
                <w:rPr>
                  <w:rStyle w:val="Hyperlink"/>
                  <w:color w:val="auto"/>
                  <w:u w:val="none"/>
                </w:rPr>
                <w:t>+6 months¹</w:t>
              </w:r>
            </w:hyperlink>
            <w:r w:rsidR="00BA23B8">
              <w:rPr>
                <w:rFonts w:cstheme="minorHAnsi"/>
              </w:rPr>
              <w:t>¹</w:t>
            </w:r>
          </w:p>
        </w:tc>
        <w:tc>
          <w:tcPr>
            <w:tcW w:w="135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D0E9FF9" w14:textId="77777777" w:rsidR="002C3A41" w:rsidRPr="001A264D" w:rsidRDefault="002C3A41" w:rsidP="007417F2">
            <w:pPr>
              <w:pStyle w:val="BodyText"/>
              <w:spacing w:before="180" w:after="180" w:line="240" w:lineRule="auto"/>
              <w:jc w:val="center"/>
            </w:pPr>
            <w:r w:rsidRPr="001A264D">
              <w:t>No</w:t>
            </w:r>
          </w:p>
        </w:tc>
        <w:tc>
          <w:tcPr>
            <w:tcW w:w="251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51BCE0D" w14:textId="77777777" w:rsidR="002C3A41" w:rsidRPr="001A264D" w:rsidRDefault="002C3A41" w:rsidP="007417F2">
            <w:pPr>
              <w:pStyle w:val="BodyText"/>
              <w:spacing w:before="180" w:after="180" w:line="240" w:lineRule="auto"/>
              <w:jc w:val="center"/>
            </w:pPr>
            <w:r w:rsidRPr="001A264D">
              <w:t>N/A</w:t>
            </w:r>
          </w:p>
        </w:tc>
      </w:tr>
      <w:tr w:rsidR="002C3A41" w:rsidRPr="001A264D" w14:paraId="00EF4B95" w14:textId="77777777" w:rsidTr="002C3A41">
        <w:tc>
          <w:tcPr>
            <w:tcW w:w="620" w:type="dxa"/>
            <w:vMerge/>
            <w:tcBorders>
              <w:top w:val="nil"/>
              <w:left w:val="single" w:sz="8" w:space="0" w:color="auto"/>
              <w:bottom w:val="single" w:sz="8" w:space="0" w:color="auto"/>
              <w:right w:val="single" w:sz="8" w:space="0" w:color="auto"/>
            </w:tcBorders>
            <w:vAlign w:val="center"/>
            <w:hideMark/>
          </w:tcPr>
          <w:p w14:paraId="2DF47D24" w14:textId="77777777" w:rsidR="002C3A41" w:rsidRPr="001A264D" w:rsidRDefault="002C3A41" w:rsidP="002C3A41">
            <w:pPr>
              <w:pStyle w:val="BodyText"/>
              <w:spacing w:before="120" w:after="120" w:line="240" w:lineRule="auto"/>
              <w:rPr>
                <w:b/>
                <w:bCs/>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17719989" w14:textId="67B85BB0" w:rsidR="002C3A41" w:rsidRPr="001A264D" w:rsidRDefault="002C3A41" w:rsidP="007417F2">
            <w:pPr>
              <w:pStyle w:val="BodyText"/>
              <w:spacing w:before="180" w:after="180" w:line="240" w:lineRule="auto"/>
            </w:pPr>
            <w:r w:rsidRPr="001A264D">
              <w:t xml:space="preserve">After a crime of violence, actor possesses a firearm while committing a </w:t>
            </w:r>
            <w:hyperlink w:anchor="N6" w:tooltip="⁶ Excludes possessing a firearm or ammunition after a crime of violence (to avoid double-counting). Includes all other designated crimes, including drive-by shooting, etc." w:history="1">
              <w:r w:rsidRPr="001A264D">
                <w:rPr>
                  <w:rStyle w:val="Hyperlink"/>
                  <w:color w:val="auto"/>
                  <w:u w:val="none"/>
                </w:rPr>
                <w:t>designated crime</w:t>
              </w:r>
              <w:r w:rsidR="00BA23B8">
                <w:rPr>
                  <w:rStyle w:val="Hyperlink"/>
                  <w:rFonts w:cstheme="minorHAnsi"/>
                  <w:color w:val="auto"/>
                  <w:u w:val="none"/>
                </w:rPr>
                <w:t>⁷</w:t>
              </w:r>
            </w:hyperlink>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7C1BCCDF" w14:textId="33759FA1" w:rsidR="002C3A41" w:rsidRPr="001A264D" w:rsidRDefault="002C3A41" w:rsidP="007417F2">
            <w:pPr>
              <w:pStyle w:val="BodyText"/>
              <w:spacing w:before="180" w:after="180" w:line="240" w:lineRule="auto"/>
              <w:jc w:val="center"/>
            </w:pPr>
            <w:hyperlink w:anchor="N10" w:tooltip="¹⁰ Literally, this is a 30-month increase in the designated crime’s statutory maximum, which the Sentencing Guidelines must convert into a durational increase of at least 6 months." w:history="1">
              <w:r w:rsidRPr="001A264D">
                <w:rPr>
                  <w:rStyle w:val="Hyperlink"/>
                  <w:color w:val="auto"/>
                  <w:u w:val="none"/>
                </w:rPr>
                <w:t>+6 months¹</w:t>
              </w:r>
            </w:hyperlink>
            <w:r w:rsidR="00EF5CF5">
              <w:rPr>
                <w:rFonts w:cstheme="minorHAnsi"/>
              </w:rPr>
              <w:t>¹</w:t>
            </w:r>
          </w:p>
        </w:tc>
        <w:tc>
          <w:tcPr>
            <w:tcW w:w="1350" w:type="dxa"/>
            <w:vMerge/>
            <w:tcBorders>
              <w:top w:val="nil"/>
              <w:left w:val="nil"/>
              <w:bottom w:val="single" w:sz="8" w:space="0" w:color="auto"/>
              <w:right w:val="single" w:sz="8" w:space="0" w:color="auto"/>
            </w:tcBorders>
            <w:vAlign w:val="center"/>
            <w:hideMark/>
          </w:tcPr>
          <w:p w14:paraId="518F7861" w14:textId="77777777" w:rsidR="002C3A41" w:rsidRPr="001A264D" w:rsidRDefault="002C3A41" w:rsidP="002C3A41">
            <w:pPr>
              <w:pStyle w:val="BodyText"/>
              <w:spacing w:before="120" w:after="120" w:line="240" w:lineRule="auto"/>
              <w:jc w:val="center"/>
            </w:pPr>
          </w:p>
        </w:tc>
        <w:tc>
          <w:tcPr>
            <w:tcW w:w="2510" w:type="dxa"/>
            <w:vMerge/>
            <w:tcBorders>
              <w:top w:val="nil"/>
              <w:left w:val="nil"/>
              <w:bottom w:val="single" w:sz="8" w:space="0" w:color="auto"/>
              <w:right w:val="single" w:sz="8" w:space="0" w:color="auto"/>
            </w:tcBorders>
            <w:vAlign w:val="center"/>
            <w:hideMark/>
          </w:tcPr>
          <w:p w14:paraId="0809F456" w14:textId="77777777" w:rsidR="002C3A41" w:rsidRPr="001A264D" w:rsidRDefault="002C3A41" w:rsidP="002C3A41">
            <w:pPr>
              <w:pStyle w:val="BodyText"/>
              <w:spacing w:before="120" w:after="120" w:line="240" w:lineRule="auto"/>
            </w:pPr>
          </w:p>
        </w:tc>
      </w:tr>
      <w:tr w:rsidR="002C3A41" w:rsidRPr="001A264D" w14:paraId="7114DE7D" w14:textId="77777777" w:rsidTr="002C3A41">
        <w:tc>
          <w:tcPr>
            <w:tcW w:w="620" w:type="dxa"/>
            <w:vMerge/>
            <w:tcBorders>
              <w:top w:val="nil"/>
              <w:left w:val="single" w:sz="8" w:space="0" w:color="auto"/>
              <w:bottom w:val="single" w:sz="8" w:space="0" w:color="auto"/>
              <w:right w:val="single" w:sz="8" w:space="0" w:color="auto"/>
            </w:tcBorders>
            <w:vAlign w:val="center"/>
            <w:hideMark/>
          </w:tcPr>
          <w:p w14:paraId="7733396A" w14:textId="77777777" w:rsidR="002C3A41" w:rsidRPr="001A264D" w:rsidRDefault="002C3A41" w:rsidP="002C3A41">
            <w:pPr>
              <w:pStyle w:val="BodyText"/>
              <w:spacing w:before="120" w:after="120" w:line="240" w:lineRule="auto"/>
              <w:rPr>
                <w:b/>
                <w:bCs/>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032E90BF" w14:textId="77777777" w:rsidR="002C3A41" w:rsidRPr="001A264D" w:rsidRDefault="002C3A41" w:rsidP="007417F2">
            <w:pPr>
              <w:pStyle w:val="BodyText"/>
              <w:spacing w:before="180" w:after="180" w:line="240" w:lineRule="auto"/>
              <w:jc w:val="center"/>
            </w:pPr>
            <w:r w:rsidRPr="001A264D">
              <w:rPr>
                <w:b/>
                <w:bCs/>
              </w:rPr>
              <w:t>Maximum total increased prison for firearm possession:</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2C73AA5B" w14:textId="012CD387" w:rsidR="002C3A41" w:rsidRPr="001A264D" w:rsidRDefault="002C3A41" w:rsidP="007417F2">
            <w:pPr>
              <w:pStyle w:val="BodyText"/>
              <w:spacing w:before="180" w:after="180" w:line="240" w:lineRule="auto"/>
              <w:jc w:val="center"/>
            </w:pPr>
            <w:r w:rsidRPr="001A264D">
              <w:rPr>
                <w:b/>
                <w:bCs/>
              </w:rPr>
              <w:t xml:space="preserve">Up to </w:t>
            </w:r>
            <w:hyperlink w:anchor="N3" w:tooltip="³ Literally, this is a five-year increase in the designated crime’s statutory maximum, which the Sentencing Guidelines must convert into a durational increase of at least 12 months." w:history="1">
              <w:r w:rsidRPr="001A264D">
                <w:rPr>
                  <w:rStyle w:val="Hyperlink"/>
                  <w:b/>
                  <w:bCs/>
                  <w:color w:val="auto"/>
                  <w:u w:val="none"/>
                </w:rPr>
                <w:t>+12 months</w:t>
              </w:r>
              <w:r w:rsidRPr="001A264D">
                <w:rPr>
                  <w:rStyle w:val="Hyperlink"/>
                  <w:color w:val="auto"/>
                  <w:u w:val="none"/>
                </w:rPr>
                <w:t>³</w:t>
              </w:r>
            </w:hyperlink>
          </w:p>
        </w:tc>
        <w:tc>
          <w:tcPr>
            <w:tcW w:w="1350" w:type="dxa"/>
            <w:vMerge/>
            <w:tcBorders>
              <w:top w:val="nil"/>
              <w:left w:val="nil"/>
              <w:bottom w:val="single" w:sz="8" w:space="0" w:color="auto"/>
              <w:right w:val="single" w:sz="8" w:space="0" w:color="auto"/>
            </w:tcBorders>
            <w:vAlign w:val="center"/>
            <w:hideMark/>
          </w:tcPr>
          <w:p w14:paraId="6C5B3D06" w14:textId="77777777" w:rsidR="002C3A41" w:rsidRPr="001A264D" w:rsidRDefault="002C3A41" w:rsidP="002C3A41">
            <w:pPr>
              <w:pStyle w:val="BodyText"/>
              <w:spacing w:before="120" w:after="120" w:line="240" w:lineRule="auto"/>
              <w:jc w:val="center"/>
            </w:pPr>
          </w:p>
        </w:tc>
        <w:tc>
          <w:tcPr>
            <w:tcW w:w="2510" w:type="dxa"/>
            <w:vMerge/>
            <w:tcBorders>
              <w:top w:val="nil"/>
              <w:left w:val="nil"/>
              <w:bottom w:val="single" w:sz="8" w:space="0" w:color="auto"/>
              <w:right w:val="single" w:sz="8" w:space="0" w:color="auto"/>
            </w:tcBorders>
            <w:vAlign w:val="center"/>
            <w:hideMark/>
          </w:tcPr>
          <w:p w14:paraId="03410977" w14:textId="77777777" w:rsidR="002C3A41" w:rsidRPr="001A264D" w:rsidRDefault="002C3A41" w:rsidP="002C3A41">
            <w:pPr>
              <w:pStyle w:val="BodyText"/>
              <w:spacing w:before="120" w:after="120" w:line="240" w:lineRule="auto"/>
            </w:pPr>
          </w:p>
        </w:tc>
      </w:tr>
      <w:tr w:rsidR="002C3A41" w:rsidRPr="001A264D" w14:paraId="7BB06F92" w14:textId="77777777" w:rsidTr="003E7F8F">
        <w:tc>
          <w:tcPr>
            <w:tcW w:w="10060" w:type="dxa"/>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48A84D75" w14:textId="77777777" w:rsidR="002C3A41" w:rsidRPr="001A264D" w:rsidRDefault="002C3A41" w:rsidP="002C3A41">
            <w:pPr>
              <w:pStyle w:val="BodyText"/>
              <w:spacing w:before="120" w:after="120" w:line="240" w:lineRule="auto"/>
              <w:jc w:val="center"/>
              <w:rPr>
                <w:b/>
                <w:bCs/>
              </w:rPr>
            </w:pPr>
            <w:r w:rsidRPr="001A264D">
              <w:rPr>
                <w:b/>
                <w:bCs/>
              </w:rPr>
              <w:t>FOR ALL INCREASES: IF THE DESIGNATED CRIME IS AN ATTEMPT, THE INCREASE IS HALVED</w:t>
            </w:r>
          </w:p>
        </w:tc>
      </w:tr>
    </w:tbl>
    <w:bookmarkStart w:id="9" w:name="_Ref230351429"/>
    <w:p w14:paraId="3AB52DB9" w14:textId="69C2BC40" w:rsidR="00482ACE" w:rsidRDefault="0015552E" w:rsidP="00482ACE">
      <w:pPr>
        <w:pStyle w:val="Heading3"/>
      </w:pPr>
      <w:r>
        <w:lastRenderedPageBreak/>
        <w:fldChar w:fldCharType="begin"/>
      </w:r>
      <w:r>
        <w:instrText xml:space="preserve"> REF _Ref231259344 \h </w:instrText>
      </w:r>
      <w:r>
        <w:fldChar w:fldCharType="separate"/>
      </w:r>
      <w:r w:rsidR="00D17FF6" w:rsidRPr="00FD29C5">
        <w:rPr>
          <w:sz w:val="23"/>
          <w:szCs w:val="23"/>
        </w:rPr>
        <w:t xml:space="preserve">Table </w:t>
      </w:r>
      <w:r w:rsidR="00D17FF6">
        <w:rPr>
          <w:noProof/>
          <w:sz w:val="23"/>
          <w:szCs w:val="23"/>
        </w:rPr>
        <w:t>1</w:t>
      </w:r>
      <w:r>
        <w:fldChar w:fldCharType="end"/>
      </w:r>
      <w:r>
        <w:t xml:space="preserve"> </w:t>
      </w:r>
      <w:r w:rsidR="00482ACE">
        <w:t>footnotes</w:t>
      </w:r>
      <w:bookmarkEnd w:id="9"/>
    </w:p>
    <w:p w14:paraId="53A7EB72" w14:textId="77777777" w:rsidR="007D1DD8" w:rsidRPr="007D1DD8" w:rsidRDefault="007D1DD8" w:rsidP="00641F20">
      <w:pPr>
        <w:pStyle w:val="BodyText"/>
        <w:spacing w:before="120" w:after="120" w:line="257" w:lineRule="auto"/>
        <w:rPr>
          <w:sz w:val="22"/>
          <w:szCs w:val="22"/>
        </w:rPr>
      </w:pPr>
      <w:bookmarkStart w:id="10" w:name="N1"/>
      <w:r w:rsidRPr="007D1DD8">
        <w:rPr>
          <w:sz w:val="22"/>
          <w:szCs w:val="22"/>
        </w:rPr>
        <w:t xml:space="preserve">¹ </w:t>
      </w:r>
      <w:r w:rsidR="00806D5B">
        <w:rPr>
          <w:b/>
          <w:bCs/>
          <w:sz w:val="22"/>
          <w:szCs w:val="22"/>
        </w:rPr>
        <w:t xml:space="preserve">Prerequisite </w:t>
      </w:r>
      <w:r w:rsidR="00806D5B">
        <w:rPr>
          <w:sz w:val="22"/>
          <w:szCs w:val="22"/>
        </w:rPr>
        <w:t xml:space="preserve">for a penalty increase to </w:t>
      </w:r>
      <w:r w:rsidR="005804E3">
        <w:rPr>
          <w:sz w:val="22"/>
          <w:szCs w:val="22"/>
        </w:rPr>
        <w:t xml:space="preserve">result from </w:t>
      </w:r>
      <w:r w:rsidRPr="007D1DD8">
        <w:rPr>
          <w:sz w:val="22"/>
          <w:szCs w:val="22"/>
        </w:rPr>
        <w:t>an accomplice’s possession of a firearm</w:t>
      </w:r>
      <w:r w:rsidR="005804E3">
        <w:rPr>
          <w:sz w:val="22"/>
          <w:szCs w:val="22"/>
        </w:rPr>
        <w:t>,</w:t>
      </w:r>
      <w:r w:rsidRPr="007D1DD8">
        <w:rPr>
          <w:sz w:val="22"/>
          <w:szCs w:val="22"/>
        </w:rPr>
        <w:t xml:space="preserve"> or use of</w:t>
      </w:r>
      <w:r w:rsidR="005804E3">
        <w:rPr>
          <w:sz w:val="22"/>
          <w:szCs w:val="22"/>
        </w:rPr>
        <w:t xml:space="preserve"> a firearm or other</w:t>
      </w:r>
      <w:r w:rsidRPr="007D1DD8">
        <w:rPr>
          <w:sz w:val="22"/>
          <w:szCs w:val="22"/>
        </w:rPr>
        <w:t xml:space="preserve"> dangerous weapon</w:t>
      </w:r>
      <w:r w:rsidR="00806D5B">
        <w:rPr>
          <w:sz w:val="22"/>
          <w:szCs w:val="22"/>
        </w:rPr>
        <w:t>: B</w:t>
      </w:r>
      <w:r w:rsidRPr="007D1DD8">
        <w:rPr>
          <w:sz w:val="22"/>
          <w:szCs w:val="22"/>
        </w:rPr>
        <w:t xml:space="preserve">efore committing the designated crime, </w:t>
      </w:r>
      <w:r w:rsidR="00806D5B">
        <w:rPr>
          <w:sz w:val="22"/>
          <w:szCs w:val="22"/>
        </w:rPr>
        <w:t xml:space="preserve">the actor </w:t>
      </w:r>
      <w:r w:rsidRPr="007D1DD8">
        <w:rPr>
          <w:sz w:val="22"/>
          <w:szCs w:val="22"/>
        </w:rPr>
        <w:t>must have known that the accomplice would likely possess the firearm or other dangerous weapon at the time of the designated crime.</w:t>
      </w:r>
      <w:bookmarkEnd w:id="10"/>
    </w:p>
    <w:p w14:paraId="6C005B10" w14:textId="3FCA023C" w:rsidR="007D1DD8" w:rsidRPr="007D1DD8" w:rsidRDefault="007D1DD8" w:rsidP="00641F20">
      <w:pPr>
        <w:pStyle w:val="BodyText"/>
        <w:spacing w:before="120" w:after="120" w:line="257" w:lineRule="auto"/>
        <w:rPr>
          <w:sz w:val="22"/>
          <w:szCs w:val="22"/>
        </w:rPr>
      </w:pPr>
      <w:bookmarkStart w:id="11" w:name="N2"/>
      <w:r w:rsidRPr="007D1DD8">
        <w:rPr>
          <w:sz w:val="22"/>
          <w:szCs w:val="22"/>
        </w:rPr>
        <w:t xml:space="preserve">² </w:t>
      </w:r>
      <w:r w:rsidRPr="007D1DD8">
        <w:rPr>
          <w:b/>
          <w:bCs/>
          <w:sz w:val="22"/>
          <w:szCs w:val="22"/>
        </w:rPr>
        <w:t>Excludes</w:t>
      </w:r>
      <w:r w:rsidRPr="007D1DD8">
        <w:rPr>
          <w:sz w:val="22"/>
          <w:szCs w:val="22"/>
        </w:rPr>
        <w:t xml:space="preserve"> drive-by shooting and second-degree murder by drive-by shooting; these already have firearm use as an element. (If the defendant was previously convicted of a crime of violence, however, these offense</w:t>
      </w:r>
      <w:r w:rsidR="00A926C0">
        <w:rPr>
          <w:sz w:val="22"/>
          <w:szCs w:val="22"/>
        </w:rPr>
        <w:t>s</w:t>
      </w:r>
      <w:r w:rsidRPr="007D1DD8">
        <w:rPr>
          <w:sz w:val="22"/>
          <w:szCs w:val="22"/>
        </w:rPr>
        <w:t xml:space="preserve"> are eligible for the twelve-month increase on the next line. Also, even without the penalty increase, the mandatory minimum applies to these crimes.) </w:t>
      </w:r>
      <w:r w:rsidRPr="007D1DD8">
        <w:rPr>
          <w:b/>
          <w:bCs/>
          <w:sz w:val="22"/>
          <w:szCs w:val="22"/>
        </w:rPr>
        <w:t>Includes</w:t>
      </w:r>
      <w:r w:rsidRPr="007D1DD8">
        <w:rPr>
          <w:sz w:val="22"/>
          <w:szCs w:val="22"/>
        </w:rPr>
        <w:t xml:space="preserve"> all other designated crimes, including possessing a firearm or ammunition after a crime of violence. Thus, the use of a firearm (</w:t>
      </w:r>
      <w:r w:rsidRPr="007D1DD8">
        <w:rPr>
          <w:i/>
          <w:iCs/>
          <w:sz w:val="22"/>
          <w:szCs w:val="22"/>
        </w:rPr>
        <w:t>e.g.</w:t>
      </w:r>
      <w:r w:rsidRPr="007D1DD8">
        <w:rPr>
          <w:sz w:val="22"/>
          <w:szCs w:val="22"/>
        </w:rPr>
        <w:t>, by brandishing, displaying, threatening with, or otherwise employing) by someone convicted of a crime of violence, accompanied by no other misconduct, would result in a 12-month durational increase in the grid time applicable to possessing a firearm or ammunition after a crime of violence, and a mandatory minimum prison commitment for that grid time.</w:t>
      </w:r>
      <w:bookmarkEnd w:id="11"/>
    </w:p>
    <w:p w14:paraId="64B26F2B" w14:textId="77777777" w:rsidR="007D1DD8" w:rsidRPr="007D1DD8" w:rsidRDefault="007D1DD8" w:rsidP="00641F20">
      <w:pPr>
        <w:pStyle w:val="BodyText"/>
        <w:spacing w:before="120" w:after="120" w:line="257" w:lineRule="auto"/>
        <w:rPr>
          <w:sz w:val="22"/>
          <w:szCs w:val="22"/>
        </w:rPr>
      </w:pPr>
      <w:bookmarkStart w:id="12" w:name="N3"/>
      <w:r w:rsidRPr="007D1DD8">
        <w:rPr>
          <w:sz w:val="22"/>
          <w:szCs w:val="22"/>
        </w:rPr>
        <w:t>³ Literally, this is a five-year increase in the designated crime’s statutory maximum, which the Sentencing Guidelines must convert into a durational increase of at least 12 months.</w:t>
      </w:r>
      <w:bookmarkEnd w:id="12"/>
    </w:p>
    <w:p w14:paraId="008939D0" w14:textId="77777777" w:rsidR="00BA23B8" w:rsidRDefault="007D1DD8" w:rsidP="00641F20">
      <w:pPr>
        <w:pStyle w:val="BodyText"/>
        <w:spacing w:before="120" w:after="120" w:line="257" w:lineRule="auto"/>
        <w:rPr>
          <w:sz w:val="22"/>
          <w:szCs w:val="22"/>
        </w:rPr>
      </w:pPr>
      <w:bookmarkStart w:id="13" w:name="N4"/>
      <w:r w:rsidRPr="007D1DD8">
        <w:rPr>
          <w:sz w:val="22"/>
          <w:szCs w:val="22"/>
        </w:rPr>
        <w:t xml:space="preserve">⁴ </w:t>
      </w:r>
      <w:r w:rsidR="004D475B">
        <w:rPr>
          <w:b/>
          <w:bCs/>
          <w:sz w:val="22"/>
          <w:szCs w:val="22"/>
        </w:rPr>
        <w:t>Includes</w:t>
      </w:r>
      <w:r w:rsidR="004D475B">
        <w:rPr>
          <w:sz w:val="22"/>
          <w:szCs w:val="22"/>
        </w:rPr>
        <w:t xml:space="preserve"> d</w:t>
      </w:r>
      <w:r w:rsidRPr="007D1DD8">
        <w:rPr>
          <w:sz w:val="22"/>
          <w:szCs w:val="22"/>
        </w:rPr>
        <w:t>rive-by shooting offenses</w:t>
      </w:r>
      <w:r w:rsidR="00EF5CF5">
        <w:rPr>
          <w:sz w:val="22"/>
          <w:szCs w:val="22"/>
        </w:rPr>
        <w:t>, although these are likely already nonwaivable due to the firearm discharge (see footnote 5)</w:t>
      </w:r>
      <w:r w:rsidR="004D475B">
        <w:rPr>
          <w:sz w:val="22"/>
          <w:szCs w:val="22"/>
        </w:rPr>
        <w:t>.</w:t>
      </w:r>
      <w:bookmarkEnd w:id="13"/>
    </w:p>
    <w:p w14:paraId="6EE0FD69" w14:textId="59B7BDD1" w:rsidR="007D1DD8" w:rsidRPr="007D1DD8" w:rsidRDefault="00BA23B8" w:rsidP="00641F20">
      <w:pPr>
        <w:pStyle w:val="BodyText"/>
        <w:spacing w:before="120" w:after="120" w:line="257" w:lineRule="auto"/>
        <w:rPr>
          <w:sz w:val="22"/>
          <w:szCs w:val="22"/>
        </w:rPr>
      </w:pPr>
      <w:bookmarkStart w:id="14" w:name="N5"/>
      <w:r>
        <w:rPr>
          <w:rFonts w:cstheme="minorHAnsi"/>
          <w:sz w:val="22"/>
          <w:szCs w:val="22"/>
        </w:rPr>
        <w:t>⁵</w:t>
      </w:r>
      <w:r w:rsidR="007D1DD8" w:rsidRPr="007D1DD8">
        <w:rPr>
          <w:sz w:val="22"/>
          <w:szCs w:val="22"/>
        </w:rPr>
        <w:t xml:space="preserve"> </w:t>
      </w:r>
      <w:r w:rsidR="00806D5B">
        <w:rPr>
          <w:b/>
          <w:bCs/>
          <w:sz w:val="22"/>
          <w:szCs w:val="22"/>
        </w:rPr>
        <w:t>Excludes</w:t>
      </w:r>
      <w:r w:rsidR="00806D5B">
        <w:rPr>
          <w:sz w:val="22"/>
          <w:szCs w:val="22"/>
        </w:rPr>
        <w:t xml:space="preserve"> a firearm discharge where the only designated crime is possessing a firearm after a crime of violence. This avoids </w:t>
      </w:r>
      <w:r w:rsidR="007D1DD8" w:rsidRPr="007D1DD8">
        <w:rPr>
          <w:sz w:val="22"/>
          <w:szCs w:val="22"/>
        </w:rPr>
        <w:t>a nonwaivable mandatory minimum for merely hunting</w:t>
      </w:r>
      <w:r w:rsidR="00806D5B">
        <w:rPr>
          <w:sz w:val="22"/>
          <w:szCs w:val="22"/>
        </w:rPr>
        <w:t xml:space="preserve"> or target shooting.</w:t>
      </w:r>
      <w:bookmarkEnd w:id="14"/>
    </w:p>
    <w:p w14:paraId="4D3855D6" w14:textId="77777777" w:rsidR="00BA23B8" w:rsidRDefault="00BA23B8" w:rsidP="00641F20">
      <w:pPr>
        <w:pStyle w:val="BodyText"/>
        <w:spacing w:before="120" w:after="120" w:line="257" w:lineRule="auto"/>
        <w:rPr>
          <w:rFonts w:cstheme="minorHAnsi"/>
          <w:sz w:val="22"/>
          <w:szCs w:val="22"/>
        </w:rPr>
      </w:pPr>
      <w:bookmarkStart w:id="15" w:name="N6"/>
      <w:r>
        <w:rPr>
          <w:rFonts w:cstheme="minorHAnsi"/>
          <w:sz w:val="22"/>
          <w:szCs w:val="22"/>
        </w:rPr>
        <w:t>⁶</w:t>
      </w:r>
      <w:r w:rsidRPr="00BA23B8">
        <w:rPr>
          <w:rFonts w:cstheme="minorHAnsi"/>
          <w:sz w:val="22"/>
          <w:szCs w:val="22"/>
        </w:rPr>
        <w:t xml:space="preserve"> The prior mandatory minimum may have been under either Minn. Stat. § 609.11, subd. 5, or the new law (Minn. Stat. § 609.658)—but, if it was under § 609.11, the fact that the mandatory minimum resulted from firearm use, not merely possession, must be alleged and proven. A prior mandatory minimum for a sentence that has decayed for purposes of the Sentencing Guidelines does not count.</w:t>
      </w:r>
    </w:p>
    <w:p w14:paraId="48669EC1" w14:textId="21E44503" w:rsidR="007D1DD8" w:rsidRPr="007D1DD8" w:rsidRDefault="00BA23B8" w:rsidP="00641F20">
      <w:pPr>
        <w:pStyle w:val="BodyText"/>
        <w:spacing w:before="120" w:after="120" w:line="257" w:lineRule="auto"/>
        <w:rPr>
          <w:sz w:val="22"/>
          <w:szCs w:val="22"/>
        </w:rPr>
      </w:pPr>
      <w:r>
        <w:rPr>
          <w:rFonts w:cstheme="minorHAnsi"/>
          <w:sz w:val="22"/>
          <w:szCs w:val="22"/>
        </w:rPr>
        <w:t>⁷</w:t>
      </w:r>
      <w:r w:rsidR="007D1DD8" w:rsidRPr="007D1DD8">
        <w:rPr>
          <w:sz w:val="22"/>
          <w:szCs w:val="22"/>
        </w:rPr>
        <w:t xml:space="preserve"> </w:t>
      </w:r>
      <w:r w:rsidR="007D1DD8" w:rsidRPr="007D1DD8">
        <w:rPr>
          <w:b/>
          <w:bCs/>
          <w:sz w:val="22"/>
          <w:szCs w:val="22"/>
        </w:rPr>
        <w:t>Excludes</w:t>
      </w:r>
      <w:r w:rsidR="007D1DD8" w:rsidRPr="007D1DD8">
        <w:rPr>
          <w:sz w:val="22"/>
          <w:szCs w:val="22"/>
        </w:rPr>
        <w:t xml:space="preserve"> possessing a firearm or ammunition</w:t>
      </w:r>
      <w:r w:rsidR="00EF5CF5">
        <w:rPr>
          <w:sz w:val="22"/>
          <w:szCs w:val="22"/>
        </w:rPr>
        <w:t>,</w:t>
      </w:r>
      <w:r w:rsidR="007D1DD8" w:rsidRPr="007D1DD8">
        <w:rPr>
          <w:sz w:val="22"/>
          <w:szCs w:val="22"/>
        </w:rPr>
        <w:t xml:space="preserve"> after a crime of violence (to avoid double-counting). </w:t>
      </w:r>
      <w:r w:rsidR="007D1DD8" w:rsidRPr="007D1DD8">
        <w:rPr>
          <w:b/>
          <w:bCs/>
          <w:sz w:val="22"/>
          <w:szCs w:val="22"/>
        </w:rPr>
        <w:t>Includes</w:t>
      </w:r>
      <w:r w:rsidR="007D1DD8" w:rsidRPr="007D1DD8">
        <w:rPr>
          <w:sz w:val="22"/>
          <w:szCs w:val="22"/>
        </w:rPr>
        <w:t xml:space="preserve"> all other designated crimes, including drive-by shooting, etc.</w:t>
      </w:r>
      <w:bookmarkEnd w:id="15"/>
    </w:p>
    <w:p w14:paraId="23E52476" w14:textId="0791D17E" w:rsidR="007D1DD8" w:rsidRPr="007D1DD8" w:rsidRDefault="00BA23B8" w:rsidP="00641F20">
      <w:pPr>
        <w:pStyle w:val="BodyText"/>
        <w:spacing w:before="120" w:after="120" w:line="257" w:lineRule="auto"/>
        <w:rPr>
          <w:sz w:val="22"/>
          <w:szCs w:val="22"/>
        </w:rPr>
      </w:pPr>
      <w:bookmarkStart w:id="16" w:name="N7"/>
      <w:r>
        <w:rPr>
          <w:rFonts w:cstheme="minorHAnsi"/>
          <w:sz w:val="22"/>
          <w:szCs w:val="22"/>
        </w:rPr>
        <w:t>⁸</w:t>
      </w:r>
      <w:r w:rsidR="007D1DD8" w:rsidRPr="007D1DD8">
        <w:rPr>
          <w:sz w:val="22"/>
          <w:szCs w:val="22"/>
        </w:rPr>
        <w:t xml:space="preserve"> Literally, this is a ten-year increase in the designated crime’s statutory maximum, which the Sentencing Guidelines must convert into a durational increase of at least 24 months.</w:t>
      </w:r>
      <w:bookmarkEnd w:id="16"/>
    </w:p>
    <w:p w14:paraId="28B48E3F" w14:textId="59F04518" w:rsidR="007D1DD8" w:rsidRPr="007D1DD8" w:rsidRDefault="00BA23B8" w:rsidP="00641F20">
      <w:pPr>
        <w:pStyle w:val="BodyText"/>
        <w:spacing w:before="120" w:after="120" w:line="257" w:lineRule="auto"/>
        <w:rPr>
          <w:sz w:val="22"/>
          <w:szCs w:val="22"/>
        </w:rPr>
      </w:pPr>
      <w:bookmarkStart w:id="17" w:name="N8"/>
      <w:r>
        <w:rPr>
          <w:rFonts w:cstheme="minorHAnsi"/>
          <w:sz w:val="22"/>
          <w:szCs w:val="22"/>
        </w:rPr>
        <w:t>⁹</w:t>
      </w:r>
      <w:r w:rsidR="007D1DD8" w:rsidRPr="007D1DD8">
        <w:rPr>
          <w:sz w:val="22"/>
          <w:szCs w:val="22"/>
        </w:rPr>
        <w:t xml:space="preserve"> </w:t>
      </w:r>
      <w:r w:rsidR="00E44073">
        <w:rPr>
          <w:b/>
          <w:bCs/>
          <w:sz w:val="22"/>
          <w:szCs w:val="22"/>
        </w:rPr>
        <w:t>Limitation</w:t>
      </w:r>
      <w:r w:rsidR="004D475B" w:rsidRPr="004D475B">
        <w:rPr>
          <w:b/>
          <w:bCs/>
          <w:sz w:val="22"/>
          <w:szCs w:val="22"/>
        </w:rPr>
        <w:t>:</w:t>
      </w:r>
      <w:r w:rsidR="004D475B">
        <w:rPr>
          <w:sz w:val="22"/>
          <w:szCs w:val="22"/>
        </w:rPr>
        <w:t xml:space="preserve"> </w:t>
      </w:r>
      <w:r w:rsidR="007D1DD8" w:rsidRPr="007D1DD8">
        <w:rPr>
          <w:sz w:val="22"/>
          <w:szCs w:val="22"/>
        </w:rPr>
        <w:t>The firearm</w:t>
      </w:r>
      <w:r w:rsidR="004D475B">
        <w:rPr>
          <w:sz w:val="22"/>
          <w:szCs w:val="22"/>
        </w:rPr>
        <w:t xml:space="preserve"> must be possessed</w:t>
      </w:r>
      <w:r w:rsidR="007D1DD8" w:rsidRPr="007D1DD8">
        <w:rPr>
          <w:sz w:val="22"/>
          <w:szCs w:val="22"/>
        </w:rPr>
        <w:t xml:space="preserve"> “on their person or within immediate reach” </w:t>
      </w:r>
      <w:r w:rsidR="004D475B">
        <w:rPr>
          <w:sz w:val="22"/>
          <w:szCs w:val="22"/>
        </w:rPr>
        <w:t>(</w:t>
      </w:r>
      <w:r w:rsidR="00861112">
        <w:rPr>
          <w:sz w:val="22"/>
          <w:szCs w:val="22"/>
        </w:rPr>
        <w:t xml:space="preserve">language </w:t>
      </w:r>
      <w:r w:rsidR="004D475B">
        <w:rPr>
          <w:sz w:val="22"/>
          <w:szCs w:val="22"/>
        </w:rPr>
        <w:t>copied from chapter 152)</w:t>
      </w:r>
      <w:r w:rsidR="007D1DD8" w:rsidRPr="007D1DD8">
        <w:rPr>
          <w:sz w:val="22"/>
          <w:szCs w:val="22"/>
        </w:rPr>
        <w:t>. Th</w:t>
      </w:r>
      <w:r w:rsidR="00861112">
        <w:rPr>
          <w:sz w:val="22"/>
          <w:szCs w:val="22"/>
        </w:rPr>
        <w:t>e intent of the limitation is to exclude firearm p</w:t>
      </w:r>
      <w:r w:rsidR="007D1DD8" w:rsidRPr="007D1DD8">
        <w:rPr>
          <w:sz w:val="22"/>
          <w:szCs w:val="22"/>
        </w:rPr>
        <w:t>ossession wit</w:t>
      </w:r>
      <w:r w:rsidR="00861112">
        <w:rPr>
          <w:sz w:val="22"/>
          <w:szCs w:val="22"/>
        </w:rPr>
        <w:t xml:space="preserve">h no </w:t>
      </w:r>
      <w:r w:rsidR="007D1DD8" w:rsidRPr="007D1DD8">
        <w:rPr>
          <w:sz w:val="22"/>
          <w:szCs w:val="22"/>
        </w:rPr>
        <w:t>immediate risk.</w:t>
      </w:r>
      <w:bookmarkEnd w:id="17"/>
    </w:p>
    <w:p w14:paraId="31C1D663" w14:textId="2DB410BF" w:rsidR="007D1DD8" w:rsidRPr="007D1DD8" w:rsidRDefault="00EF5CF5" w:rsidP="00641F20">
      <w:pPr>
        <w:pStyle w:val="BodyText"/>
        <w:spacing w:before="120" w:after="120" w:line="257" w:lineRule="auto"/>
        <w:rPr>
          <w:sz w:val="22"/>
          <w:szCs w:val="22"/>
        </w:rPr>
      </w:pPr>
      <w:bookmarkStart w:id="18" w:name="N9"/>
      <w:r>
        <w:rPr>
          <w:rFonts w:cstheme="minorHAnsi"/>
          <w:sz w:val="22"/>
          <w:szCs w:val="22"/>
        </w:rPr>
        <w:t>¹⁰</w:t>
      </w:r>
      <w:r w:rsidR="007D1DD8" w:rsidRPr="007D1DD8">
        <w:rPr>
          <w:sz w:val="22"/>
          <w:szCs w:val="22"/>
        </w:rPr>
        <w:t xml:space="preserve"> </w:t>
      </w:r>
      <w:r w:rsidR="007D1DD8" w:rsidRPr="007D1DD8">
        <w:rPr>
          <w:b/>
          <w:bCs/>
          <w:sz w:val="22"/>
          <w:szCs w:val="22"/>
        </w:rPr>
        <w:t>Excludes</w:t>
      </w:r>
      <w:r w:rsidR="007D1DD8" w:rsidRPr="007D1DD8">
        <w:rPr>
          <w:sz w:val="22"/>
          <w:szCs w:val="22"/>
        </w:rPr>
        <w:t xml:space="preserve"> second-degree assault, harassment with a dangerous weapon, drug crimes that have firearm possession as an element, and drive-by shooting offenses; these already have firearm possession, or use of another dangerous weapon, as an element. (If the defendant was previously convicted of a crime of violence, however, these offenses are eligible for the six-month increase on the next line. In practice</w:t>
      </w:r>
      <w:r w:rsidR="00861112">
        <w:rPr>
          <w:sz w:val="22"/>
          <w:szCs w:val="22"/>
        </w:rPr>
        <w:t xml:space="preserve">, </w:t>
      </w:r>
      <w:r w:rsidR="007D1DD8" w:rsidRPr="007D1DD8">
        <w:rPr>
          <w:sz w:val="22"/>
          <w:szCs w:val="22"/>
        </w:rPr>
        <w:t xml:space="preserve">a second-degree assault involving </w:t>
      </w:r>
      <w:r w:rsidR="00861112">
        <w:rPr>
          <w:sz w:val="22"/>
          <w:szCs w:val="22"/>
        </w:rPr>
        <w:t xml:space="preserve">a </w:t>
      </w:r>
      <w:r w:rsidR="007D1DD8" w:rsidRPr="007D1DD8">
        <w:rPr>
          <w:sz w:val="22"/>
          <w:szCs w:val="22"/>
        </w:rPr>
        <w:t xml:space="preserve">firearm would fall under the greater penalty increase for firearm use.) </w:t>
      </w:r>
      <w:r w:rsidR="007D1DD8" w:rsidRPr="007D1DD8">
        <w:rPr>
          <w:b/>
          <w:bCs/>
          <w:sz w:val="22"/>
          <w:szCs w:val="22"/>
        </w:rPr>
        <w:t>Includes</w:t>
      </w:r>
      <w:r w:rsidR="007D1DD8" w:rsidRPr="007D1DD8">
        <w:rPr>
          <w:sz w:val="22"/>
          <w:szCs w:val="22"/>
        </w:rPr>
        <w:t xml:space="preserve"> all other designated crimes, including possessing a firearm or ammunition after a crime of violence (because it might involve possessing only amm</w:t>
      </w:r>
      <w:r w:rsidR="00641F20">
        <w:rPr>
          <w:sz w:val="22"/>
          <w:szCs w:val="22"/>
        </w:rPr>
        <w:t>unition</w:t>
      </w:r>
      <w:r w:rsidR="004D475B">
        <w:rPr>
          <w:sz w:val="22"/>
          <w:szCs w:val="22"/>
        </w:rPr>
        <w:t>, or possessing a firearm not “on their person or in immediate reach”</w:t>
      </w:r>
      <w:r w:rsidR="00861112">
        <w:rPr>
          <w:sz w:val="22"/>
          <w:szCs w:val="22"/>
        </w:rPr>
        <w:t>;</w:t>
      </w:r>
      <w:r w:rsidR="004D475B">
        <w:rPr>
          <w:sz w:val="22"/>
          <w:szCs w:val="22"/>
        </w:rPr>
        <w:t xml:space="preserve"> see footnote 8</w:t>
      </w:r>
      <w:r w:rsidR="007D1DD8" w:rsidRPr="007D1DD8">
        <w:rPr>
          <w:sz w:val="22"/>
          <w:szCs w:val="22"/>
        </w:rPr>
        <w:t xml:space="preserve">). Thus, possessing a firearm after a crime of violence, accompanied by no other misconduct, would result in a 6-month durational increase in the applicable grid time; the </w:t>
      </w:r>
      <w:r w:rsidR="005C18B1">
        <w:rPr>
          <w:sz w:val="22"/>
          <w:szCs w:val="22"/>
        </w:rPr>
        <w:t xml:space="preserve">recommended </w:t>
      </w:r>
      <w:r w:rsidR="007D1DD8" w:rsidRPr="007D1DD8">
        <w:rPr>
          <w:sz w:val="22"/>
          <w:szCs w:val="22"/>
        </w:rPr>
        <w:t>disposition would not change.</w:t>
      </w:r>
      <w:bookmarkEnd w:id="18"/>
    </w:p>
    <w:p w14:paraId="744A6316" w14:textId="502AF62D" w:rsidR="007D1DD8" w:rsidRPr="007D1DD8" w:rsidRDefault="007D1DD8" w:rsidP="00641F20">
      <w:pPr>
        <w:pStyle w:val="BodyText"/>
        <w:spacing w:before="120" w:after="120" w:line="257" w:lineRule="auto"/>
        <w:rPr>
          <w:sz w:val="22"/>
          <w:szCs w:val="22"/>
        </w:rPr>
      </w:pPr>
      <w:bookmarkStart w:id="19" w:name="N10"/>
      <w:r w:rsidRPr="007D1DD8">
        <w:rPr>
          <w:sz w:val="22"/>
          <w:szCs w:val="22"/>
        </w:rPr>
        <w:lastRenderedPageBreak/>
        <w:t>¹</w:t>
      </w:r>
      <w:r w:rsidR="00EF5CF5">
        <w:rPr>
          <w:rFonts w:cstheme="minorHAnsi"/>
          <w:sz w:val="22"/>
          <w:szCs w:val="22"/>
        </w:rPr>
        <w:t>¹</w:t>
      </w:r>
      <w:r w:rsidRPr="007D1DD8">
        <w:rPr>
          <w:sz w:val="22"/>
          <w:szCs w:val="22"/>
        </w:rPr>
        <w:t xml:space="preserve"> Literally, this is a 30-month increase in the designated crime’s statutory maximum, which the Sentencing Guidelines must convert into a durational increase of at least 6 months.</w:t>
      </w:r>
      <w:bookmarkEnd w:id="19"/>
    </w:p>
    <w:p w14:paraId="64C83C00" w14:textId="77777777" w:rsidR="007D1DD8" w:rsidRDefault="005804E3" w:rsidP="005804E3">
      <w:pPr>
        <w:pStyle w:val="Heading3"/>
      </w:pPr>
      <w:bookmarkStart w:id="20" w:name="_Ref230351437"/>
      <w:r>
        <w:t>Draft statutory language</w:t>
      </w:r>
      <w:bookmarkEnd w:id="20"/>
    </w:p>
    <w:p w14:paraId="70B2B353" w14:textId="77777777" w:rsidR="00921166" w:rsidRPr="00921166" w:rsidRDefault="00921166" w:rsidP="005C18B1">
      <w:pPr>
        <w:pStyle w:val="BodyText"/>
        <w:keepNext/>
        <w:rPr>
          <w:rStyle w:val="Emphasis"/>
        </w:rPr>
      </w:pPr>
      <w:r w:rsidRPr="00921166">
        <w:rPr>
          <w:rStyle w:val="Emphasis"/>
        </w:rPr>
        <w:t>Underlining has been removed for readability; please consider all the following bill text to be underlined.</w:t>
      </w:r>
    </w:p>
    <w:p w14:paraId="12966380" w14:textId="1329CA6C" w:rsidR="00921166" w:rsidRPr="00921166" w:rsidRDefault="00921166" w:rsidP="00921166">
      <w:pPr>
        <w:keepNext/>
        <w:keepLines/>
        <w:tabs>
          <w:tab w:val="left" w:pos="230"/>
          <w:tab w:val="left" w:pos="461"/>
        </w:tabs>
        <w:spacing w:before="0" w:after="160" w:line="278" w:lineRule="auto"/>
        <w:rPr>
          <w:rFonts w:ascii="Times New Roman" w:eastAsia="Aptos" w:hAnsi="Times New Roman"/>
          <w:b/>
          <w:bCs/>
          <w:kern w:val="2"/>
          <w:sz w:val="26"/>
          <w:lang w:bidi="ar-SA"/>
          <w14:ligatures w14:val="standardContextual"/>
        </w:rPr>
      </w:pPr>
      <w:bookmarkStart w:id="21" w:name="_Hlk228379157"/>
      <w:bookmarkStart w:id="22" w:name="_Hlk229584365"/>
      <w:r w:rsidRPr="00921166">
        <w:rPr>
          <w:rFonts w:ascii="Times New Roman" w:eastAsia="Aptos" w:hAnsi="Times New Roman"/>
          <w:kern w:val="2"/>
          <w:sz w:val="26"/>
          <w:lang w:bidi="ar-SA"/>
          <w14:ligatures w14:val="standardContextual"/>
        </w:rPr>
        <w:tab/>
      </w:r>
      <w:bookmarkStart w:id="23" w:name="S14"/>
      <w:r w:rsidRPr="00921166">
        <w:rPr>
          <w:rFonts w:ascii="Times New Roman" w:eastAsia="Aptos" w:hAnsi="Times New Roman"/>
          <w:kern w:val="2"/>
          <w:sz w:val="26"/>
          <w:lang w:bidi="ar-SA"/>
          <w14:ligatures w14:val="standardContextual"/>
        </w:rPr>
        <w:t>Sec</w:t>
      </w:r>
      <w:bookmarkEnd w:id="23"/>
      <w:r w:rsidR="005D6311">
        <w:rPr>
          <w:rFonts w:ascii="Times New Roman" w:eastAsia="Aptos" w:hAnsi="Times New Roman"/>
          <w:kern w:val="2"/>
          <w:sz w:val="26"/>
          <w:lang w:bidi="ar-SA"/>
          <w14:ligatures w14:val="standardContextual"/>
        </w:rPr>
        <w:t>tion 1</w:t>
      </w:r>
      <w:r w:rsidRPr="00921166">
        <w:rPr>
          <w:rFonts w:ascii="Times New Roman" w:eastAsia="Aptos" w:hAnsi="Times New Roman"/>
          <w:kern w:val="2"/>
          <w:sz w:val="26"/>
          <w:lang w:bidi="ar-SA"/>
          <w14:ligatures w14:val="standardContextual"/>
        </w:rPr>
        <w:t xml:space="preserve">. </w:t>
      </w:r>
      <w:r w:rsidRPr="00921166">
        <w:rPr>
          <w:rFonts w:ascii="Times New Roman" w:eastAsia="Aptos" w:hAnsi="Times New Roman"/>
          <w:b/>
          <w:bCs/>
          <w:kern w:val="2"/>
          <w:sz w:val="26"/>
          <w:lang w:bidi="ar-SA"/>
          <w14:ligatures w14:val="standardContextual"/>
        </w:rPr>
        <w:t xml:space="preserve">[609.658] </w:t>
      </w:r>
      <w:r w:rsidRPr="00921166">
        <w:rPr>
          <w:rFonts w:ascii="Times New Roman" w:eastAsia="Aptos" w:hAnsi="Times New Roman"/>
          <w:b/>
          <w:bCs/>
          <w:caps/>
          <w:kern w:val="2"/>
          <w:sz w:val="26"/>
          <w:lang w:bidi="ar-SA"/>
          <w14:ligatures w14:val="standardContextual"/>
        </w:rPr>
        <w:t>Committing a Designated crime with a Weapon; increased penalty</w:t>
      </w:r>
      <w:r w:rsidRPr="00921166">
        <w:rPr>
          <w:rFonts w:ascii="Times New Roman" w:eastAsia="Aptos" w:hAnsi="Times New Roman"/>
          <w:b/>
          <w:bCs/>
          <w:kern w:val="2"/>
          <w:sz w:val="26"/>
          <w:lang w:bidi="ar-SA"/>
          <w14:ligatures w14:val="standardContextual"/>
        </w:rPr>
        <w:t>.</w:t>
      </w:r>
    </w:p>
    <w:p w14:paraId="2E73F227" w14:textId="77777777" w:rsidR="00921166" w:rsidRPr="00921166" w:rsidRDefault="00921166" w:rsidP="00921166">
      <w:pPr>
        <w:keepNext/>
        <w:tabs>
          <w:tab w:val="left" w:pos="230"/>
          <w:tab w:val="left" w:pos="461"/>
        </w:tabs>
        <w:spacing w:before="0" w:after="160" w:line="278" w:lineRule="auto"/>
        <w:rPr>
          <w:rFonts w:ascii="Times New Roman" w:eastAsia="Aptos" w:hAnsi="Times New Roman"/>
          <w:kern w:val="2"/>
          <w:sz w:val="26"/>
          <w:lang w:bidi="ar-SA"/>
          <w14:ligatures w14:val="standardContextual"/>
        </w:rPr>
      </w:pPr>
      <w:bookmarkStart w:id="24" w:name="_Hlk228361703"/>
      <w:r w:rsidRPr="00921166">
        <w:rPr>
          <w:rFonts w:ascii="Times New Roman" w:eastAsia="Aptos" w:hAnsi="Times New Roman"/>
          <w:b/>
          <w:bCs/>
          <w:kern w:val="2"/>
          <w:sz w:val="26"/>
          <w:lang w:bidi="ar-SA"/>
          <w14:ligatures w14:val="standardContextual"/>
        </w:rPr>
        <w:tab/>
      </w:r>
      <w:r w:rsidRPr="00921166">
        <w:rPr>
          <w:rFonts w:ascii="Times New Roman" w:eastAsia="Aptos" w:hAnsi="Times New Roman"/>
          <w:b/>
          <w:bCs/>
          <w:kern w:val="2"/>
          <w:sz w:val="26"/>
          <w:lang w:bidi="ar-SA"/>
          <w14:ligatures w14:val="standardContextual"/>
        </w:rPr>
        <w:tab/>
      </w:r>
      <w:r w:rsidRPr="00921166">
        <w:rPr>
          <w:rFonts w:ascii="Times New Roman" w:eastAsia="Aptos" w:hAnsi="Times New Roman"/>
          <w:kern w:val="2"/>
          <w:sz w:val="26"/>
          <w:lang w:bidi="ar-SA"/>
          <w14:ligatures w14:val="standardContextual"/>
        </w:rPr>
        <w:t xml:space="preserve">Subdivision 1. </w:t>
      </w:r>
      <w:r w:rsidRPr="00921166">
        <w:rPr>
          <w:rFonts w:ascii="Times New Roman" w:eastAsia="Aptos" w:hAnsi="Times New Roman"/>
          <w:b/>
          <w:bCs/>
          <w:kern w:val="2"/>
          <w:sz w:val="26"/>
          <w:lang w:bidi="ar-SA"/>
          <w14:ligatures w14:val="standardContextual"/>
        </w:rPr>
        <w:t>Designated crimes.</w:t>
      </w:r>
      <w:r w:rsidRPr="00921166">
        <w:rPr>
          <w:rFonts w:ascii="Times New Roman" w:eastAsia="Aptos" w:hAnsi="Times New Roman"/>
          <w:kern w:val="2"/>
          <w:sz w:val="26"/>
          <w:lang w:bidi="ar-SA"/>
          <w14:ligatures w14:val="standardContextual"/>
        </w:rPr>
        <w:t xml:space="preserve"> As used in this section, "designated crime" means:</w:t>
      </w:r>
    </w:p>
    <w:p w14:paraId="311D950A" w14:textId="7E7C7776"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 xml:space="preserve">(1) a violation of section </w:t>
      </w:r>
      <w:r w:rsidR="00AC5BA1" w:rsidRPr="00AC5BA1">
        <w:rPr>
          <w:rFonts w:ascii="Times New Roman" w:eastAsia="Aptos" w:hAnsi="Times New Roman"/>
          <w:kern w:val="2"/>
          <w:sz w:val="26"/>
          <w:lang w:bidi="ar-SA"/>
          <w14:ligatures w14:val="standardContextual"/>
        </w:rPr>
        <w:t>152.021 (first-degree controlled substance crime)</w:t>
      </w:r>
      <w:r w:rsidR="00AC5BA1">
        <w:rPr>
          <w:rFonts w:ascii="Times New Roman" w:eastAsia="Aptos" w:hAnsi="Times New Roman"/>
          <w:kern w:val="2"/>
          <w:sz w:val="26"/>
          <w:lang w:bidi="ar-SA"/>
          <w14:ligatures w14:val="standardContextual"/>
        </w:rPr>
        <w:t xml:space="preserve"> not listed in </w:t>
      </w:r>
      <w:r w:rsidR="001259B6">
        <w:rPr>
          <w:rFonts w:ascii="Times New Roman" w:eastAsia="Aptos" w:hAnsi="Times New Roman"/>
          <w:kern w:val="2"/>
          <w:sz w:val="26"/>
          <w:lang w:bidi="ar-SA"/>
          <w14:ligatures w14:val="standardContextual"/>
        </w:rPr>
        <w:t>clause (3); a violation of</w:t>
      </w:r>
      <w:r w:rsidR="00AC5BA1" w:rsidRPr="00AC5BA1">
        <w:rPr>
          <w:rFonts w:ascii="Times New Roman" w:eastAsia="Aptos" w:hAnsi="Times New Roman"/>
          <w:kern w:val="2"/>
          <w:sz w:val="26"/>
          <w:lang w:bidi="ar-SA"/>
          <w14:ligatures w14:val="standardContextual"/>
        </w:rPr>
        <w:t xml:space="preserve"> </w:t>
      </w:r>
      <w:r w:rsidR="000848B2">
        <w:rPr>
          <w:rFonts w:ascii="Times New Roman" w:eastAsia="Aptos" w:hAnsi="Times New Roman"/>
          <w:kern w:val="2"/>
          <w:sz w:val="26"/>
          <w:lang w:bidi="ar-SA"/>
          <w14:ligatures w14:val="standardContextual"/>
        </w:rPr>
        <w:t xml:space="preserve">section </w:t>
      </w:r>
      <w:r w:rsidR="00AC5BA1" w:rsidRPr="00AC5BA1">
        <w:rPr>
          <w:rFonts w:ascii="Times New Roman" w:eastAsia="Aptos" w:hAnsi="Times New Roman"/>
          <w:kern w:val="2"/>
          <w:sz w:val="26"/>
          <w:lang w:bidi="ar-SA"/>
          <w14:ligatures w14:val="standardContextual"/>
        </w:rPr>
        <w:t>152.022 (second-degree controlled substance crime)</w:t>
      </w:r>
      <w:r w:rsidR="00F807DB">
        <w:rPr>
          <w:rFonts w:ascii="Times New Roman" w:eastAsia="Aptos" w:hAnsi="Times New Roman"/>
          <w:kern w:val="2"/>
          <w:sz w:val="26"/>
          <w:lang w:bidi="ar-SA"/>
          <w14:ligatures w14:val="standardContextual"/>
        </w:rPr>
        <w:t xml:space="preserve"> not listed in clause (3); a violation of </w:t>
      </w:r>
      <w:r w:rsidR="000848B2">
        <w:rPr>
          <w:rFonts w:ascii="Times New Roman" w:eastAsia="Aptos" w:hAnsi="Times New Roman"/>
          <w:kern w:val="2"/>
          <w:sz w:val="26"/>
          <w:lang w:bidi="ar-SA"/>
          <w14:ligatures w14:val="standardContextual"/>
        </w:rPr>
        <w:t xml:space="preserve">section </w:t>
      </w:r>
      <w:r w:rsidR="00AC5BA1" w:rsidRPr="00AC5BA1">
        <w:rPr>
          <w:rFonts w:ascii="Times New Roman" w:eastAsia="Aptos" w:hAnsi="Times New Roman"/>
          <w:kern w:val="2"/>
          <w:sz w:val="26"/>
          <w:lang w:bidi="ar-SA"/>
          <w14:ligatures w14:val="standardContextual"/>
        </w:rPr>
        <w:t xml:space="preserve">152.023, </w:t>
      </w:r>
      <w:r w:rsidR="0069441B">
        <w:rPr>
          <w:rFonts w:ascii="Times New Roman" w:eastAsia="Aptos" w:hAnsi="Times New Roman"/>
          <w:kern w:val="2"/>
          <w:sz w:val="26"/>
          <w:lang w:bidi="ar-SA"/>
          <w14:ligatures w14:val="standardContextual"/>
        </w:rPr>
        <w:t>subdivision</w:t>
      </w:r>
      <w:r w:rsidR="00AC5BA1" w:rsidRPr="00AC5BA1">
        <w:rPr>
          <w:rFonts w:ascii="Times New Roman" w:eastAsia="Aptos" w:hAnsi="Times New Roman"/>
          <w:kern w:val="2"/>
          <w:sz w:val="26"/>
          <w:lang w:bidi="ar-SA"/>
          <w14:ligatures w14:val="standardContextual"/>
        </w:rPr>
        <w:t xml:space="preserve"> 1 (third-degree controlled substance sale)</w:t>
      </w:r>
      <w:r w:rsidR="00F807DB">
        <w:rPr>
          <w:rFonts w:ascii="Times New Roman" w:eastAsia="Aptos" w:hAnsi="Times New Roman"/>
          <w:kern w:val="2"/>
          <w:sz w:val="26"/>
          <w:lang w:bidi="ar-SA"/>
          <w14:ligatures w14:val="standardContextual"/>
        </w:rPr>
        <w:t>;</w:t>
      </w:r>
      <w:r w:rsidR="00AC5BA1" w:rsidRPr="00AC5BA1">
        <w:rPr>
          <w:rFonts w:ascii="Times New Roman" w:eastAsia="Aptos" w:hAnsi="Times New Roman"/>
          <w:kern w:val="2"/>
          <w:sz w:val="26"/>
          <w:lang w:bidi="ar-SA"/>
          <w14:ligatures w14:val="standardContextual"/>
        </w:rPr>
        <w:t xml:space="preserve"> 152.024, </w:t>
      </w:r>
      <w:r w:rsidR="0069441B">
        <w:rPr>
          <w:rFonts w:ascii="Times New Roman" w:eastAsia="Aptos" w:hAnsi="Times New Roman"/>
          <w:kern w:val="2"/>
          <w:sz w:val="26"/>
          <w:lang w:bidi="ar-SA"/>
          <w14:ligatures w14:val="standardContextual"/>
        </w:rPr>
        <w:t>subdivision</w:t>
      </w:r>
      <w:r w:rsidR="00AC5BA1" w:rsidRPr="00AC5BA1">
        <w:rPr>
          <w:rFonts w:ascii="Times New Roman" w:eastAsia="Aptos" w:hAnsi="Times New Roman"/>
          <w:kern w:val="2"/>
          <w:sz w:val="26"/>
          <w:lang w:bidi="ar-SA"/>
          <w14:ligatures w14:val="standardContextual"/>
        </w:rPr>
        <w:t xml:space="preserve"> 1 (fourth-degree controlled substance sale)</w:t>
      </w:r>
      <w:r w:rsidR="00F807DB">
        <w:rPr>
          <w:rFonts w:ascii="Times New Roman" w:eastAsia="Aptos" w:hAnsi="Times New Roman"/>
          <w:kern w:val="2"/>
          <w:sz w:val="26"/>
          <w:lang w:bidi="ar-SA"/>
          <w14:ligatures w14:val="standardContextual"/>
        </w:rPr>
        <w:t>;</w:t>
      </w:r>
      <w:r w:rsidR="00AC5BA1" w:rsidRPr="00AC5BA1">
        <w:rPr>
          <w:rFonts w:ascii="Times New Roman" w:eastAsia="Aptos" w:hAnsi="Times New Roman"/>
          <w:kern w:val="2"/>
          <w:sz w:val="26"/>
          <w:lang w:bidi="ar-SA"/>
          <w14:ligatures w14:val="standardContextual"/>
        </w:rPr>
        <w:t xml:space="preserve"> 152.025, </w:t>
      </w:r>
      <w:r w:rsidR="0069441B">
        <w:rPr>
          <w:rFonts w:ascii="Times New Roman" w:eastAsia="Aptos" w:hAnsi="Times New Roman"/>
          <w:kern w:val="2"/>
          <w:sz w:val="26"/>
          <w:lang w:bidi="ar-SA"/>
          <w14:ligatures w14:val="standardContextual"/>
        </w:rPr>
        <w:t>subdivision</w:t>
      </w:r>
      <w:r w:rsidR="00AC5BA1" w:rsidRPr="00AC5BA1">
        <w:rPr>
          <w:rFonts w:ascii="Times New Roman" w:eastAsia="Aptos" w:hAnsi="Times New Roman"/>
          <w:kern w:val="2"/>
          <w:sz w:val="26"/>
          <w:lang w:bidi="ar-SA"/>
          <w14:ligatures w14:val="standardContextual"/>
        </w:rPr>
        <w:t xml:space="preserve"> 1 (fifth-degree controlled substance sale)</w:t>
      </w:r>
      <w:r w:rsidR="00F807DB">
        <w:rPr>
          <w:rFonts w:ascii="Times New Roman" w:eastAsia="Aptos" w:hAnsi="Times New Roman"/>
          <w:kern w:val="2"/>
          <w:sz w:val="26"/>
          <w:lang w:bidi="ar-SA"/>
          <w14:ligatures w14:val="standardContextual"/>
        </w:rPr>
        <w:t>;</w:t>
      </w:r>
      <w:r w:rsidR="00AC5BA1" w:rsidRPr="00AC5BA1">
        <w:rPr>
          <w:rFonts w:ascii="Times New Roman" w:eastAsia="Aptos" w:hAnsi="Times New Roman"/>
          <w:kern w:val="2"/>
          <w:sz w:val="26"/>
          <w:lang w:bidi="ar-SA"/>
          <w14:ligatures w14:val="standardContextual"/>
        </w:rPr>
        <w:t xml:space="preserve"> 152.0261 (importing a controlled substance)</w:t>
      </w:r>
      <w:r w:rsidR="00F807DB">
        <w:rPr>
          <w:rFonts w:ascii="Times New Roman" w:eastAsia="Aptos" w:hAnsi="Times New Roman"/>
          <w:kern w:val="2"/>
          <w:sz w:val="26"/>
          <w:lang w:bidi="ar-SA"/>
          <w14:ligatures w14:val="standardContextual"/>
        </w:rPr>
        <w:t>;</w:t>
      </w:r>
      <w:r w:rsidR="00AC5BA1" w:rsidRPr="00AC5BA1">
        <w:rPr>
          <w:rFonts w:ascii="Times New Roman" w:eastAsia="Aptos" w:hAnsi="Times New Roman"/>
          <w:kern w:val="2"/>
          <w:sz w:val="26"/>
          <w:lang w:bidi="ar-SA"/>
          <w14:ligatures w14:val="standardContextual"/>
        </w:rPr>
        <w:t xml:space="preserve"> 152.0262 (possession of substances with intent to manufacture methamphetamine)</w:t>
      </w:r>
      <w:r w:rsidR="00F807DB">
        <w:rPr>
          <w:rFonts w:ascii="Times New Roman" w:eastAsia="Aptos" w:hAnsi="Times New Roman"/>
          <w:kern w:val="2"/>
          <w:sz w:val="26"/>
          <w:lang w:bidi="ar-SA"/>
          <w14:ligatures w14:val="standardContextual"/>
        </w:rPr>
        <w:t>;</w:t>
      </w:r>
      <w:r w:rsidR="00AC5BA1" w:rsidRPr="00AC5BA1">
        <w:rPr>
          <w:rFonts w:ascii="Times New Roman" w:eastAsia="Aptos" w:hAnsi="Times New Roman"/>
          <w:kern w:val="2"/>
          <w:sz w:val="26"/>
          <w:lang w:bidi="ar-SA"/>
          <w14:ligatures w14:val="standardContextual"/>
        </w:rPr>
        <w:t xml:space="preserve"> 152.0264, </w:t>
      </w:r>
      <w:r w:rsidR="0069441B">
        <w:rPr>
          <w:rFonts w:ascii="Times New Roman" w:eastAsia="Aptos" w:hAnsi="Times New Roman"/>
          <w:kern w:val="2"/>
          <w:sz w:val="26"/>
          <w:lang w:bidi="ar-SA"/>
          <w14:ligatures w14:val="standardContextual"/>
        </w:rPr>
        <w:t>subdivision</w:t>
      </w:r>
      <w:r w:rsidR="00AC5BA1" w:rsidRPr="00AC5BA1">
        <w:rPr>
          <w:rFonts w:ascii="Times New Roman" w:eastAsia="Aptos" w:hAnsi="Times New Roman"/>
          <w:kern w:val="2"/>
          <w:sz w:val="26"/>
          <w:lang w:bidi="ar-SA"/>
          <w14:ligatures w14:val="standardContextual"/>
        </w:rPr>
        <w:t xml:space="preserve"> 1 (first-degree cannabis sale)</w:t>
      </w:r>
      <w:r w:rsidR="002B19DF">
        <w:rPr>
          <w:rFonts w:ascii="Times New Roman" w:eastAsia="Aptos" w:hAnsi="Times New Roman"/>
          <w:kern w:val="2"/>
          <w:sz w:val="26"/>
          <w:lang w:bidi="ar-SA"/>
          <w14:ligatures w14:val="standardContextual"/>
        </w:rPr>
        <w:t xml:space="preserve">; </w:t>
      </w:r>
      <w:r w:rsidR="00AC5BA1" w:rsidRPr="00AC5BA1">
        <w:rPr>
          <w:rFonts w:ascii="Times New Roman" w:eastAsia="Aptos" w:hAnsi="Times New Roman"/>
          <w:kern w:val="2"/>
          <w:sz w:val="26"/>
          <w:lang w:bidi="ar-SA"/>
          <w14:ligatures w14:val="standardContextual"/>
        </w:rPr>
        <w:t xml:space="preserve">152.027, </w:t>
      </w:r>
      <w:r w:rsidR="0069441B">
        <w:rPr>
          <w:rFonts w:ascii="Times New Roman" w:eastAsia="Aptos" w:hAnsi="Times New Roman"/>
          <w:kern w:val="2"/>
          <w:sz w:val="26"/>
          <w:lang w:bidi="ar-SA"/>
          <w14:ligatures w14:val="standardContextual"/>
        </w:rPr>
        <w:t>subdivision</w:t>
      </w:r>
      <w:r w:rsidR="00AC5BA1" w:rsidRPr="00AC5BA1">
        <w:rPr>
          <w:rFonts w:ascii="Times New Roman" w:eastAsia="Aptos" w:hAnsi="Times New Roman"/>
          <w:kern w:val="2"/>
          <w:sz w:val="26"/>
          <w:lang w:bidi="ar-SA"/>
          <w14:ligatures w14:val="standardContextual"/>
        </w:rPr>
        <w:t xml:space="preserve"> 6</w:t>
      </w:r>
      <w:r w:rsidR="00F474C5">
        <w:rPr>
          <w:rFonts w:ascii="Times New Roman" w:eastAsia="Aptos" w:hAnsi="Times New Roman"/>
          <w:kern w:val="2"/>
          <w:sz w:val="26"/>
          <w:lang w:bidi="ar-SA"/>
          <w14:ligatures w14:val="standardContextual"/>
        </w:rPr>
        <w:t xml:space="preserve">, </w:t>
      </w:r>
      <w:r w:rsidR="0057041D">
        <w:rPr>
          <w:rFonts w:ascii="Times New Roman" w:eastAsia="Aptos" w:hAnsi="Times New Roman"/>
          <w:kern w:val="2"/>
          <w:sz w:val="26"/>
          <w:lang w:bidi="ar-SA"/>
          <w14:ligatures w14:val="standardContextual"/>
        </w:rPr>
        <w:t>paragraph</w:t>
      </w:r>
      <w:r w:rsidR="00F474C5">
        <w:rPr>
          <w:rFonts w:ascii="Times New Roman" w:eastAsia="Aptos" w:hAnsi="Times New Roman"/>
          <w:kern w:val="2"/>
          <w:sz w:val="26"/>
          <w:lang w:bidi="ar-SA"/>
          <w14:ligatures w14:val="standardContextual"/>
        </w:rPr>
        <w:t xml:space="preserve"> </w:t>
      </w:r>
      <w:r w:rsidR="00AC5BA1" w:rsidRPr="00AC5BA1">
        <w:rPr>
          <w:rFonts w:ascii="Times New Roman" w:eastAsia="Aptos" w:hAnsi="Times New Roman"/>
          <w:kern w:val="2"/>
          <w:sz w:val="26"/>
          <w:lang w:bidi="ar-SA"/>
          <w14:ligatures w14:val="standardContextual"/>
        </w:rPr>
        <w:t>(c) (sale of synthetic cannabinoids)</w:t>
      </w:r>
      <w:r w:rsidR="002B19DF">
        <w:rPr>
          <w:rFonts w:ascii="Times New Roman" w:eastAsia="Aptos" w:hAnsi="Times New Roman"/>
          <w:kern w:val="2"/>
          <w:sz w:val="26"/>
          <w:lang w:bidi="ar-SA"/>
          <w14:ligatures w14:val="standardContextual"/>
        </w:rPr>
        <w:t xml:space="preserve">; </w:t>
      </w:r>
      <w:r w:rsidRPr="00921166">
        <w:rPr>
          <w:rFonts w:ascii="Times New Roman" w:eastAsia="Aptos" w:hAnsi="Times New Roman"/>
          <w:kern w:val="2"/>
          <w:sz w:val="26"/>
          <w:lang w:bidi="ar-SA"/>
          <w14:ligatures w14:val="standardContextual"/>
        </w:rPr>
        <w:t>609.185 (first-degree murder); 609.19, subdivision 1, clause (1), or subdivision 2 (second-degree murder); 609.195 (third-degree murder); 609.20 (first-degree manslaughter); 609.205 (second-degree manslaughter); 609.221 (first-degree assault); 609.223 (third-degree assault); 609.24 (simple robbery); 609.245 (aggravated robbery); 609.247 (carjacking); 609.25 (kidnapping); 609.255 (false imprisonment); 609.342, subdivision 1 (first-degree criminal sexual conduct; adult victim); 609.342, subdivision 1a, clause (a), (b), (c), (d), (e), (f), or (</w:t>
      </w:r>
      <w:proofErr w:type="spellStart"/>
      <w:r w:rsidRPr="00921166">
        <w:rPr>
          <w:rFonts w:ascii="Times New Roman" w:eastAsia="Aptos" w:hAnsi="Times New Roman"/>
          <w:kern w:val="2"/>
          <w:sz w:val="26"/>
          <w:lang w:bidi="ar-SA"/>
          <w14:ligatures w14:val="standardContextual"/>
        </w:rPr>
        <w:t>i</w:t>
      </w:r>
      <w:proofErr w:type="spellEnd"/>
      <w:r w:rsidRPr="00921166">
        <w:rPr>
          <w:rFonts w:ascii="Times New Roman" w:eastAsia="Aptos" w:hAnsi="Times New Roman"/>
          <w:kern w:val="2"/>
          <w:sz w:val="26"/>
          <w:lang w:bidi="ar-SA"/>
          <w14:ligatures w14:val="standardContextual"/>
        </w:rPr>
        <w:t>) (first-degree criminal sexual conduct; victim under the age of 18); 609.343, subdivision 1 (second-degree criminal sexual conduct; adult victim); 609.343, subdivision 1a, clause (a), (b), (c), (d), (e), (f), or (</w:t>
      </w:r>
      <w:proofErr w:type="spellStart"/>
      <w:r w:rsidRPr="00921166">
        <w:rPr>
          <w:rFonts w:ascii="Times New Roman" w:eastAsia="Aptos" w:hAnsi="Times New Roman"/>
          <w:kern w:val="2"/>
          <w:sz w:val="26"/>
          <w:lang w:bidi="ar-SA"/>
          <w14:ligatures w14:val="standardContextual"/>
        </w:rPr>
        <w:t>i</w:t>
      </w:r>
      <w:proofErr w:type="spellEnd"/>
      <w:r w:rsidRPr="00921166">
        <w:rPr>
          <w:rFonts w:ascii="Times New Roman" w:eastAsia="Aptos" w:hAnsi="Times New Roman"/>
          <w:kern w:val="2"/>
          <w:sz w:val="26"/>
          <w:lang w:bidi="ar-SA"/>
          <w14:ligatures w14:val="standardContextual"/>
        </w:rPr>
        <w:t>) (second-degree criminal sexual conduct; victim under the age of 18); 609.344, subdivision 1, clause (a), (b), or (c), or clause (d) under the conditions described in section 609.341, subdivision 24, clause (2)(</w:t>
      </w:r>
      <w:proofErr w:type="spellStart"/>
      <w:r w:rsidRPr="00921166">
        <w:rPr>
          <w:rFonts w:ascii="Times New Roman" w:eastAsia="Aptos" w:hAnsi="Times New Roman"/>
          <w:kern w:val="2"/>
          <w:sz w:val="26"/>
          <w:lang w:bidi="ar-SA"/>
          <w14:ligatures w14:val="standardContextual"/>
        </w:rPr>
        <w:t>i</w:t>
      </w:r>
      <w:proofErr w:type="spellEnd"/>
      <w:r w:rsidRPr="00921166">
        <w:rPr>
          <w:rFonts w:ascii="Times New Roman" w:eastAsia="Aptos" w:hAnsi="Times New Roman"/>
          <w:kern w:val="2"/>
          <w:sz w:val="26"/>
          <w:lang w:bidi="ar-SA"/>
          <w14:ligatures w14:val="standardContextual"/>
        </w:rPr>
        <w:t>), (ii), or (iii) (third-degree criminal sexual conduct; adult victim); 609.344, subdivision 1a, clause (a), (b), (c), (d), (e), or (h), or clause (</w:t>
      </w:r>
      <w:proofErr w:type="spellStart"/>
      <w:r w:rsidRPr="00921166">
        <w:rPr>
          <w:rFonts w:ascii="Times New Roman" w:eastAsia="Aptos" w:hAnsi="Times New Roman"/>
          <w:kern w:val="2"/>
          <w:sz w:val="26"/>
          <w:lang w:bidi="ar-SA"/>
          <w14:ligatures w14:val="standardContextual"/>
        </w:rPr>
        <w:t>i</w:t>
      </w:r>
      <w:proofErr w:type="spellEnd"/>
      <w:r w:rsidRPr="00921166">
        <w:rPr>
          <w:rFonts w:ascii="Times New Roman" w:eastAsia="Aptos" w:hAnsi="Times New Roman"/>
          <w:kern w:val="2"/>
          <w:sz w:val="26"/>
          <w:lang w:bidi="ar-SA"/>
          <w14:ligatures w14:val="standardContextual"/>
        </w:rPr>
        <w:t>) under the conditions described in section 609.341, subdivision 24, clause (2)(</w:t>
      </w:r>
      <w:proofErr w:type="spellStart"/>
      <w:r w:rsidRPr="00921166">
        <w:rPr>
          <w:rFonts w:ascii="Times New Roman" w:eastAsia="Aptos" w:hAnsi="Times New Roman"/>
          <w:kern w:val="2"/>
          <w:sz w:val="26"/>
          <w:lang w:bidi="ar-SA"/>
          <w14:ligatures w14:val="standardContextual"/>
        </w:rPr>
        <w:t>i</w:t>
      </w:r>
      <w:proofErr w:type="spellEnd"/>
      <w:r w:rsidRPr="00921166">
        <w:rPr>
          <w:rFonts w:ascii="Times New Roman" w:eastAsia="Aptos" w:hAnsi="Times New Roman"/>
          <w:kern w:val="2"/>
          <w:sz w:val="26"/>
          <w:lang w:bidi="ar-SA"/>
          <w14:ligatures w14:val="standardContextual"/>
        </w:rPr>
        <w:t>), (ii), or (iii) (third-degree criminal sexual conduct; victim under the age of 18); 609.485 (escape from custody); 609.498, subdivision 1 or 1b (first-degree or aggravated first-degree witness tampering); 609.561 (first-degree arson); 609.562 (second-degree arson); 609.563 (third-degree arson); or 609.582 (burglary); or an attempt to commit any of these offenses;</w:t>
      </w:r>
    </w:p>
    <w:p w14:paraId="56EB766D"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(2) a violation of section 609.165, subdivision 1b, or 624.713, subdivision 1, clause (2) (</w:t>
      </w:r>
      <w:bookmarkStart w:id="25" w:name="_Hlk229567643"/>
      <w:r w:rsidRPr="00921166">
        <w:rPr>
          <w:rFonts w:ascii="Times New Roman" w:eastAsia="Aptos" w:hAnsi="Times New Roman"/>
          <w:kern w:val="2"/>
          <w:sz w:val="26"/>
          <w:lang w:bidi="ar-SA"/>
          <w14:ligatures w14:val="standardContextual"/>
        </w:rPr>
        <w:t>possessing a firearm or ammunition after a crime of violence</w:t>
      </w:r>
      <w:bookmarkEnd w:id="25"/>
      <w:r w:rsidRPr="00921166">
        <w:rPr>
          <w:rFonts w:ascii="Times New Roman" w:eastAsia="Aptos" w:hAnsi="Times New Roman"/>
          <w:kern w:val="2"/>
          <w:sz w:val="26"/>
          <w:lang w:bidi="ar-SA"/>
          <w14:ligatures w14:val="standardContextual"/>
        </w:rPr>
        <w:t>); or an attempt to commit either of these offenses;</w:t>
      </w:r>
    </w:p>
    <w:p w14:paraId="222B0C9D"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lastRenderedPageBreak/>
        <w:tab/>
      </w:r>
      <w:r w:rsidRPr="00921166">
        <w:rPr>
          <w:rFonts w:ascii="Times New Roman" w:eastAsia="Aptos" w:hAnsi="Times New Roman"/>
          <w:kern w:val="2"/>
          <w:sz w:val="26"/>
          <w:lang w:bidi="ar-SA"/>
          <w14:ligatures w14:val="standardContextual"/>
        </w:rPr>
        <w:tab/>
        <w:t>(3) a violation of section 152.021, subdivision 1, clause (2)(</w:t>
      </w:r>
      <w:proofErr w:type="spellStart"/>
      <w:r w:rsidRPr="00921166">
        <w:rPr>
          <w:rFonts w:ascii="Times New Roman" w:eastAsia="Aptos" w:hAnsi="Times New Roman"/>
          <w:kern w:val="2"/>
          <w:sz w:val="26"/>
          <w:lang w:bidi="ar-SA"/>
          <w14:ligatures w14:val="standardContextual"/>
        </w:rPr>
        <w:t>i</w:t>
      </w:r>
      <w:proofErr w:type="spellEnd"/>
      <w:r w:rsidRPr="00921166">
        <w:rPr>
          <w:rFonts w:ascii="Times New Roman" w:eastAsia="Aptos" w:hAnsi="Times New Roman"/>
          <w:kern w:val="2"/>
          <w:sz w:val="26"/>
          <w:lang w:bidi="ar-SA"/>
          <w14:ligatures w14:val="standardContextual"/>
        </w:rPr>
        <w:t>), subdivision 2, clause (2)(</w:t>
      </w:r>
      <w:proofErr w:type="spellStart"/>
      <w:r w:rsidRPr="00921166">
        <w:rPr>
          <w:rFonts w:ascii="Times New Roman" w:eastAsia="Aptos" w:hAnsi="Times New Roman"/>
          <w:kern w:val="2"/>
          <w:sz w:val="26"/>
          <w:lang w:bidi="ar-SA"/>
          <w14:ligatures w14:val="standardContextual"/>
        </w:rPr>
        <w:t>i</w:t>
      </w:r>
      <w:proofErr w:type="spellEnd"/>
      <w:r w:rsidRPr="00921166">
        <w:rPr>
          <w:rFonts w:ascii="Times New Roman" w:eastAsia="Aptos" w:hAnsi="Times New Roman"/>
          <w:kern w:val="2"/>
          <w:sz w:val="26"/>
          <w:lang w:bidi="ar-SA"/>
          <w14:ligatures w14:val="standardContextual"/>
        </w:rPr>
        <w:t>), or subdivision 2b, clause (1) (first-degree or aggravated first-degree controlled substance crime with a firearm); 152.022, subdivision 1, clause (2)(</w:t>
      </w:r>
      <w:proofErr w:type="spellStart"/>
      <w:r w:rsidRPr="00921166">
        <w:rPr>
          <w:rFonts w:ascii="Times New Roman" w:eastAsia="Aptos" w:hAnsi="Times New Roman"/>
          <w:kern w:val="2"/>
          <w:sz w:val="26"/>
          <w:lang w:bidi="ar-SA"/>
          <w14:ligatures w14:val="standardContextual"/>
        </w:rPr>
        <w:t>i</w:t>
      </w:r>
      <w:proofErr w:type="spellEnd"/>
      <w:r w:rsidRPr="00921166">
        <w:rPr>
          <w:rFonts w:ascii="Times New Roman" w:eastAsia="Aptos" w:hAnsi="Times New Roman"/>
          <w:kern w:val="2"/>
          <w:sz w:val="26"/>
          <w:lang w:bidi="ar-SA"/>
          <w14:ligatures w14:val="standardContextual"/>
        </w:rPr>
        <w:t>), or subdivision 2, clause (2)(</w:t>
      </w:r>
      <w:proofErr w:type="spellStart"/>
      <w:r w:rsidRPr="00921166">
        <w:rPr>
          <w:rFonts w:ascii="Times New Roman" w:eastAsia="Aptos" w:hAnsi="Times New Roman"/>
          <w:kern w:val="2"/>
          <w:sz w:val="26"/>
          <w:lang w:bidi="ar-SA"/>
          <w14:ligatures w14:val="standardContextual"/>
        </w:rPr>
        <w:t>i</w:t>
      </w:r>
      <w:proofErr w:type="spellEnd"/>
      <w:r w:rsidRPr="00921166">
        <w:rPr>
          <w:rFonts w:ascii="Times New Roman" w:eastAsia="Aptos" w:hAnsi="Times New Roman"/>
          <w:kern w:val="2"/>
          <w:sz w:val="26"/>
          <w:lang w:bidi="ar-SA"/>
          <w14:ligatures w14:val="standardContextual"/>
        </w:rPr>
        <w:t>) (second-degree controlled substance crime with a firearm); 609.222 (second-degree assault); or 609.749, subdivision 3, paragraph (a), clause (3) (harassment with a dangerous weapon); or an attempt to commit any of these offenses; or</w:t>
      </w:r>
    </w:p>
    <w:p w14:paraId="688FB4C8"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(4) a violation of section 609.19, subdivision 1, clause (2) (second-degree murder while committing drive-by shooting), or 609.66, subdivision 1e (drive-by shooting); or an attempt to commit either of these offenses.</w:t>
      </w:r>
    </w:p>
    <w:p w14:paraId="6C173D03"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 xml:space="preserve">Subd. 2. </w:t>
      </w:r>
      <w:r w:rsidRPr="00921166">
        <w:rPr>
          <w:rFonts w:ascii="Times New Roman" w:eastAsia="Aptos" w:hAnsi="Times New Roman"/>
          <w:b/>
          <w:bCs/>
          <w:kern w:val="2"/>
          <w:sz w:val="26"/>
          <w:lang w:bidi="ar-SA"/>
          <w14:ligatures w14:val="standardContextual"/>
        </w:rPr>
        <w:t>Firearm use; increased maximum penalty.</w:t>
      </w:r>
      <w:r w:rsidRPr="00921166">
        <w:rPr>
          <w:rFonts w:ascii="Times New Roman" w:eastAsia="Aptos" w:hAnsi="Times New Roman"/>
          <w:kern w:val="2"/>
          <w:sz w:val="26"/>
          <w:lang w:bidi="ar-SA"/>
          <w14:ligatures w14:val="standardContextual"/>
        </w:rPr>
        <w:t xml:space="preserve"> (a) If the actor, either directly or as an accomplice, commits a designated crime, and, at the time of the crime or while immediately fleeing the scene of the crime, the actor or an accomplice uses, whether by brandishing, displaying, threatening with, or otherwise employing, a firearm, the statutory maximum penalty for the designated crime is increased by five years if either of the following is true, or by ten years if both of the following are true:</w:t>
      </w:r>
    </w:p>
    <w:p w14:paraId="528C8C8E"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(1) The designated crime is listed in subdivision 1, clause (1), (2), or (3).</w:t>
      </w:r>
    </w:p>
    <w:p w14:paraId="74F91626"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 xml:space="preserve">(2) The designated crime is listed in subdivision 1, clause (1), (3), or (4), the actor personally uses the firearm, and the actor's use of the firearm violates section 609.165, subdivision </w:t>
      </w:r>
      <w:proofErr w:type="gramStart"/>
      <w:r w:rsidRPr="00921166">
        <w:rPr>
          <w:rFonts w:ascii="Times New Roman" w:eastAsia="Aptos" w:hAnsi="Times New Roman"/>
          <w:kern w:val="2"/>
          <w:sz w:val="26"/>
          <w:lang w:bidi="ar-SA"/>
          <w14:ligatures w14:val="standardContextual"/>
        </w:rPr>
        <w:t>1b</w:t>
      </w:r>
      <w:proofErr w:type="gramEnd"/>
      <w:r w:rsidRPr="00921166">
        <w:rPr>
          <w:rFonts w:ascii="Times New Roman" w:eastAsia="Aptos" w:hAnsi="Times New Roman"/>
          <w:kern w:val="2"/>
          <w:sz w:val="26"/>
          <w:lang w:bidi="ar-SA"/>
          <w14:ligatures w14:val="standardContextual"/>
        </w:rPr>
        <w:t>, or 624.713, subdivision 1, clause (2).</w:t>
      </w:r>
    </w:p>
    <w:p w14:paraId="12D3A598"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 xml:space="preserve">(b) Notwithstanding paragraph (a), this subdivision does not apply to an accomplice's use of a firearm unless, before committing the designated crime, the actor </w:t>
      </w:r>
      <w:proofErr w:type="gramStart"/>
      <w:r w:rsidRPr="00921166">
        <w:rPr>
          <w:rFonts w:ascii="Times New Roman" w:eastAsia="Aptos" w:hAnsi="Times New Roman"/>
          <w:kern w:val="2"/>
          <w:sz w:val="26"/>
          <w:lang w:bidi="ar-SA"/>
          <w14:ligatures w14:val="standardContextual"/>
        </w:rPr>
        <w:t>knew</w:t>
      </w:r>
      <w:proofErr w:type="gramEnd"/>
      <w:r w:rsidRPr="00921166">
        <w:rPr>
          <w:rFonts w:ascii="Times New Roman" w:eastAsia="Aptos" w:hAnsi="Times New Roman"/>
          <w:kern w:val="2"/>
          <w:sz w:val="26"/>
          <w:lang w:bidi="ar-SA"/>
          <w14:ligatures w14:val="standardContextual"/>
        </w:rPr>
        <w:t xml:space="preserve"> the accomplice would likely possess the firearm at the time of the designated crime.</w:t>
      </w:r>
    </w:p>
    <w:p w14:paraId="5C848060"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(c) Notwithstanding paragraph (a), if this subdivision applies to a designated crime that is an attempt under section 609.17, the statutory maximum penalty for the designated crime is increased by one-half the increase applicable under paragraph (a).</w:t>
      </w:r>
    </w:p>
    <w:p w14:paraId="623DB9A4"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 xml:space="preserve">Subd. 3. </w:t>
      </w:r>
      <w:r w:rsidRPr="00921166">
        <w:rPr>
          <w:rFonts w:ascii="Times New Roman" w:eastAsia="Aptos" w:hAnsi="Times New Roman"/>
          <w:b/>
          <w:bCs/>
          <w:kern w:val="2"/>
          <w:sz w:val="26"/>
          <w:lang w:bidi="ar-SA"/>
          <w14:ligatures w14:val="standardContextual"/>
        </w:rPr>
        <w:t>Firearm use; mandatory minimum sentence.</w:t>
      </w:r>
      <w:r w:rsidRPr="00921166">
        <w:rPr>
          <w:rFonts w:ascii="Times New Roman" w:eastAsia="Aptos" w:hAnsi="Times New Roman"/>
          <w:kern w:val="2"/>
          <w:sz w:val="26"/>
          <w:lang w:bidi="ar-SA"/>
          <w14:ligatures w14:val="standardContextual"/>
        </w:rPr>
        <w:t xml:space="preserve"> (a) A person convicted of a designated crime must be committed to the commissioner of corrections for a mandatory sentence of at least the length of the presumptive sentence under the Sentencing Guidelines if:</w:t>
      </w:r>
    </w:p>
    <w:p w14:paraId="7507AF74"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(1) the statutory maximum penalty for the designated crime is increased under subdivision 2; or</w:t>
      </w:r>
    </w:p>
    <w:p w14:paraId="42E2DE0A"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(2) the designated crime is listed in subdivision 1, clause (4).</w:t>
      </w:r>
    </w:p>
    <w:p w14:paraId="146D0ADD" w14:textId="5C799A4B"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lastRenderedPageBreak/>
        <w:tab/>
      </w:r>
      <w:r w:rsidRPr="00921166">
        <w:rPr>
          <w:rFonts w:ascii="Times New Roman" w:eastAsia="Aptos" w:hAnsi="Times New Roman"/>
          <w:kern w:val="2"/>
          <w:sz w:val="26"/>
          <w:lang w:bidi="ar-SA"/>
          <w14:ligatures w14:val="standardContextual"/>
        </w:rPr>
        <w:tab/>
        <w:t xml:space="preserve">(b) Except as provided in paragraphs (c) and (d), prior to the time of sentencing, </w:t>
      </w:r>
      <w:r w:rsidR="007353F4">
        <w:rPr>
          <w:rFonts w:ascii="Times New Roman" w:eastAsia="Aptos" w:hAnsi="Times New Roman"/>
          <w:kern w:val="2"/>
          <w:sz w:val="26"/>
          <w:lang w:bidi="ar-SA"/>
          <w14:ligatures w14:val="standardContextual"/>
        </w:rPr>
        <w:t>either</w:t>
      </w:r>
      <w:r w:rsidR="00AE48C0">
        <w:rPr>
          <w:rFonts w:ascii="Times New Roman" w:eastAsia="Aptos" w:hAnsi="Times New Roman"/>
          <w:kern w:val="2"/>
          <w:sz w:val="26"/>
          <w:lang w:bidi="ar-SA"/>
          <w14:ligatures w14:val="standardContextual"/>
        </w:rPr>
        <w:t xml:space="preserve"> party</w:t>
      </w:r>
      <w:r w:rsidR="00D02AF3">
        <w:rPr>
          <w:rFonts w:ascii="Times New Roman" w:eastAsia="Aptos" w:hAnsi="Times New Roman"/>
          <w:kern w:val="2"/>
          <w:sz w:val="26"/>
          <w:lang w:bidi="ar-SA"/>
          <w14:ligatures w14:val="standardContextual"/>
        </w:rPr>
        <w:t xml:space="preserve"> </w:t>
      </w:r>
      <w:r w:rsidRPr="00921166">
        <w:rPr>
          <w:rFonts w:ascii="Times New Roman" w:eastAsia="Aptos" w:hAnsi="Times New Roman"/>
          <w:kern w:val="2"/>
          <w:sz w:val="26"/>
          <w:lang w:bidi="ar-SA"/>
          <w14:ligatures w14:val="standardContextual"/>
        </w:rPr>
        <w:t>may file a motion to have the person sentenced without regard to the mandatory minimum sentence established by this subdivision. The motion must be accompanied by a statement on the record of the reasons for it. When presented with the motion, or on its own motion, the court may sentence the person without regard to the mandatory minimum sentence if the court finds substantial and compelling reasons to do so; such a sentence is a departure from the Sentencing Guidelines.</w:t>
      </w:r>
    </w:p>
    <w:p w14:paraId="364682F9"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(c) Paragraph (b) does not apply if the designated crime is listed in subdivision 1, clause (1), (3), or (4), and the person or an accomplice discharged the firearm at the time of the crime or while immediately fleeing the scene of the crime.</w:t>
      </w:r>
    </w:p>
    <w:p w14:paraId="4A1B5742" w14:textId="5C1AB3B8"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r>
      <w:proofErr w:type="gramStart"/>
      <w:r w:rsidRPr="00921166">
        <w:rPr>
          <w:rFonts w:ascii="Times New Roman" w:eastAsia="Aptos" w:hAnsi="Times New Roman"/>
          <w:kern w:val="2"/>
          <w:sz w:val="26"/>
          <w:lang w:bidi="ar-SA"/>
          <w14:ligatures w14:val="standardContextual"/>
        </w:rPr>
        <w:t xml:space="preserve">(d) </w:t>
      </w:r>
      <w:r w:rsidR="001544EB" w:rsidRPr="001544EB">
        <w:rPr>
          <w:rFonts w:ascii="Times New Roman" w:eastAsia="Aptos" w:hAnsi="Times New Roman"/>
          <w:kern w:val="2"/>
          <w:sz w:val="26"/>
          <w:lang w:bidi="ar-SA"/>
          <w14:ligatures w14:val="standardContextual"/>
        </w:rPr>
        <w:t>Paragraph</w:t>
      </w:r>
      <w:proofErr w:type="gramEnd"/>
      <w:r w:rsidR="001544EB" w:rsidRPr="001544EB">
        <w:rPr>
          <w:rFonts w:ascii="Times New Roman" w:eastAsia="Aptos" w:hAnsi="Times New Roman"/>
          <w:kern w:val="2"/>
          <w:sz w:val="26"/>
          <w:lang w:bidi="ar-SA"/>
          <w14:ligatures w14:val="standardContextual"/>
        </w:rPr>
        <w:t xml:space="preserve"> (b) does not apply if the person has a prior felony conviction that is included in the person's Sentencing Guidelines criminal history score for the designated crime, and to which one of the following mandatory minimum sentences applied, regardless of whether the mandatory minimum sentence was imposed or executed:</w:t>
      </w:r>
    </w:p>
    <w:p w14:paraId="15EF5FC9"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(1) the mandatory minimum sentence provided in this subdivision; or</w:t>
      </w:r>
    </w:p>
    <w:p w14:paraId="1B3A6F93"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(2) a mandatory minimum sentence provided in Minnesota Statutes 2026, section 609.11, subdivision 5, because of the use of a firearm.</w:t>
      </w:r>
    </w:p>
    <w:p w14:paraId="2BD70DCE"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 xml:space="preserve">Subd. 4. </w:t>
      </w:r>
      <w:r w:rsidRPr="00921166">
        <w:rPr>
          <w:rFonts w:ascii="Times New Roman" w:eastAsia="Aptos" w:hAnsi="Times New Roman"/>
          <w:b/>
          <w:bCs/>
          <w:kern w:val="2"/>
          <w:sz w:val="26"/>
          <w:lang w:bidi="ar-SA"/>
          <w14:ligatures w14:val="standardContextual"/>
        </w:rPr>
        <w:t>Firearm possession or other weapon use; increased maximum penalty.</w:t>
      </w:r>
      <w:r w:rsidRPr="00921166">
        <w:rPr>
          <w:rFonts w:ascii="Times New Roman" w:eastAsia="Aptos" w:hAnsi="Times New Roman"/>
          <w:kern w:val="2"/>
          <w:sz w:val="26"/>
          <w:lang w:bidi="ar-SA"/>
          <w14:ligatures w14:val="standardContextual"/>
        </w:rPr>
        <w:t xml:space="preserve"> (a) A penalty </w:t>
      </w:r>
      <w:proofErr w:type="gramStart"/>
      <w:r w:rsidRPr="00921166">
        <w:rPr>
          <w:rFonts w:ascii="Times New Roman" w:eastAsia="Aptos" w:hAnsi="Times New Roman"/>
          <w:kern w:val="2"/>
          <w:sz w:val="26"/>
          <w:lang w:bidi="ar-SA"/>
          <w14:ligatures w14:val="standardContextual"/>
        </w:rPr>
        <w:t>increase</w:t>
      </w:r>
      <w:proofErr w:type="gramEnd"/>
      <w:r w:rsidRPr="00921166">
        <w:rPr>
          <w:rFonts w:ascii="Times New Roman" w:eastAsia="Aptos" w:hAnsi="Times New Roman"/>
          <w:kern w:val="2"/>
          <w:sz w:val="26"/>
          <w:lang w:bidi="ar-SA"/>
          <w14:ligatures w14:val="standardContextual"/>
        </w:rPr>
        <w:t xml:space="preserve"> under subdivision 2 precludes a penalty increase under this subdivision for the same designated crime.</w:t>
      </w:r>
    </w:p>
    <w:p w14:paraId="74396289"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(b) If the actor, either directly or as an accomplice, commits a designated crime, and, at the time of the crime, the actor or an accomplice possesses a firearm on their person or within immediate reach, or uses, whether by brandishing, displaying, threatening with, or otherwise employing, a dangerous weapon other than a firearm, the statutory maximum penalty for the designated crime is increased by 30 months if either of the following is true, or by five years if both of the following are true:</w:t>
      </w:r>
    </w:p>
    <w:p w14:paraId="588625A4"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(1) The designated crime is listed in subdivision 1, clause (1) or (2).</w:t>
      </w:r>
    </w:p>
    <w:p w14:paraId="2D5EF8CB"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(2) The designated crime is listed in subdivision 1, clause (1), (3), or (4), the actor personally possesses the firearm, and the actor's possession of the firearm violates section 609.165, subdivision 1b, or 624.713, subdivision 1, clause (2).</w:t>
      </w:r>
    </w:p>
    <w:p w14:paraId="2F7B5306"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 xml:space="preserve">(c) Notwithstanding paragraph (b), this subdivision does not apply to an accomplice's possession of a firearm, or to an accomplice's use of a dangerous weapon other than a firearm, </w:t>
      </w:r>
      <w:r w:rsidRPr="00921166">
        <w:rPr>
          <w:rFonts w:ascii="Times New Roman" w:eastAsia="Aptos" w:hAnsi="Times New Roman"/>
          <w:kern w:val="2"/>
          <w:sz w:val="26"/>
          <w:lang w:bidi="ar-SA"/>
          <w14:ligatures w14:val="standardContextual"/>
        </w:rPr>
        <w:lastRenderedPageBreak/>
        <w:t>unless, before committing the designated crime, the actor knew the accomplice would likely possess the firearm or other dangerous weapon at the time of the designated crime.</w:t>
      </w:r>
    </w:p>
    <w:p w14:paraId="292CC767"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(d) Notwithstanding paragraph (b), if this subdivision applies to a designated crime that is an attempt under section 609.17, the statutory maximum penalty for the designated crime is increased by one-half the increase applicable under paragraph (b).</w:t>
      </w:r>
    </w:p>
    <w:bookmarkEnd w:id="21"/>
    <w:bookmarkEnd w:id="24"/>
    <w:p w14:paraId="35EA7311"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 xml:space="preserve">Subd. 5. </w:t>
      </w:r>
      <w:r w:rsidRPr="00921166">
        <w:rPr>
          <w:rFonts w:ascii="Times New Roman" w:eastAsia="Aptos" w:hAnsi="Times New Roman"/>
          <w:b/>
          <w:bCs/>
          <w:kern w:val="2"/>
          <w:sz w:val="26"/>
          <w:lang w:bidi="ar-SA"/>
          <w14:ligatures w14:val="standardContextual"/>
        </w:rPr>
        <w:t>Exceptions.</w:t>
      </w:r>
      <w:r w:rsidRPr="00921166">
        <w:rPr>
          <w:rFonts w:ascii="Times New Roman" w:eastAsia="Aptos" w:hAnsi="Times New Roman"/>
          <w:kern w:val="2"/>
          <w:sz w:val="26"/>
          <w:lang w:bidi="ar-SA"/>
          <w14:ligatures w14:val="standardContextual"/>
        </w:rPr>
        <w:t xml:space="preserve"> (a) Subdivisions 2 to 4 do not apply to a designated crime with a statutory maximum penalty of less than one year.</w:t>
      </w:r>
    </w:p>
    <w:p w14:paraId="7E4D12F0"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(b) Subdivisions 2 to 4 do not apply to a sentence of life imprisonment.</w:t>
      </w:r>
    </w:p>
    <w:p w14:paraId="6DDC7121"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r>
      <w:r w:rsidRPr="00921166">
        <w:rPr>
          <w:rFonts w:ascii="Times New Roman" w:eastAsia="Aptos" w:hAnsi="Times New Roman"/>
          <w:b/>
          <w:bCs/>
          <w:kern w:val="2"/>
          <w:sz w:val="26"/>
          <w:lang w:bidi="ar-SA"/>
          <w14:ligatures w14:val="standardContextual"/>
        </w:rPr>
        <w:t>EFFECTIVE DATE.</w:t>
      </w:r>
      <w:r w:rsidRPr="00921166">
        <w:rPr>
          <w:rFonts w:ascii="Times New Roman" w:eastAsia="Aptos" w:hAnsi="Times New Roman"/>
          <w:kern w:val="2"/>
          <w:sz w:val="26"/>
          <w:lang w:bidi="ar-SA"/>
          <w14:ligatures w14:val="standardContextual"/>
        </w:rPr>
        <w:t xml:space="preserve"> This section is effective August 1, 2028, and applies to crimes committed on or after that date.</w:t>
      </w:r>
    </w:p>
    <w:p w14:paraId="3CECE737" w14:textId="5D87E4BB" w:rsidR="00921166" w:rsidRPr="00921166" w:rsidRDefault="00921166" w:rsidP="00921166">
      <w:pPr>
        <w:keepNext/>
        <w:tabs>
          <w:tab w:val="left" w:pos="230"/>
          <w:tab w:val="left" w:pos="461"/>
        </w:tabs>
        <w:spacing w:before="0" w:after="160" w:line="264" w:lineRule="auto"/>
        <w:rPr>
          <w:rFonts w:ascii="Times New Roman" w:eastAsia="Aptos" w:hAnsi="Times New Roman"/>
          <w:kern w:val="2"/>
          <w:sz w:val="26"/>
          <w:lang w:bidi="ar-SA"/>
          <w14:ligatures w14:val="standardContextual"/>
        </w:rPr>
      </w:pPr>
      <w:bookmarkStart w:id="26" w:name="_Hlk227314503"/>
      <w:bookmarkStart w:id="27" w:name="_Hlk230002873"/>
      <w:bookmarkEnd w:id="22"/>
      <w:r w:rsidRPr="00921166">
        <w:rPr>
          <w:rFonts w:ascii="Times New Roman" w:eastAsia="Aptos" w:hAnsi="Times New Roman"/>
          <w:kern w:val="2"/>
          <w:sz w:val="26"/>
          <w:lang w:bidi="ar-SA"/>
          <w14:ligatures w14:val="standardContextual"/>
        </w:rPr>
        <w:tab/>
      </w:r>
      <w:bookmarkStart w:id="28" w:name="S19"/>
      <w:r w:rsidRPr="00921166">
        <w:rPr>
          <w:rFonts w:ascii="Times New Roman" w:eastAsia="Aptos" w:hAnsi="Times New Roman"/>
          <w:kern w:val="2"/>
          <w:sz w:val="26"/>
          <w:lang w:bidi="ar-SA"/>
          <w14:ligatures w14:val="standardContextual"/>
        </w:rPr>
        <w:t xml:space="preserve">Sec. </w:t>
      </w:r>
      <w:bookmarkEnd w:id="28"/>
      <w:r w:rsidR="005D6311">
        <w:rPr>
          <w:rFonts w:ascii="Times New Roman" w:eastAsia="Aptos" w:hAnsi="Times New Roman"/>
          <w:kern w:val="2"/>
          <w:sz w:val="26"/>
          <w:lang w:bidi="ar-SA"/>
          <w14:ligatures w14:val="standardContextual"/>
        </w:rPr>
        <w:t>2</w:t>
      </w:r>
      <w:r w:rsidRPr="00921166">
        <w:rPr>
          <w:rFonts w:ascii="Times New Roman" w:eastAsia="Aptos" w:hAnsi="Times New Roman"/>
          <w:kern w:val="2"/>
          <w:sz w:val="26"/>
          <w:lang w:bidi="ar-SA"/>
          <w14:ligatures w14:val="standardContextual"/>
        </w:rPr>
        <w:t xml:space="preserve">. </w:t>
      </w:r>
      <w:r w:rsidRPr="00921166">
        <w:rPr>
          <w:rFonts w:ascii="Times New Roman" w:eastAsia="Aptos" w:hAnsi="Times New Roman"/>
          <w:b/>
          <w:bCs/>
          <w:kern w:val="2"/>
          <w:sz w:val="26"/>
          <w:lang w:bidi="ar-SA"/>
          <w14:ligatures w14:val="standardContextual"/>
        </w:rPr>
        <w:t>SENTENCING GUIDELINES MODIFICATION.</w:t>
      </w:r>
    </w:p>
    <w:p w14:paraId="676EF5EE" w14:textId="415EC8C1" w:rsidR="00921166" w:rsidRPr="00921166" w:rsidRDefault="00921166" w:rsidP="00921166">
      <w:pPr>
        <w:tabs>
          <w:tab w:val="left" w:pos="230"/>
          <w:tab w:val="left" w:pos="461"/>
        </w:tabs>
        <w:spacing w:before="0" w:after="160" w:line="264"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t xml:space="preserve">The Sentencing Guidelines Commission must review this act and consider modifying how the Sentencing Guidelines address the use of a firearm or other dangerous weapon, or the possession of a firearm, in the commission of a designated crime. By January 15, 2028, the Commission must propose Sentencing Guidelines modifications related to this act and report the rationale for its proposal. </w:t>
      </w:r>
      <w:bookmarkStart w:id="29" w:name="_Hlk229747480"/>
      <w:r w:rsidRPr="00921166">
        <w:rPr>
          <w:rFonts w:ascii="Times New Roman" w:eastAsia="Aptos" w:hAnsi="Times New Roman"/>
          <w:kern w:val="2"/>
          <w:sz w:val="26"/>
          <w:lang w:bidi="ar-SA"/>
          <w14:ligatures w14:val="standardContextual"/>
        </w:rPr>
        <w:t xml:space="preserve">The proposed modifications must include either an </w:t>
      </w:r>
      <w:bookmarkStart w:id="30" w:name="_Hlk229998831"/>
      <w:r w:rsidRPr="00921166">
        <w:rPr>
          <w:rFonts w:ascii="Times New Roman" w:eastAsia="Aptos" w:hAnsi="Times New Roman"/>
          <w:kern w:val="2"/>
          <w:sz w:val="26"/>
          <w:lang w:bidi="ar-SA"/>
          <w14:ligatures w14:val="standardContextual"/>
        </w:rPr>
        <w:t>increase in the presumptive duration applicable to a designated crime at a rate of twelve months for every five years by which the statutory maximum is increased</w:t>
      </w:r>
      <w:bookmarkEnd w:id="30"/>
      <w:r w:rsidRPr="00921166">
        <w:rPr>
          <w:rFonts w:ascii="Times New Roman" w:eastAsia="Aptos" w:hAnsi="Times New Roman"/>
          <w:kern w:val="2"/>
          <w:sz w:val="26"/>
          <w:lang w:bidi="ar-SA"/>
          <w14:ligatures w14:val="standardContextual"/>
        </w:rPr>
        <w:t xml:space="preserve"> under section 1, or a presumptive-penalty increase of similar or greater severity.</w:t>
      </w:r>
      <w:bookmarkEnd w:id="29"/>
      <w:r w:rsidRPr="00921166">
        <w:rPr>
          <w:rFonts w:ascii="Times New Roman" w:eastAsia="Aptos" w:hAnsi="Times New Roman"/>
          <w:kern w:val="2"/>
          <w:sz w:val="26"/>
          <w:lang w:bidi="ar-SA"/>
          <w14:ligatures w14:val="standardContextual"/>
        </w:rPr>
        <w:t xml:space="preserve"> Proposed Sentencing Guidelines modifications related to this act and submitted to the legislature by January 15, 2028, shall take effect as provided in Minnesota Statutes, section 244.09, subdivision 11, except that such modifications shall apply to crimes committed on or after August 1, 2028, unless the legislature by law provides otherwise.</w:t>
      </w:r>
    </w:p>
    <w:p w14:paraId="26DD9A35"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r>
      <w:r w:rsidRPr="00921166">
        <w:rPr>
          <w:rFonts w:ascii="Times New Roman" w:eastAsia="Aptos" w:hAnsi="Times New Roman"/>
          <w:b/>
          <w:bCs/>
          <w:kern w:val="2"/>
          <w:sz w:val="26"/>
          <w:lang w:bidi="ar-SA"/>
          <w14:ligatures w14:val="standardContextual"/>
        </w:rPr>
        <w:t>EFFECTIVE DATE.</w:t>
      </w:r>
      <w:r w:rsidRPr="00921166">
        <w:rPr>
          <w:rFonts w:ascii="Times New Roman" w:eastAsia="Aptos" w:hAnsi="Times New Roman"/>
          <w:kern w:val="2"/>
          <w:sz w:val="26"/>
          <w:lang w:bidi="ar-SA"/>
          <w14:ligatures w14:val="standardContextual"/>
        </w:rPr>
        <w:t xml:space="preserve"> This section is effective the day following final enactment.</w:t>
      </w:r>
    </w:p>
    <w:bookmarkEnd w:id="26"/>
    <w:p w14:paraId="1E71A891" w14:textId="29232752" w:rsidR="00921166" w:rsidRPr="00921166" w:rsidRDefault="00921166" w:rsidP="00921166">
      <w:pPr>
        <w:tabs>
          <w:tab w:val="left" w:pos="230"/>
          <w:tab w:val="left" w:pos="461"/>
        </w:tabs>
        <w:spacing w:before="0" w:after="160" w:line="264" w:lineRule="auto"/>
        <w:rPr>
          <w:rFonts w:ascii="Times New Roman" w:eastAsia="Aptos" w:hAnsi="Times New Roman"/>
          <w:b/>
          <w:bCs/>
          <w:kern w:val="2"/>
          <w:sz w:val="26"/>
          <w:lang w:bidi="ar-SA"/>
          <w14:ligatures w14:val="standardContextual"/>
        </w:rPr>
      </w:pPr>
      <w:r w:rsidRPr="00921166">
        <w:rPr>
          <w:rFonts w:ascii="Times New Roman" w:eastAsia="Aptos" w:hAnsi="Times New Roman"/>
          <w:kern w:val="2"/>
          <w:sz w:val="26"/>
          <w:lang w:bidi="ar-SA"/>
          <w14:ligatures w14:val="standardContextual"/>
        </w:rPr>
        <w:tab/>
      </w:r>
      <w:bookmarkStart w:id="31" w:name="S20"/>
      <w:r w:rsidRPr="00921166">
        <w:rPr>
          <w:rFonts w:ascii="Times New Roman" w:eastAsia="Aptos" w:hAnsi="Times New Roman"/>
          <w:kern w:val="2"/>
          <w:sz w:val="26"/>
          <w:lang w:bidi="ar-SA"/>
          <w14:ligatures w14:val="standardContextual"/>
        </w:rPr>
        <w:t xml:space="preserve">Sec. </w:t>
      </w:r>
      <w:bookmarkEnd w:id="31"/>
      <w:r w:rsidR="005D6311">
        <w:rPr>
          <w:rFonts w:ascii="Times New Roman" w:eastAsia="Aptos" w:hAnsi="Times New Roman"/>
          <w:kern w:val="2"/>
          <w:sz w:val="26"/>
          <w:lang w:bidi="ar-SA"/>
          <w14:ligatures w14:val="standardContextual"/>
        </w:rPr>
        <w:t>3</w:t>
      </w:r>
      <w:r w:rsidRPr="00921166">
        <w:rPr>
          <w:rFonts w:ascii="Times New Roman" w:eastAsia="Aptos" w:hAnsi="Times New Roman"/>
          <w:kern w:val="2"/>
          <w:sz w:val="26"/>
          <w:lang w:bidi="ar-SA"/>
          <w14:ligatures w14:val="standardContextual"/>
        </w:rPr>
        <w:t xml:space="preserve">. </w:t>
      </w:r>
      <w:r w:rsidRPr="00921166">
        <w:rPr>
          <w:rFonts w:ascii="Times New Roman" w:eastAsia="Aptos" w:hAnsi="Times New Roman"/>
          <w:b/>
          <w:bCs/>
          <w:kern w:val="2"/>
          <w:sz w:val="26"/>
          <w:lang w:bidi="ar-SA"/>
          <w14:ligatures w14:val="standardContextual"/>
        </w:rPr>
        <w:t>REPEALER.</w:t>
      </w:r>
    </w:p>
    <w:p w14:paraId="095C76D4" w14:textId="77777777" w:rsidR="00921166" w:rsidRPr="00921166" w:rsidRDefault="00921166" w:rsidP="00921166">
      <w:pPr>
        <w:tabs>
          <w:tab w:val="left" w:pos="230"/>
          <w:tab w:val="left" w:pos="461"/>
        </w:tabs>
        <w:spacing w:before="0" w:after="160" w:line="264" w:lineRule="auto"/>
        <w:rPr>
          <w:rFonts w:ascii="Times New Roman" w:eastAsia="Aptos" w:hAnsi="Times New Roman"/>
          <w:kern w:val="2"/>
          <w:sz w:val="26"/>
          <w:lang w:bidi="ar-SA"/>
          <w14:ligatures w14:val="standardContextual"/>
        </w:rPr>
      </w:pPr>
      <w:r w:rsidRPr="00921166">
        <w:rPr>
          <w:rFonts w:ascii="Times New Roman" w:eastAsia="Aptos" w:hAnsi="Times New Roman"/>
          <w:b/>
          <w:bCs/>
          <w:kern w:val="2"/>
          <w:sz w:val="26"/>
          <w:lang w:bidi="ar-SA"/>
          <w14:ligatures w14:val="standardContextual"/>
        </w:rPr>
        <w:tab/>
      </w:r>
      <w:r w:rsidRPr="00921166">
        <w:rPr>
          <w:rFonts w:ascii="Times New Roman" w:eastAsia="Aptos" w:hAnsi="Times New Roman"/>
          <w:b/>
          <w:bCs/>
          <w:kern w:val="2"/>
          <w:sz w:val="26"/>
          <w:lang w:bidi="ar-SA"/>
          <w14:ligatures w14:val="standardContextual"/>
        </w:rPr>
        <w:tab/>
      </w:r>
      <w:r w:rsidRPr="00921166">
        <w:rPr>
          <w:rFonts w:ascii="Times New Roman" w:eastAsia="Aptos" w:hAnsi="Times New Roman"/>
          <w:kern w:val="2"/>
          <w:sz w:val="26"/>
          <w:lang w:bidi="ar-SA"/>
          <w14:ligatures w14:val="standardContextual"/>
        </w:rPr>
        <w:t>(a) Minnesota Statutes 2026, section 609.11, subdivisions 4, 5, 5a, 6, 7, 8, and 9, are repealed. * * *</w:t>
      </w:r>
    </w:p>
    <w:p w14:paraId="3B4766AD" w14:textId="77777777" w:rsidR="00921166" w:rsidRPr="00921166" w:rsidRDefault="00921166" w:rsidP="00921166">
      <w:pPr>
        <w:tabs>
          <w:tab w:val="left" w:pos="230"/>
          <w:tab w:val="left" w:pos="461"/>
        </w:tabs>
        <w:spacing w:before="0" w:after="160" w:line="278" w:lineRule="auto"/>
        <w:rPr>
          <w:rFonts w:ascii="Times New Roman" w:eastAsia="Aptos" w:hAnsi="Times New Roman"/>
          <w:kern w:val="2"/>
          <w:sz w:val="26"/>
          <w:lang w:bidi="ar-SA"/>
          <w14:ligatures w14:val="standardContextual"/>
        </w:rPr>
      </w:pPr>
      <w:r w:rsidRPr="00921166">
        <w:rPr>
          <w:rFonts w:ascii="Times New Roman" w:eastAsia="Aptos" w:hAnsi="Times New Roman"/>
          <w:kern w:val="2"/>
          <w:sz w:val="26"/>
          <w:lang w:bidi="ar-SA"/>
          <w14:ligatures w14:val="standardContextual"/>
        </w:rPr>
        <w:tab/>
      </w:r>
      <w:r w:rsidRPr="00921166">
        <w:rPr>
          <w:rFonts w:ascii="Times New Roman" w:eastAsia="Aptos" w:hAnsi="Times New Roman"/>
          <w:kern w:val="2"/>
          <w:sz w:val="26"/>
          <w:lang w:bidi="ar-SA"/>
          <w14:ligatures w14:val="standardContextual"/>
        </w:rPr>
        <w:tab/>
      </w:r>
      <w:r w:rsidRPr="00921166">
        <w:rPr>
          <w:rFonts w:ascii="Times New Roman" w:eastAsia="Aptos" w:hAnsi="Times New Roman"/>
          <w:b/>
          <w:bCs/>
          <w:kern w:val="2"/>
          <w:sz w:val="26"/>
          <w:lang w:bidi="ar-SA"/>
          <w14:ligatures w14:val="standardContextual"/>
        </w:rPr>
        <w:t>EFFECTIVE DATE.</w:t>
      </w:r>
      <w:r w:rsidRPr="00921166">
        <w:rPr>
          <w:rFonts w:ascii="Times New Roman" w:eastAsia="Aptos" w:hAnsi="Times New Roman"/>
          <w:kern w:val="2"/>
          <w:sz w:val="26"/>
          <w:lang w:bidi="ar-SA"/>
          <w14:ligatures w14:val="standardContextual"/>
        </w:rPr>
        <w:t xml:space="preserve"> Paragraph (a) is effective August 1, 2028, and applies to crimes committed on or after that date.</w:t>
      </w:r>
      <w:bookmarkEnd w:id="27"/>
      <w:r w:rsidRPr="00921166">
        <w:rPr>
          <w:rFonts w:ascii="Times New Roman" w:eastAsia="Aptos" w:hAnsi="Times New Roman"/>
          <w:kern w:val="2"/>
          <w:sz w:val="26"/>
          <w:lang w:bidi="ar-SA"/>
          <w14:ligatures w14:val="standardContextual"/>
        </w:rPr>
        <w:t xml:space="preserve"> * * *</w:t>
      </w:r>
    </w:p>
    <w:p w14:paraId="3D3AD583" w14:textId="77777777" w:rsidR="005804E3" w:rsidRPr="005804E3" w:rsidRDefault="005804E3" w:rsidP="005804E3">
      <w:pPr>
        <w:pStyle w:val="BodyText"/>
      </w:pPr>
    </w:p>
    <w:sectPr w:rsidR="005804E3" w:rsidRPr="005804E3" w:rsidSect="00D71342">
      <w:footerReference w:type="default" r:id="rId10"/>
      <w:headerReference w:type="first" r:id="rId11"/>
      <w:footerReference w:type="first" r:id="rId12"/>
      <w:footnotePr>
        <w:numFmt w:val="lowerLetter"/>
      </w:footnotePr>
      <w:pgSz w:w="12240" w:h="15840" w:code="1"/>
      <w:pgMar w:top="1440" w:right="1080" w:bottom="1080" w:left="1080" w:header="144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0F34" w14:textId="77777777" w:rsidR="00E46BEC" w:rsidRDefault="00E46BEC">
      <w:r>
        <w:separator/>
      </w:r>
    </w:p>
  </w:endnote>
  <w:endnote w:type="continuationSeparator" w:id="0">
    <w:p w14:paraId="4EF350C7" w14:textId="77777777" w:rsidR="00E46BEC" w:rsidRDefault="00E4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randon Grotesque Black">
    <w:altName w:val="Calibri"/>
    <w:panose1 w:val="00000000000000000000"/>
    <w:charset w:val="00"/>
    <w:family w:val="swiss"/>
    <w:notTrueType/>
    <w:pitch w:val="variable"/>
    <w:sig w:usb0="A00000AF" w:usb1="5000205B" w:usb2="00000000" w:usb3="00000000" w:csb0="0000009B" w:csb1="00000000"/>
  </w:font>
  <w:font w:name="Aptos">
    <w:charset w:val="00"/>
    <w:family w:val="swiss"/>
    <w:pitch w:val="variable"/>
    <w:sig w:usb0="20000287" w:usb1="00000003" w:usb2="00000000" w:usb3="00000000" w:csb0="0000019F" w:csb1="00000000"/>
  </w:font>
  <w:font w:name="Brandon Grotesque Medium">
    <w:altName w:val="Calibri"/>
    <w:panose1 w:val="00000000000000000000"/>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4176" w14:textId="77777777" w:rsidR="00072CB6" w:rsidRDefault="00072CB6">
    <w:pPr>
      <w:pStyle w:val="Footer"/>
      <w:jc w:val="center"/>
    </w:pPr>
  </w:p>
  <w:p w14:paraId="51C5222F" w14:textId="77777777" w:rsidR="00072CB6" w:rsidRDefault="00092952">
    <w:pPr>
      <w:pStyle w:val="Footer"/>
      <w:jc w:val="center"/>
    </w:pPr>
    <w:sdt>
      <w:sdtPr>
        <w:id w:val="1319004975"/>
        <w:docPartObj>
          <w:docPartGallery w:val="Page Numbers (Bottom of Page)"/>
          <w:docPartUnique/>
        </w:docPartObj>
      </w:sdtPr>
      <w:sdtEndPr>
        <w:rPr>
          <w:noProof/>
        </w:rPr>
      </w:sdtEndPr>
      <w:sdtContent>
        <w:r w:rsidR="00072CB6">
          <w:fldChar w:fldCharType="begin"/>
        </w:r>
        <w:r w:rsidR="00072CB6">
          <w:instrText xml:space="preserve"> PAGE   \* MERGEFORMAT </w:instrText>
        </w:r>
        <w:r w:rsidR="00072CB6">
          <w:fldChar w:fldCharType="separate"/>
        </w:r>
        <w:r w:rsidR="0097784E">
          <w:rPr>
            <w:noProof/>
          </w:rPr>
          <w:t>2</w:t>
        </w:r>
        <w:r w:rsidR="00072CB6">
          <w:rPr>
            <w:noProof/>
          </w:rPr>
          <w:fldChar w:fldCharType="end"/>
        </w:r>
      </w:sdtContent>
    </w:sdt>
  </w:p>
  <w:p w14:paraId="12BD4882" w14:textId="77777777" w:rsidR="00072CB6" w:rsidRDefault="00072CB6" w:rsidP="00072CB6">
    <w:pPr>
      <w:pStyle w:val="Footer"/>
      <w:tabs>
        <w:tab w:val="clear" w:pos="4320"/>
        <w:tab w:val="clear"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97F9" w14:textId="77777777" w:rsidR="00AD39DA" w:rsidRDefault="00072CB6" w:rsidP="00DD1346">
    <w:pPr>
      <w:pStyle w:val="Footer"/>
      <w:pBdr>
        <w:top w:val="single" w:sz="4" w:space="1" w:color="D9D9D9" w:themeColor="background1" w:themeShade="D9"/>
      </w:pBdr>
      <w:tabs>
        <w:tab w:val="clear" w:pos="4320"/>
        <w:tab w:val="clear" w:pos="8640"/>
        <w:tab w:val="right" w:pos="10080"/>
      </w:tabs>
      <w:spacing w:before="240" w:after="240" w:line="240" w:lineRule="auto"/>
      <w:contextualSpacing/>
      <w:jc w:val="left"/>
      <w:rPr>
        <w:rStyle w:val="Hyperlink"/>
        <w:rFonts w:ascii="Brandon Grotesque Medium" w:hAnsi="Brandon Grotesque Medium"/>
        <w:color w:val="003865" w:themeColor="text1"/>
        <w:spacing w:val="6"/>
        <w:sz w:val="20"/>
        <w:szCs w:val="20"/>
        <w:u w:color="BFBFBF" w:themeColor="background1" w:themeShade="BF"/>
      </w:rPr>
    </w:pPr>
    <w:r w:rsidRPr="0071537C">
      <w:rPr>
        <w:rFonts w:ascii="Brandon Grotesque Medium" w:hAnsi="Brandon Grotesque Medium"/>
        <w:spacing w:val="6"/>
        <w:sz w:val="20"/>
        <w:szCs w:val="20"/>
      </w:rPr>
      <w:br/>
    </w:r>
    <w:r w:rsidR="00615E05">
      <w:rPr>
        <w:rFonts w:ascii="Brandon Grotesque Medium" w:hAnsi="Brandon Grotesque Medium"/>
        <w:spacing w:val="6"/>
        <w:sz w:val="20"/>
        <w:szCs w:val="20"/>
      </w:rPr>
      <w:t>Task Force on Mandatory Minimum Sentences</w:t>
    </w:r>
    <w:r w:rsidR="00615E05">
      <w:rPr>
        <w:rFonts w:ascii="Brandon Grotesque Medium" w:hAnsi="Brandon Grotesque Medium"/>
        <w:spacing w:val="6"/>
        <w:sz w:val="20"/>
        <w:szCs w:val="20"/>
      </w:rPr>
      <w:br/>
    </w:r>
    <w:r w:rsidR="00135E5F" w:rsidRPr="0071537C">
      <w:rPr>
        <w:rFonts w:ascii="Brandon Grotesque Medium" w:hAnsi="Brandon Grotesque Medium"/>
        <w:spacing w:val="6"/>
        <w:sz w:val="20"/>
        <w:szCs w:val="20"/>
      </w:rPr>
      <w:t xml:space="preserve">Website: </w:t>
    </w:r>
    <w:hyperlink r:id="rId1" w:history="1">
      <w:r w:rsidR="00615E05">
        <w:rPr>
          <w:rStyle w:val="Hyperlink"/>
          <w:rFonts w:ascii="Brandon Grotesque Medium" w:hAnsi="Brandon Grotesque Medium"/>
          <w:color w:val="003865" w:themeColor="text1"/>
          <w:spacing w:val="6"/>
          <w:sz w:val="20"/>
          <w:szCs w:val="20"/>
          <w:u w:color="BFBFBF" w:themeColor="background1" w:themeShade="BF"/>
        </w:rPr>
        <w:t>https://mn.gov/doc/about/legislative-info/task-force-for-mandatory-minimum-sentences/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207DC" w14:textId="77777777" w:rsidR="00E46BEC" w:rsidRDefault="00E46BEC">
      <w:r>
        <w:separator/>
      </w:r>
    </w:p>
  </w:footnote>
  <w:footnote w:type="continuationSeparator" w:id="0">
    <w:p w14:paraId="7FD80371" w14:textId="77777777" w:rsidR="00E46BEC" w:rsidRDefault="00E46BEC">
      <w:r>
        <w:continuationSeparator/>
      </w:r>
    </w:p>
  </w:footnote>
  <w:footnote w:id="1">
    <w:p w14:paraId="70D2D3BC" w14:textId="2819C085" w:rsidR="002B77AE" w:rsidRDefault="002B77AE" w:rsidP="002B77AE">
      <w:pPr>
        <w:pStyle w:val="FootnoteText"/>
      </w:pPr>
      <w:r>
        <w:rPr>
          <w:rStyle w:val="FootnoteReference"/>
        </w:rPr>
        <w:footnoteRef/>
      </w:r>
      <w:r>
        <w:t xml:space="preserve"> That is, a crime currently listed in Minn. Stat. § </w:t>
      </w:r>
      <w:hyperlink r:id="rId1" w:anchor="stat.609.11.9" w:history="1">
        <w:r w:rsidRPr="009725B2">
          <w:rPr>
            <w:rStyle w:val="Hyperlink"/>
          </w:rPr>
          <w:t>609.11, subd. 9</w:t>
        </w:r>
      </w:hyperlink>
      <w:r>
        <w:t xml:space="preserve">. </w:t>
      </w:r>
      <w:r w:rsidR="001B34AA">
        <w:t>To avoid double-counting, d</w:t>
      </w:r>
      <w:r>
        <w:t>rive-by shooting and second-degree murder by drive-by shooting were exclude</w:t>
      </w:r>
      <w:r w:rsidR="001B34AA">
        <w:t>d. T</w:t>
      </w:r>
      <w:r>
        <w:t>hey necessarily involve firearm use, so the Guidelines</w:t>
      </w:r>
      <w:r w:rsidR="005C18B1">
        <w:t>-recommended</w:t>
      </w:r>
      <w:r>
        <w:t xml:space="preserve"> sentence already accounts for it.</w:t>
      </w:r>
    </w:p>
  </w:footnote>
  <w:footnote w:id="2">
    <w:p w14:paraId="52E0861B" w14:textId="4AF7A967" w:rsidR="00E30A41" w:rsidRDefault="00E30A41" w:rsidP="00E30A41">
      <w:pPr>
        <w:pStyle w:val="FootnoteText"/>
      </w:pPr>
      <w:r>
        <w:rPr>
          <w:rStyle w:val="FootnoteReference"/>
        </w:rPr>
        <w:footnoteRef/>
      </w:r>
      <w:r>
        <w:t xml:space="preserve"> To avoid double-counting, the </w:t>
      </w:r>
      <w:r w:rsidR="001B34AA">
        <w:t>designated</w:t>
      </w:r>
      <w:r>
        <w:t xml:space="preserve"> crime cannot be </w:t>
      </w:r>
      <w:r w:rsidRPr="00D317AD">
        <w:t>possessing a firearm or ammunition after a crime of violence</w:t>
      </w:r>
      <w:r>
        <w:t>. It can, however, be a drive-by shooting crime.</w:t>
      </w:r>
    </w:p>
  </w:footnote>
  <w:footnote w:id="3">
    <w:p w14:paraId="2D7B69AB" w14:textId="0E228C11" w:rsidR="001B34AA" w:rsidRDefault="001B34AA">
      <w:pPr>
        <w:pStyle w:val="FootnoteText"/>
      </w:pPr>
      <w:r>
        <w:rPr>
          <w:rStyle w:val="FootnoteReference"/>
        </w:rPr>
        <w:footnoteRef/>
      </w:r>
      <w:r>
        <w:t xml:space="preserve"> </w:t>
      </w:r>
      <w:r w:rsidR="002B7832" w:rsidRPr="002B7832">
        <w:t xml:space="preserve"> </w:t>
      </w:r>
      <w:r w:rsidR="002B7832">
        <w:t>B</w:t>
      </w:r>
      <w:r w:rsidR="002B7832" w:rsidRPr="002B7832">
        <w:t>ut just 12 months if the designated crime is possession of a firearm or ammunition after a crime of violence</w:t>
      </w:r>
      <w:r w:rsidR="002B7832">
        <w:t xml:space="preserve">. See footnote </w:t>
      </w:r>
      <w:r w:rsidR="002B7832">
        <w:fldChar w:fldCharType="begin"/>
      </w:r>
      <w:r w:rsidR="002B7832">
        <w:instrText xml:space="preserve"> NOTEREF _Ref231248060 \h </w:instrText>
      </w:r>
      <w:r w:rsidR="002B7832">
        <w:fldChar w:fldCharType="separate"/>
      </w:r>
      <w:r w:rsidR="00D17FF6">
        <w:t>b</w:t>
      </w:r>
      <w:r w:rsidR="002B7832">
        <w:fldChar w:fldCharType="end"/>
      </w:r>
      <w:r w:rsidR="002B7832">
        <w:t>.</w:t>
      </w:r>
    </w:p>
  </w:footnote>
  <w:footnote w:id="4">
    <w:p w14:paraId="514B0E5B" w14:textId="5E7FE282" w:rsidR="000B621C" w:rsidRDefault="000B621C">
      <w:pPr>
        <w:pStyle w:val="FootnoteText"/>
      </w:pPr>
      <w:r>
        <w:rPr>
          <w:rStyle w:val="FootnoteReference"/>
        </w:rPr>
        <w:footnoteRef/>
      </w:r>
      <w:r>
        <w:t xml:space="preserve"> Second degree assault is ranked at severity level 6 unless substantial bodily harm results.</w:t>
      </w:r>
    </w:p>
  </w:footnote>
  <w:footnote w:id="5">
    <w:p w14:paraId="116CC0AD" w14:textId="635C88C4" w:rsidR="0051151B" w:rsidRDefault="0051151B">
      <w:pPr>
        <w:pStyle w:val="FootnoteText"/>
      </w:pPr>
      <w:r>
        <w:rPr>
          <w:rStyle w:val="FootnoteReference"/>
        </w:rPr>
        <w:footnoteRef/>
      </w:r>
      <w:r>
        <w:t xml:space="preserve"> </w:t>
      </w:r>
      <w:r w:rsidR="00C704E0">
        <w:t xml:space="preserve">This version uses the customary waiver language, with one exception: </w:t>
      </w:r>
      <w:r w:rsidR="001058E1">
        <w:t>For the sake of fairness and of fully informing the court, “either party,” rather than</w:t>
      </w:r>
      <w:r w:rsidR="00C704E0">
        <w:t xml:space="preserve"> “</w:t>
      </w:r>
      <w:r w:rsidR="006618A1" w:rsidRPr="006618A1">
        <w:t>the prosecutor</w:t>
      </w:r>
      <w:r w:rsidR="001058E1">
        <w:t>,</w:t>
      </w:r>
      <w:r w:rsidR="006618A1">
        <w:t>”</w:t>
      </w:r>
      <w:r w:rsidR="006618A1" w:rsidRPr="006618A1">
        <w:t xml:space="preserve"> may file a </w:t>
      </w:r>
      <w:r w:rsidR="006618A1">
        <w:t xml:space="preserve">waiver </w:t>
      </w:r>
      <w:r w:rsidR="006618A1" w:rsidRPr="006618A1">
        <w:t>motion</w:t>
      </w:r>
      <w:r w:rsidR="006618A1">
        <w:t>.</w:t>
      </w:r>
      <w:r w:rsidR="004B1E37">
        <w:t xml:space="preserve"> For the sake of consistency, </w:t>
      </w:r>
      <w:r w:rsidR="001058E1">
        <w:t>I suggest recommending the same</w:t>
      </w:r>
      <w:r w:rsidR="004B1E37">
        <w:t xml:space="preserve"> change in Minn. Stat. §</w:t>
      </w:r>
      <w:r w:rsidR="00131184">
        <w:t>§ </w:t>
      </w:r>
      <w:r w:rsidR="006D354C">
        <w:t>169A.</w:t>
      </w:r>
      <w:r w:rsidR="000C316A">
        <w:t xml:space="preserve">275, </w:t>
      </w:r>
      <w:r w:rsidR="00131184">
        <w:t>243.166</w:t>
      </w:r>
      <w:r w:rsidR="00483A07">
        <w:t xml:space="preserve">, </w:t>
      </w:r>
      <w:r w:rsidR="001E1BB5">
        <w:t>&amp; 152.021, or else “either party” should revert to “the prosecutor”</w:t>
      </w:r>
      <w:r w:rsidR="00F14BD5">
        <w:t xml:space="preserve"> in this version.</w:t>
      </w:r>
    </w:p>
  </w:footnote>
  <w:footnote w:id="6">
    <w:p w14:paraId="556829C9" w14:textId="147FEB4B" w:rsidR="002F62A9" w:rsidRDefault="002F62A9">
      <w:pPr>
        <w:pStyle w:val="FootnoteText"/>
      </w:pPr>
      <w:bookmarkStart w:id="6" w:name="_Ref231259409"/>
      <w:r>
        <w:rPr>
          <w:rStyle w:val="FootnoteReference"/>
        </w:rPr>
        <w:footnoteRef/>
      </w:r>
      <w:r>
        <w:t xml:space="preserve"> </w:t>
      </w:r>
      <w:r w:rsidR="00FA76EF" w:rsidRPr="00FA76EF">
        <w:t xml:space="preserve">Possession of methamphetamine precursors with intent to manufacture is also included. </w:t>
      </w:r>
      <w:r w:rsidR="00B96251">
        <w:t xml:space="preserve">One “sale”—sale of a simulated controlled substance—is excepted. </w:t>
      </w:r>
      <w:r>
        <w:t xml:space="preserve">The designated crimes </w:t>
      </w:r>
      <w:r w:rsidR="005341D8">
        <w:t xml:space="preserve">replacing any felony violation of chapter 152 </w:t>
      </w:r>
      <w:r>
        <w:t>are</w:t>
      </w:r>
      <w:r w:rsidR="005341D8">
        <w:t>:</w:t>
      </w:r>
      <w:r>
        <w:t xml:space="preserve"> Minn. Stat. §§</w:t>
      </w:r>
      <w:r w:rsidR="00096E69">
        <w:t> </w:t>
      </w:r>
      <w:r>
        <w:t>152.021 (first-degree controlled substance crime), 152.022 (second-degree controlled substance crime), 152.023, subd. 1 (third-degree controlled substance sale), 152.024, subd. 1 (fourth-degree controlled substance sale), 152.025, subd. 1 (fifth-degree controlled substance sale), 152.0261 (importing a controlled substance), 152.0262 (</w:t>
      </w:r>
      <w:r w:rsidRPr="00B30CB3">
        <w:t>possession of substances with intent to manufacture methamphetamine</w:t>
      </w:r>
      <w:r>
        <w:t xml:space="preserve">), </w:t>
      </w:r>
      <w:r w:rsidRPr="00E72616">
        <w:t>152.0264</w:t>
      </w:r>
      <w:r>
        <w:t>,</w:t>
      </w:r>
      <w:r w:rsidRPr="00E72616">
        <w:t xml:space="preserve"> subd. 1 </w:t>
      </w:r>
      <w:r>
        <w:t>(first-degree c</w:t>
      </w:r>
      <w:r w:rsidRPr="00E72616">
        <w:t xml:space="preserve">annabis </w:t>
      </w:r>
      <w:r>
        <w:t>s</w:t>
      </w:r>
      <w:r w:rsidRPr="00E72616">
        <w:t>ale</w:t>
      </w:r>
      <w:r>
        <w:t xml:space="preserve">), </w:t>
      </w:r>
      <w:r w:rsidR="00354DE2">
        <w:t xml:space="preserve">and </w:t>
      </w:r>
      <w:r w:rsidRPr="00823444">
        <w:t>152.027</w:t>
      </w:r>
      <w:r>
        <w:t>,</w:t>
      </w:r>
      <w:r w:rsidRPr="00823444">
        <w:t xml:space="preserve"> subd. 6(c) </w:t>
      </w:r>
      <w:r>
        <w:t>(</w:t>
      </w:r>
      <w:r w:rsidRPr="00823444">
        <w:t>sale of synthetic cannabinoids</w:t>
      </w:r>
      <w:r>
        <w:t>)</w:t>
      </w:r>
      <w:bookmarkEnd w:id="6"/>
      <w:r w:rsidR="007248DE">
        <w:t xml:space="preserve">. This list </w:t>
      </w:r>
      <w:r w:rsidR="00F97CED">
        <w:t>is loosely based on</w:t>
      </w:r>
      <w:r w:rsidR="007248DE">
        <w:t xml:space="preserve"> the list in § 152.18</w:t>
      </w:r>
      <w:r w:rsidR="005B5032">
        <w:t>, subd. 1(a).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A69A" w14:textId="77777777" w:rsidR="0000500E" w:rsidRPr="005666F2" w:rsidRDefault="0006251A" w:rsidP="002F104F">
    <w:pPr>
      <w:spacing w:before="480"/>
      <w:rPr>
        <w:color w:val="003865" w:themeColor="text1"/>
      </w:rPr>
    </w:pPr>
    <w:r>
      <w:rPr>
        <w:noProof/>
      </w:rPr>
      <w:drawing>
        <wp:anchor distT="0" distB="0" distL="114300" distR="114300" simplePos="0" relativeHeight="251660287" behindDoc="1" locked="0" layoutInCell="1" allowOverlap="1" wp14:anchorId="353B3102" wp14:editId="3F675767">
          <wp:simplePos x="0" y="0"/>
          <wp:positionH relativeFrom="page">
            <wp:posOffset>374650</wp:posOffset>
          </wp:positionH>
          <wp:positionV relativeFrom="page">
            <wp:posOffset>292735</wp:posOffset>
          </wp:positionV>
          <wp:extent cx="4251960" cy="1298448"/>
          <wp:effectExtent l="0" t="0" r="0" b="0"/>
          <wp:wrapNone/>
          <wp:docPr id="127742298" name="Graphic 1" descr="Minnesota Task Force on Mandatory Minimum Sent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2298" name="Graphic 1" descr="Minnesota Task Force on Mandatory Minimum Sentences Logo"/>
                  <pic:cNvPicPr/>
                </pic:nvPicPr>
                <pic:blipFill>
                  <a:blip r:embed="rId1">
                    <a:extLst>
                      <a:ext uri="{96DAC541-7B7A-43D3-8B79-37D633B846F1}">
                        <asvg:svgBlip xmlns:asvg="http://schemas.microsoft.com/office/drawing/2016/SVG/main" r:embed="rId2"/>
                      </a:ext>
                    </a:extLst>
                  </a:blip>
                  <a:stretch>
                    <a:fillRect/>
                  </a:stretch>
                </pic:blipFill>
                <pic:spPr>
                  <a:xfrm>
                    <a:off x="0" y="0"/>
                    <a:ext cx="4251960" cy="12984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24.75pt" o:bullet="t">
        <v:imagedata r:id="rId1" o:title="Art_Bullet_Green-Svc-Descr"/>
      </v:shape>
    </w:pict>
  </w:numPicBullet>
  <w:abstractNum w:abstractNumId="0" w15:restartNumberingAfterBreak="0">
    <w:nsid w:val="FFFFFF7C"/>
    <w:multiLevelType w:val="singleLevel"/>
    <w:tmpl w:val="3D0C56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3EA1A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A69F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FDEED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E0BD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BA5A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88E4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465E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49E75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7E1574"/>
    <w:multiLevelType w:val="hybridMultilevel"/>
    <w:tmpl w:val="501A74C2"/>
    <w:lvl w:ilvl="0" w:tplc="B3D21212">
      <w:start w:val="1"/>
      <w:numFmt w:val="bullet"/>
      <w:lvlText w:val="•"/>
      <w:lvlJc w:val="left"/>
      <w:pPr>
        <w:tabs>
          <w:tab w:val="num" w:pos="720"/>
        </w:tabs>
        <w:ind w:left="720" w:hanging="360"/>
      </w:pPr>
      <w:rPr>
        <w:rFonts w:ascii="Arial" w:hAnsi="Arial" w:hint="default"/>
      </w:rPr>
    </w:lvl>
    <w:lvl w:ilvl="1" w:tplc="89C835B8" w:tentative="1">
      <w:start w:val="1"/>
      <w:numFmt w:val="bullet"/>
      <w:lvlText w:val="•"/>
      <w:lvlJc w:val="left"/>
      <w:pPr>
        <w:tabs>
          <w:tab w:val="num" w:pos="1440"/>
        </w:tabs>
        <w:ind w:left="1440" w:hanging="360"/>
      </w:pPr>
      <w:rPr>
        <w:rFonts w:ascii="Arial" w:hAnsi="Arial" w:hint="default"/>
      </w:rPr>
    </w:lvl>
    <w:lvl w:ilvl="2" w:tplc="386C0932" w:tentative="1">
      <w:start w:val="1"/>
      <w:numFmt w:val="bullet"/>
      <w:lvlText w:val="•"/>
      <w:lvlJc w:val="left"/>
      <w:pPr>
        <w:tabs>
          <w:tab w:val="num" w:pos="2160"/>
        </w:tabs>
        <w:ind w:left="2160" w:hanging="360"/>
      </w:pPr>
      <w:rPr>
        <w:rFonts w:ascii="Arial" w:hAnsi="Arial" w:hint="default"/>
      </w:rPr>
    </w:lvl>
    <w:lvl w:ilvl="3" w:tplc="26284AA0" w:tentative="1">
      <w:start w:val="1"/>
      <w:numFmt w:val="bullet"/>
      <w:lvlText w:val="•"/>
      <w:lvlJc w:val="left"/>
      <w:pPr>
        <w:tabs>
          <w:tab w:val="num" w:pos="2880"/>
        </w:tabs>
        <w:ind w:left="2880" w:hanging="360"/>
      </w:pPr>
      <w:rPr>
        <w:rFonts w:ascii="Arial" w:hAnsi="Arial" w:hint="default"/>
      </w:rPr>
    </w:lvl>
    <w:lvl w:ilvl="4" w:tplc="4F8ACBEA" w:tentative="1">
      <w:start w:val="1"/>
      <w:numFmt w:val="bullet"/>
      <w:lvlText w:val="•"/>
      <w:lvlJc w:val="left"/>
      <w:pPr>
        <w:tabs>
          <w:tab w:val="num" w:pos="3600"/>
        </w:tabs>
        <w:ind w:left="3600" w:hanging="360"/>
      </w:pPr>
      <w:rPr>
        <w:rFonts w:ascii="Arial" w:hAnsi="Arial" w:hint="default"/>
      </w:rPr>
    </w:lvl>
    <w:lvl w:ilvl="5" w:tplc="4E56B0AC" w:tentative="1">
      <w:start w:val="1"/>
      <w:numFmt w:val="bullet"/>
      <w:lvlText w:val="•"/>
      <w:lvlJc w:val="left"/>
      <w:pPr>
        <w:tabs>
          <w:tab w:val="num" w:pos="4320"/>
        </w:tabs>
        <w:ind w:left="4320" w:hanging="360"/>
      </w:pPr>
      <w:rPr>
        <w:rFonts w:ascii="Arial" w:hAnsi="Arial" w:hint="default"/>
      </w:rPr>
    </w:lvl>
    <w:lvl w:ilvl="6" w:tplc="47FE4D80" w:tentative="1">
      <w:start w:val="1"/>
      <w:numFmt w:val="bullet"/>
      <w:lvlText w:val="•"/>
      <w:lvlJc w:val="left"/>
      <w:pPr>
        <w:tabs>
          <w:tab w:val="num" w:pos="5040"/>
        </w:tabs>
        <w:ind w:left="5040" w:hanging="360"/>
      </w:pPr>
      <w:rPr>
        <w:rFonts w:ascii="Arial" w:hAnsi="Arial" w:hint="default"/>
      </w:rPr>
    </w:lvl>
    <w:lvl w:ilvl="7" w:tplc="96605652" w:tentative="1">
      <w:start w:val="1"/>
      <w:numFmt w:val="bullet"/>
      <w:lvlText w:val="•"/>
      <w:lvlJc w:val="left"/>
      <w:pPr>
        <w:tabs>
          <w:tab w:val="num" w:pos="5760"/>
        </w:tabs>
        <w:ind w:left="5760" w:hanging="360"/>
      </w:pPr>
      <w:rPr>
        <w:rFonts w:ascii="Arial" w:hAnsi="Arial" w:hint="default"/>
      </w:rPr>
    </w:lvl>
    <w:lvl w:ilvl="8" w:tplc="F7CCF1B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23D55"/>
    <w:multiLevelType w:val="hybridMultilevel"/>
    <w:tmpl w:val="6EB6C0DE"/>
    <w:lvl w:ilvl="0" w:tplc="215643A0">
      <w:start w:val="1"/>
      <w:numFmt w:val="decimal"/>
      <w:pStyle w:val="NumberedList"/>
      <w:lvlText w:val="%1."/>
      <w:lvlJc w:val="left"/>
      <w:pPr>
        <w:ind w:left="1080" w:hanging="360"/>
      </w:pPr>
      <w:rPr>
        <w:rFonts w:hint="default"/>
        <w:b/>
        <w:i w:val="0"/>
        <w:color w:val="003865"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76120"/>
    <w:multiLevelType w:val="hybridMultilevel"/>
    <w:tmpl w:val="BACEE1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5EDA2614"/>
    <w:lvl w:ilvl="0" w:tplc="37B2FB9C">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9259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772B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605818">
    <w:abstractNumId w:val="9"/>
  </w:num>
  <w:num w:numId="2" w16cid:durableId="800421298">
    <w:abstractNumId w:val="12"/>
  </w:num>
  <w:num w:numId="3" w16cid:durableId="779224671">
    <w:abstractNumId w:val="27"/>
  </w:num>
  <w:num w:numId="4" w16cid:durableId="1258102386">
    <w:abstractNumId w:val="24"/>
  </w:num>
  <w:num w:numId="5" w16cid:durableId="616375037">
    <w:abstractNumId w:val="20"/>
  </w:num>
  <w:num w:numId="6" w16cid:durableId="571280601">
    <w:abstractNumId w:val="10"/>
  </w:num>
  <w:num w:numId="7" w16cid:durableId="146634389">
    <w:abstractNumId w:val="18"/>
  </w:num>
  <w:num w:numId="8" w16cid:durableId="1440875826">
    <w:abstractNumId w:val="13"/>
  </w:num>
  <w:num w:numId="9" w16cid:durableId="1027490225">
    <w:abstractNumId w:val="16"/>
  </w:num>
  <w:num w:numId="10" w16cid:durableId="1144860122">
    <w:abstractNumId w:val="8"/>
  </w:num>
  <w:num w:numId="11" w16cid:durableId="2066250574">
    <w:abstractNumId w:val="8"/>
  </w:num>
  <w:num w:numId="12" w16cid:durableId="1887141095">
    <w:abstractNumId w:val="28"/>
  </w:num>
  <w:num w:numId="13" w16cid:durableId="613365486">
    <w:abstractNumId w:val="29"/>
  </w:num>
  <w:num w:numId="14" w16cid:durableId="1079213701">
    <w:abstractNumId w:val="19"/>
  </w:num>
  <w:num w:numId="15" w16cid:durableId="164591358">
    <w:abstractNumId w:val="8"/>
  </w:num>
  <w:num w:numId="16" w16cid:durableId="1830710251">
    <w:abstractNumId w:val="29"/>
  </w:num>
  <w:num w:numId="17" w16cid:durableId="1657569225">
    <w:abstractNumId w:val="19"/>
  </w:num>
  <w:num w:numId="18" w16cid:durableId="1671179362">
    <w:abstractNumId w:val="15"/>
  </w:num>
  <w:num w:numId="19" w16cid:durableId="91777768">
    <w:abstractNumId w:val="11"/>
  </w:num>
  <w:num w:numId="20" w16cid:durableId="1497112591">
    <w:abstractNumId w:val="1"/>
  </w:num>
  <w:num w:numId="21" w16cid:durableId="1010261333">
    <w:abstractNumId w:val="0"/>
  </w:num>
  <w:num w:numId="22" w16cid:durableId="1363096115">
    <w:abstractNumId w:val="14"/>
  </w:num>
  <w:num w:numId="23" w16cid:durableId="1405639976">
    <w:abstractNumId w:val="22"/>
  </w:num>
  <w:num w:numId="24" w16cid:durableId="844053504">
    <w:abstractNumId w:val="25"/>
  </w:num>
  <w:num w:numId="25" w16cid:durableId="859783943">
    <w:abstractNumId w:val="7"/>
  </w:num>
  <w:num w:numId="26" w16cid:durableId="1819497080">
    <w:abstractNumId w:val="6"/>
  </w:num>
  <w:num w:numId="27" w16cid:durableId="307982794">
    <w:abstractNumId w:val="5"/>
  </w:num>
  <w:num w:numId="28" w16cid:durableId="179198703">
    <w:abstractNumId w:val="4"/>
  </w:num>
  <w:num w:numId="29" w16cid:durableId="1141311330">
    <w:abstractNumId w:val="3"/>
  </w:num>
  <w:num w:numId="30" w16cid:durableId="82772502">
    <w:abstractNumId w:val="2"/>
  </w:num>
  <w:num w:numId="31" w16cid:durableId="1050298757">
    <w:abstractNumId w:val="17"/>
  </w:num>
  <w:num w:numId="32" w16cid:durableId="1599555634">
    <w:abstractNumId w:val="30"/>
  </w:num>
  <w:num w:numId="33" w16cid:durableId="2051374550">
    <w:abstractNumId w:val="26"/>
  </w:num>
  <w:num w:numId="34" w16cid:durableId="903641368">
    <w:abstractNumId w:val="23"/>
  </w:num>
  <w:num w:numId="35" w16cid:durableId="1275212938">
    <w:abstractNumId w:val="21"/>
  </w:num>
  <w:num w:numId="36" w16cid:durableId="32658281">
    <w:abstractNumId w:val="21"/>
    <w:lvlOverride w:ilvl="0">
      <w:startOverride w:val="1"/>
    </w:lvlOverride>
  </w:num>
  <w:num w:numId="37" w16cid:durableId="1289168926">
    <w:abstractNumId w:val="21"/>
  </w:num>
  <w:num w:numId="38" w16cid:durableId="145170506">
    <w:abstractNumId w:val="21"/>
    <w:lvlOverride w:ilvl="0">
      <w:startOverride w:val="1"/>
    </w:lvlOverride>
  </w:num>
  <w:num w:numId="39" w16cid:durableId="11194017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AR5AV0NpXkL/CNKj1GjjaKSKjcOf9bx/Zw5crLJRtjQdmbmQneqDRB+MRoeLLshdLiK9IYmmuNTRSaM400cWw==" w:salt="V4aaTCea4niiwAVW71eWiA=="/>
  <w:defaultTabStop w:val="720"/>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1A"/>
    <w:rsid w:val="00002DEC"/>
    <w:rsid w:val="00003427"/>
    <w:rsid w:val="0000426B"/>
    <w:rsid w:val="000045F7"/>
    <w:rsid w:val="00004AB5"/>
    <w:rsid w:val="0000500E"/>
    <w:rsid w:val="000065AC"/>
    <w:rsid w:val="00006A0A"/>
    <w:rsid w:val="00010063"/>
    <w:rsid w:val="00016BDF"/>
    <w:rsid w:val="00023E7D"/>
    <w:rsid w:val="0002425B"/>
    <w:rsid w:val="00027970"/>
    <w:rsid w:val="00033986"/>
    <w:rsid w:val="00035F55"/>
    <w:rsid w:val="00036FE2"/>
    <w:rsid w:val="00041435"/>
    <w:rsid w:val="00051A4B"/>
    <w:rsid w:val="0005651D"/>
    <w:rsid w:val="0006124C"/>
    <w:rsid w:val="00061787"/>
    <w:rsid w:val="000617EE"/>
    <w:rsid w:val="00062052"/>
    <w:rsid w:val="0006251A"/>
    <w:rsid w:val="00063141"/>
    <w:rsid w:val="000640E9"/>
    <w:rsid w:val="00064B90"/>
    <w:rsid w:val="00072CB6"/>
    <w:rsid w:val="0007374A"/>
    <w:rsid w:val="00073BB7"/>
    <w:rsid w:val="000802F4"/>
    <w:rsid w:val="00080404"/>
    <w:rsid w:val="00084742"/>
    <w:rsid w:val="000848B2"/>
    <w:rsid w:val="000853D4"/>
    <w:rsid w:val="0009056D"/>
    <w:rsid w:val="00092952"/>
    <w:rsid w:val="000950D1"/>
    <w:rsid w:val="00096498"/>
    <w:rsid w:val="00096E69"/>
    <w:rsid w:val="000B1D1F"/>
    <w:rsid w:val="000B2457"/>
    <w:rsid w:val="000B2E68"/>
    <w:rsid w:val="000B3C77"/>
    <w:rsid w:val="000B621C"/>
    <w:rsid w:val="000B7B61"/>
    <w:rsid w:val="000C316A"/>
    <w:rsid w:val="000C3708"/>
    <w:rsid w:val="000C3761"/>
    <w:rsid w:val="000C52B0"/>
    <w:rsid w:val="000C7373"/>
    <w:rsid w:val="000D19C2"/>
    <w:rsid w:val="000D1DFA"/>
    <w:rsid w:val="000D6E82"/>
    <w:rsid w:val="000E03B0"/>
    <w:rsid w:val="000E077D"/>
    <w:rsid w:val="000E313B"/>
    <w:rsid w:val="000E3E9D"/>
    <w:rsid w:val="000E5FD0"/>
    <w:rsid w:val="000F4957"/>
    <w:rsid w:val="000F4BB1"/>
    <w:rsid w:val="000F68B8"/>
    <w:rsid w:val="001016D0"/>
    <w:rsid w:val="001028CB"/>
    <w:rsid w:val="001045F1"/>
    <w:rsid w:val="001058E1"/>
    <w:rsid w:val="001113C5"/>
    <w:rsid w:val="00111803"/>
    <w:rsid w:val="0011404D"/>
    <w:rsid w:val="001174BE"/>
    <w:rsid w:val="001201B5"/>
    <w:rsid w:val="00121496"/>
    <w:rsid w:val="00122F72"/>
    <w:rsid w:val="00123A5A"/>
    <w:rsid w:val="001259B6"/>
    <w:rsid w:val="00125B56"/>
    <w:rsid w:val="0013003F"/>
    <w:rsid w:val="00131184"/>
    <w:rsid w:val="001330FC"/>
    <w:rsid w:val="00135082"/>
    <w:rsid w:val="00135DC7"/>
    <w:rsid w:val="00135E5F"/>
    <w:rsid w:val="00140967"/>
    <w:rsid w:val="001462AA"/>
    <w:rsid w:val="00147BE8"/>
    <w:rsid w:val="00147ED1"/>
    <w:rsid w:val="001500D6"/>
    <w:rsid w:val="001544EB"/>
    <w:rsid w:val="0015552E"/>
    <w:rsid w:val="00157133"/>
    <w:rsid w:val="00157A5B"/>
    <w:rsid w:val="00157C41"/>
    <w:rsid w:val="001661D9"/>
    <w:rsid w:val="001708EC"/>
    <w:rsid w:val="001714C6"/>
    <w:rsid w:val="001731C7"/>
    <w:rsid w:val="00184010"/>
    <w:rsid w:val="001925A8"/>
    <w:rsid w:val="00192A10"/>
    <w:rsid w:val="00194A15"/>
    <w:rsid w:val="0019673D"/>
    <w:rsid w:val="00197FDD"/>
    <w:rsid w:val="001A258D"/>
    <w:rsid w:val="001A264D"/>
    <w:rsid w:val="001A46BB"/>
    <w:rsid w:val="001B1A9D"/>
    <w:rsid w:val="001B34AA"/>
    <w:rsid w:val="001C3429"/>
    <w:rsid w:val="001C55E0"/>
    <w:rsid w:val="001C6FA6"/>
    <w:rsid w:val="001D029D"/>
    <w:rsid w:val="001D65CF"/>
    <w:rsid w:val="001E0113"/>
    <w:rsid w:val="001E1BB5"/>
    <w:rsid w:val="001E1ED7"/>
    <w:rsid w:val="001E4BC3"/>
    <w:rsid w:val="001E5ECF"/>
    <w:rsid w:val="001F033A"/>
    <w:rsid w:val="001F366E"/>
    <w:rsid w:val="00204736"/>
    <w:rsid w:val="00205252"/>
    <w:rsid w:val="00205958"/>
    <w:rsid w:val="0020645B"/>
    <w:rsid w:val="00211643"/>
    <w:rsid w:val="00211CA3"/>
    <w:rsid w:val="00215774"/>
    <w:rsid w:val="00216612"/>
    <w:rsid w:val="00222A49"/>
    <w:rsid w:val="00222BF1"/>
    <w:rsid w:val="0022552E"/>
    <w:rsid w:val="002313F0"/>
    <w:rsid w:val="00240B04"/>
    <w:rsid w:val="00241F37"/>
    <w:rsid w:val="002471C9"/>
    <w:rsid w:val="002516EC"/>
    <w:rsid w:val="002562F4"/>
    <w:rsid w:val="00261247"/>
    <w:rsid w:val="00264652"/>
    <w:rsid w:val="002670E1"/>
    <w:rsid w:val="00273D99"/>
    <w:rsid w:val="002751A5"/>
    <w:rsid w:val="00282084"/>
    <w:rsid w:val="00291052"/>
    <w:rsid w:val="00293ABF"/>
    <w:rsid w:val="002A3A72"/>
    <w:rsid w:val="002A4D2F"/>
    <w:rsid w:val="002A5884"/>
    <w:rsid w:val="002B0AB0"/>
    <w:rsid w:val="002B12AC"/>
    <w:rsid w:val="002B19DF"/>
    <w:rsid w:val="002B264E"/>
    <w:rsid w:val="002B419F"/>
    <w:rsid w:val="002B4DA3"/>
    <w:rsid w:val="002B5E79"/>
    <w:rsid w:val="002B7253"/>
    <w:rsid w:val="002B77AE"/>
    <w:rsid w:val="002B7832"/>
    <w:rsid w:val="002C0859"/>
    <w:rsid w:val="002C3A41"/>
    <w:rsid w:val="002D4FC3"/>
    <w:rsid w:val="002E421C"/>
    <w:rsid w:val="002E7F29"/>
    <w:rsid w:val="002F104F"/>
    <w:rsid w:val="002F1947"/>
    <w:rsid w:val="002F62A9"/>
    <w:rsid w:val="003044B6"/>
    <w:rsid w:val="0030512F"/>
    <w:rsid w:val="00306D94"/>
    <w:rsid w:val="003125DF"/>
    <w:rsid w:val="0031376A"/>
    <w:rsid w:val="00321D15"/>
    <w:rsid w:val="003266CC"/>
    <w:rsid w:val="00327D30"/>
    <w:rsid w:val="00331E7B"/>
    <w:rsid w:val="00333C49"/>
    <w:rsid w:val="003356EE"/>
    <w:rsid w:val="00335736"/>
    <w:rsid w:val="00351886"/>
    <w:rsid w:val="00351C99"/>
    <w:rsid w:val="003545F4"/>
    <w:rsid w:val="00354DE2"/>
    <w:rsid w:val="003563D2"/>
    <w:rsid w:val="00364CEB"/>
    <w:rsid w:val="00367485"/>
    <w:rsid w:val="003719B7"/>
    <w:rsid w:val="003725DA"/>
    <w:rsid w:val="00376FA5"/>
    <w:rsid w:val="00387A35"/>
    <w:rsid w:val="0039176F"/>
    <w:rsid w:val="00391BB7"/>
    <w:rsid w:val="00391BBA"/>
    <w:rsid w:val="0039414F"/>
    <w:rsid w:val="0039570C"/>
    <w:rsid w:val="003A1479"/>
    <w:rsid w:val="003A1813"/>
    <w:rsid w:val="003A5C7C"/>
    <w:rsid w:val="003A685E"/>
    <w:rsid w:val="003B7D82"/>
    <w:rsid w:val="003C25EB"/>
    <w:rsid w:val="003C2756"/>
    <w:rsid w:val="003C4644"/>
    <w:rsid w:val="003C4910"/>
    <w:rsid w:val="003C5AAD"/>
    <w:rsid w:val="003C5BE3"/>
    <w:rsid w:val="003D117D"/>
    <w:rsid w:val="003D38CE"/>
    <w:rsid w:val="003D54F7"/>
    <w:rsid w:val="003D6F97"/>
    <w:rsid w:val="003E00E4"/>
    <w:rsid w:val="003E4D0D"/>
    <w:rsid w:val="003E62C3"/>
    <w:rsid w:val="003F1923"/>
    <w:rsid w:val="003F3EE3"/>
    <w:rsid w:val="00400D29"/>
    <w:rsid w:val="004106CF"/>
    <w:rsid w:val="00411DCE"/>
    <w:rsid w:val="00413A7C"/>
    <w:rsid w:val="004141DD"/>
    <w:rsid w:val="00414FCD"/>
    <w:rsid w:val="004255F2"/>
    <w:rsid w:val="00425D10"/>
    <w:rsid w:val="0043248C"/>
    <w:rsid w:val="00436F1A"/>
    <w:rsid w:val="004431C9"/>
    <w:rsid w:val="00447648"/>
    <w:rsid w:val="0045554F"/>
    <w:rsid w:val="00461804"/>
    <w:rsid w:val="0046203F"/>
    <w:rsid w:val="00462615"/>
    <w:rsid w:val="00466810"/>
    <w:rsid w:val="00473B38"/>
    <w:rsid w:val="0047714F"/>
    <w:rsid w:val="004816B5"/>
    <w:rsid w:val="00482ACE"/>
    <w:rsid w:val="00483A07"/>
    <w:rsid w:val="00483DD2"/>
    <w:rsid w:val="00494E6F"/>
    <w:rsid w:val="004A1B4D"/>
    <w:rsid w:val="004A2DA2"/>
    <w:rsid w:val="004A4739"/>
    <w:rsid w:val="004A4A48"/>
    <w:rsid w:val="004A58DD"/>
    <w:rsid w:val="004A6119"/>
    <w:rsid w:val="004A6A83"/>
    <w:rsid w:val="004B021F"/>
    <w:rsid w:val="004B1E37"/>
    <w:rsid w:val="004B4470"/>
    <w:rsid w:val="004B47DC"/>
    <w:rsid w:val="004C116A"/>
    <w:rsid w:val="004C213E"/>
    <w:rsid w:val="004C275A"/>
    <w:rsid w:val="004C5D88"/>
    <w:rsid w:val="004C5DC7"/>
    <w:rsid w:val="004C62C7"/>
    <w:rsid w:val="004D475B"/>
    <w:rsid w:val="004D75AA"/>
    <w:rsid w:val="004E6AFB"/>
    <w:rsid w:val="004E75B3"/>
    <w:rsid w:val="004F04BA"/>
    <w:rsid w:val="004F0EFF"/>
    <w:rsid w:val="004F6C27"/>
    <w:rsid w:val="004F78C7"/>
    <w:rsid w:val="0050093F"/>
    <w:rsid w:val="00503A0D"/>
    <w:rsid w:val="00503E04"/>
    <w:rsid w:val="0051151B"/>
    <w:rsid w:val="00511AA9"/>
    <w:rsid w:val="00512868"/>
    <w:rsid w:val="0051301E"/>
    <w:rsid w:val="00513342"/>
    <w:rsid w:val="00514788"/>
    <w:rsid w:val="00515775"/>
    <w:rsid w:val="005160B3"/>
    <w:rsid w:val="005175D4"/>
    <w:rsid w:val="00524234"/>
    <w:rsid w:val="005341D8"/>
    <w:rsid w:val="0054371B"/>
    <w:rsid w:val="00545BB8"/>
    <w:rsid w:val="00545FF6"/>
    <w:rsid w:val="005465AF"/>
    <w:rsid w:val="005479B6"/>
    <w:rsid w:val="00552CBA"/>
    <w:rsid w:val="00554872"/>
    <w:rsid w:val="00561C95"/>
    <w:rsid w:val="0056615E"/>
    <w:rsid w:val="005666F2"/>
    <w:rsid w:val="0057041D"/>
    <w:rsid w:val="005804E3"/>
    <w:rsid w:val="00580A81"/>
    <w:rsid w:val="005830FD"/>
    <w:rsid w:val="00583460"/>
    <w:rsid w:val="00590CF5"/>
    <w:rsid w:val="00596814"/>
    <w:rsid w:val="005974A9"/>
    <w:rsid w:val="00597D4A"/>
    <w:rsid w:val="005A078E"/>
    <w:rsid w:val="005A17DC"/>
    <w:rsid w:val="005A20F8"/>
    <w:rsid w:val="005B2DDF"/>
    <w:rsid w:val="005B3DEC"/>
    <w:rsid w:val="005B4AE7"/>
    <w:rsid w:val="005B5032"/>
    <w:rsid w:val="005B534A"/>
    <w:rsid w:val="005B53B0"/>
    <w:rsid w:val="005C16D8"/>
    <w:rsid w:val="005C18B1"/>
    <w:rsid w:val="005C2275"/>
    <w:rsid w:val="005C299A"/>
    <w:rsid w:val="005C4EC4"/>
    <w:rsid w:val="005D3E63"/>
    <w:rsid w:val="005D4207"/>
    <w:rsid w:val="005D45B3"/>
    <w:rsid w:val="005D45E7"/>
    <w:rsid w:val="005D6311"/>
    <w:rsid w:val="005F36AC"/>
    <w:rsid w:val="005F6005"/>
    <w:rsid w:val="005F612B"/>
    <w:rsid w:val="006044BE"/>
    <w:rsid w:val="00604FC9"/>
    <w:rsid w:val="006064AB"/>
    <w:rsid w:val="00607630"/>
    <w:rsid w:val="0061156B"/>
    <w:rsid w:val="00612597"/>
    <w:rsid w:val="00615E05"/>
    <w:rsid w:val="00621BE3"/>
    <w:rsid w:val="00622BB5"/>
    <w:rsid w:val="00625B80"/>
    <w:rsid w:val="006271B9"/>
    <w:rsid w:val="00627925"/>
    <w:rsid w:val="00627CB9"/>
    <w:rsid w:val="00641F20"/>
    <w:rsid w:val="006437C4"/>
    <w:rsid w:val="00643E20"/>
    <w:rsid w:val="0065407F"/>
    <w:rsid w:val="00655345"/>
    <w:rsid w:val="00655978"/>
    <w:rsid w:val="0066165C"/>
    <w:rsid w:val="006618A1"/>
    <w:rsid w:val="00661E87"/>
    <w:rsid w:val="00670D5D"/>
    <w:rsid w:val="00671918"/>
    <w:rsid w:val="00672536"/>
    <w:rsid w:val="0067523A"/>
    <w:rsid w:val="0067654E"/>
    <w:rsid w:val="00680FA1"/>
    <w:rsid w:val="00681EDC"/>
    <w:rsid w:val="00684453"/>
    <w:rsid w:val="0068649F"/>
    <w:rsid w:val="00687189"/>
    <w:rsid w:val="0069441B"/>
    <w:rsid w:val="00697CCC"/>
    <w:rsid w:val="006A083A"/>
    <w:rsid w:val="006A3B7B"/>
    <w:rsid w:val="006A5B6F"/>
    <w:rsid w:val="006B074D"/>
    <w:rsid w:val="006B0AA0"/>
    <w:rsid w:val="006B13B7"/>
    <w:rsid w:val="006B2942"/>
    <w:rsid w:val="006B2985"/>
    <w:rsid w:val="006B3994"/>
    <w:rsid w:val="006B6FC6"/>
    <w:rsid w:val="006C0E45"/>
    <w:rsid w:val="006D3325"/>
    <w:rsid w:val="006D354C"/>
    <w:rsid w:val="006D4829"/>
    <w:rsid w:val="006D6261"/>
    <w:rsid w:val="006D6467"/>
    <w:rsid w:val="006E5806"/>
    <w:rsid w:val="006F2FAF"/>
    <w:rsid w:val="006F3B38"/>
    <w:rsid w:val="006F65AE"/>
    <w:rsid w:val="006F6BFE"/>
    <w:rsid w:val="006F7BBB"/>
    <w:rsid w:val="007137A4"/>
    <w:rsid w:val="0071537C"/>
    <w:rsid w:val="007248DE"/>
    <w:rsid w:val="007265FD"/>
    <w:rsid w:val="00731604"/>
    <w:rsid w:val="00734F07"/>
    <w:rsid w:val="007353F4"/>
    <w:rsid w:val="0073736E"/>
    <w:rsid w:val="007378F4"/>
    <w:rsid w:val="00737F33"/>
    <w:rsid w:val="007417F2"/>
    <w:rsid w:val="007425CA"/>
    <w:rsid w:val="007434FA"/>
    <w:rsid w:val="007439CE"/>
    <w:rsid w:val="00743F47"/>
    <w:rsid w:val="0074778B"/>
    <w:rsid w:val="00753449"/>
    <w:rsid w:val="007537C9"/>
    <w:rsid w:val="007558CE"/>
    <w:rsid w:val="007608D1"/>
    <w:rsid w:val="00761272"/>
    <w:rsid w:val="007635BE"/>
    <w:rsid w:val="00765C2A"/>
    <w:rsid w:val="0077225E"/>
    <w:rsid w:val="00780695"/>
    <w:rsid w:val="00786262"/>
    <w:rsid w:val="00787B35"/>
    <w:rsid w:val="00793F48"/>
    <w:rsid w:val="007B045B"/>
    <w:rsid w:val="007B065B"/>
    <w:rsid w:val="007B1CE8"/>
    <w:rsid w:val="007B35B2"/>
    <w:rsid w:val="007C6357"/>
    <w:rsid w:val="007C69CA"/>
    <w:rsid w:val="007C7218"/>
    <w:rsid w:val="007D1DD8"/>
    <w:rsid w:val="007D1FFF"/>
    <w:rsid w:val="007D42A0"/>
    <w:rsid w:val="007D48EB"/>
    <w:rsid w:val="007E291D"/>
    <w:rsid w:val="007E4766"/>
    <w:rsid w:val="007E685C"/>
    <w:rsid w:val="007E6D41"/>
    <w:rsid w:val="007F6108"/>
    <w:rsid w:val="007F6280"/>
    <w:rsid w:val="007F68D5"/>
    <w:rsid w:val="007F7097"/>
    <w:rsid w:val="00802C27"/>
    <w:rsid w:val="008039E9"/>
    <w:rsid w:val="008051C0"/>
    <w:rsid w:val="008067A6"/>
    <w:rsid w:val="00806D5B"/>
    <w:rsid w:val="008115B5"/>
    <w:rsid w:val="008140CC"/>
    <w:rsid w:val="00815904"/>
    <w:rsid w:val="00815EC1"/>
    <w:rsid w:val="008201B4"/>
    <w:rsid w:val="0082092B"/>
    <w:rsid w:val="00821594"/>
    <w:rsid w:val="00823444"/>
    <w:rsid w:val="008251B3"/>
    <w:rsid w:val="00827EDF"/>
    <w:rsid w:val="0083236F"/>
    <w:rsid w:val="00835354"/>
    <w:rsid w:val="0083786B"/>
    <w:rsid w:val="008420DC"/>
    <w:rsid w:val="00844F1D"/>
    <w:rsid w:val="008459F2"/>
    <w:rsid w:val="0084749F"/>
    <w:rsid w:val="00853BBE"/>
    <w:rsid w:val="00853D48"/>
    <w:rsid w:val="00856A07"/>
    <w:rsid w:val="00861112"/>
    <w:rsid w:val="00862FEC"/>
    <w:rsid w:val="00863688"/>
    <w:rsid w:val="00864202"/>
    <w:rsid w:val="00872CCB"/>
    <w:rsid w:val="00873AF0"/>
    <w:rsid w:val="00883B43"/>
    <w:rsid w:val="008874A6"/>
    <w:rsid w:val="00891A4D"/>
    <w:rsid w:val="00895B8C"/>
    <w:rsid w:val="00897FC5"/>
    <w:rsid w:val="008A037F"/>
    <w:rsid w:val="008A2764"/>
    <w:rsid w:val="008A4760"/>
    <w:rsid w:val="008A6F64"/>
    <w:rsid w:val="008B5443"/>
    <w:rsid w:val="008B6E17"/>
    <w:rsid w:val="008C3C60"/>
    <w:rsid w:val="008C7EEB"/>
    <w:rsid w:val="008D0DEF"/>
    <w:rsid w:val="008D1DDA"/>
    <w:rsid w:val="008D2256"/>
    <w:rsid w:val="008D26EC"/>
    <w:rsid w:val="008D5E3D"/>
    <w:rsid w:val="008D645B"/>
    <w:rsid w:val="008E3EB1"/>
    <w:rsid w:val="008E4960"/>
    <w:rsid w:val="008F3A18"/>
    <w:rsid w:val="008F586B"/>
    <w:rsid w:val="008F62C0"/>
    <w:rsid w:val="008F7D81"/>
    <w:rsid w:val="0090737A"/>
    <w:rsid w:val="00910345"/>
    <w:rsid w:val="00913593"/>
    <w:rsid w:val="00913F9D"/>
    <w:rsid w:val="009144AC"/>
    <w:rsid w:val="00916A6F"/>
    <w:rsid w:val="00921166"/>
    <w:rsid w:val="00921CB6"/>
    <w:rsid w:val="00924E47"/>
    <w:rsid w:val="00933A35"/>
    <w:rsid w:val="0093475E"/>
    <w:rsid w:val="009401B4"/>
    <w:rsid w:val="0094125C"/>
    <w:rsid w:val="009449E6"/>
    <w:rsid w:val="0096108C"/>
    <w:rsid w:val="009613BE"/>
    <w:rsid w:val="00963BA0"/>
    <w:rsid w:val="00963EB2"/>
    <w:rsid w:val="009644E0"/>
    <w:rsid w:val="00967092"/>
    <w:rsid w:val="00967764"/>
    <w:rsid w:val="009707FC"/>
    <w:rsid w:val="00972295"/>
    <w:rsid w:val="009725B2"/>
    <w:rsid w:val="00975B56"/>
    <w:rsid w:val="0097784E"/>
    <w:rsid w:val="00980D32"/>
    <w:rsid w:val="009810EE"/>
    <w:rsid w:val="00982A6D"/>
    <w:rsid w:val="00984CC9"/>
    <w:rsid w:val="009871F4"/>
    <w:rsid w:val="00987726"/>
    <w:rsid w:val="00990C35"/>
    <w:rsid w:val="0099233F"/>
    <w:rsid w:val="009930D5"/>
    <w:rsid w:val="009A01E6"/>
    <w:rsid w:val="009A08A7"/>
    <w:rsid w:val="009A1EE5"/>
    <w:rsid w:val="009A6B81"/>
    <w:rsid w:val="009B38A0"/>
    <w:rsid w:val="009B54A0"/>
    <w:rsid w:val="009B65EE"/>
    <w:rsid w:val="009B6D53"/>
    <w:rsid w:val="009C0F1E"/>
    <w:rsid w:val="009C357C"/>
    <w:rsid w:val="009C36CE"/>
    <w:rsid w:val="009C6405"/>
    <w:rsid w:val="009C74B9"/>
    <w:rsid w:val="009D794C"/>
    <w:rsid w:val="009E7385"/>
    <w:rsid w:val="009F086D"/>
    <w:rsid w:val="009F1018"/>
    <w:rsid w:val="009F4FE6"/>
    <w:rsid w:val="00A03D4A"/>
    <w:rsid w:val="00A100AC"/>
    <w:rsid w:val="00A118DE"/>
    <w:rsid w:val="00A1288A"/>
    <w:rsid w:val="00A13A3E"/>
    <w:rsid w:val="00A242C6"/>
    <w:rsid w:val="00A30799"/>
    <w:rsid w:val="00A32748"/>
    <w:rsid w:val="00A37137"/>
    <w:rsid w:val="00A41446"/>
    <w:rsid w:val="00A42E68"/>
    <w:rsid w:val="00A57FE8"/>
    <w:rsid w:val="00A60672"/>
    <w:rsid w:val="00A6210F"/>
    <w:rsid w:val="00A64E83"/>
    <w:rsid w:val="00A64ECE"/>
    <w:rsid w:val="00A66185"/>
    <w:rsid w:val="00A70C7B"/>
    <w:rsid w:val="00A71CAD"/>
    <w:rsid w:val="00A731A2"/>
    <w:rsid w:val="00A77CAF"/>
    <w:rsid w:val="00A827B0"/>
    <w:rsid w:val="00A827C1"/>
    <w:rsid w:val="00A8729C"/>
    <w:rsid w:val="00A903A9"/>
    <w:rsid w:val="00A926C0"/>
    <w:rsid w:val="00A92DB3"/>
    <w:rsid w:val="00A93F40"/>
    <w:rsid w:val="00A96F93"/>
    <w:rsid w:val="00A971A6"/>
    <w:rsid w:val="00AA1E4D"/>
    <w:rsid w:val="00AA5682"/>
    <w:rsid w:val="00AB5347"/>
    <w:rsid w:val="00AC40E0"/>
    <w:rsid w:val="00AC5BA1"/>
    <w:rsid w:val="00AC5F8B"/>
    <w:rsid w:val="00AC6196"/>
    <w:rsid w:val="00AD39DA"/>
    <w:rsid w:val="00AD4A09"/>
    <w:rsid w:val="00AE06F4"/>
    <w:rsid w:val="00AE48C0"/>
    <w:rsid w:val="00AE5772"/>
    <w:rsid w:val="00AE6ACA"/>
    <w:rsid w:val="00AE6FA0"/>
    <w:rsid w:val="00AF22AD"/>
    <w:rsid w:val="00AF2F16"/>
    <w:rsid w:val="00AF5107"/>
    <w:rsid w:val="00AF5D91"/>
    <w:rsid w:val="00B01D37"/>
    <w:rsid w:val="00B06264"/>
    <w:rsid w:val="00B07C8F"/>
    <w:rsid w:val="00B10D7F"/>
    <w:rsid w:val="00B152E0"/>
    <w:rsid w:val="00B155EF"/>
    <w:rsid w:val="00B17111"/>
    <w:rsid w:val="00B2057E"/>
    <w:rsid w:val="00B211D3"/>
    <w:rsid w:val="00B22A79"/>
    <w:rsid w:val="00B234DA"/>
    <w:rsid w:val="00B2545E"/>
    <w:rsid w:val="00B275D4"/>
    <w:rsid w:val="00B30CB3"/>
    <w:rsid w:val="00B4015D"/>
    <w:rsid w:val="00B433CC"/>
    <w:rsid w:val="00B43918"/>
    <w:rsid w:val="00B511F8"/>
    <w:rsid w:val="00B54AAA"/>
    <w:rsid w:val="00B56E0F"/>
    <w:rsid w:val="00B629A2"/>
    <w:rsid w:val="00B67A79"/>
    <w:rsid w:val="00B70FC7"/>
    <w:rsid w:val="00B738BC"/>
    <w:rsid w:val="00B749E2"/>
    <w:rsid w:val="00B75051"/>
    <w:rsid w:val="00B776B5"/>
    <w:rsid w:val="00B859DE"/>
    <w:rsid w:val="00B8605C"/>
    <w:rsid w:val="00B94B6A"/>
    <w:rsid w:val="00B95DBB"/>
    <w:rsid w:val="00B96251"/>
    <w:rsid w:val="00B96307"/>
    <w:rsid w:val="00BA12C5"/>
    <w:rsid w:val="00BA23B8"/>
    <w:rsid w:val="00BA360A"/>
    <w:rsid w:val="00BA7302"/>
    <w:rsid w:val="00BA7EDD"/>
    <w:rsid w:val="00BB0021"/>
    <w:rsid w:val="00BB7FA7"/>
    <w:rsid w:val="00BD0E59"/>
    <w:rsid w:val="00BD2112"/>
    <w:rsid w:val="00BD4360"/>
    <w:rsid w:val="00BD461D"/>
    <w:rsid w:val="00BD5D77"/>
    <w:rsid w:val="00BD7126"/>
    <w:rsid w:val="00BE00B2"/>
    <w:rsid w:val="00BE391A"/>
    <w:rsid w:val="00BE3D78"/>
    <w:rsid w:val="00BE7D18"/>
    <w:rsid w:val="00BF25FD"/>
    <w:rsid w:val="00C024D3"/>
    <w:rsid w:val="00C02AA7"/>
    <w:rsid w:val="00C057E7"/>
    <w:rsid w:val="00C05B21"/>
    <w:rsid w:val="00C123F5"/>
    <w:rsid w:val="00C125D6"/>
    <w:rsid w:val="00C12D2F"/>
    <w:rsid w:val="00C17583"/>
    <w:rsid w:val="00C20497"/>
    <w:rsid w:val="00C20B57"/>
    <w:rsid w:val="00C277A8"/>
    <w:rsid w:val="00C309AE"/>
    <w:rsid w:val="00C30E64"/>
    <w:rsid w:val="00C365CE"/>
    <w:rsid w:val="00C417EB"/>
    <w:rsid w:val="00C43412"/>
    <w:rsid w:val="00C43DC5"/>
    <w:rsid w:val="00C445F9"/>
    <w:rsid w:val="00C45B92"/>
    <w:rsid w:val="00C46E3C"/>
    <w:rsid w:val="00C528AE"/>
    <w:rsid w:val="00C56C7E"/>
    <w:rsid w:val="00C63A66"/>
    <w:rsid w:val="00C67A11"/>
    <w:rsid w:val="00C704E0"/>
    <w:rsid w:val="00C71CF9"/>
    <w:rsid w:val="00C76AED"/>
    <w:rsid w:val="00C77A1E"/>
    <w:rsid w:val="00C80705"/>
    <w:rsid w:val="00C80F03"/>
    <w:rsid w:val="00C85CFF"/>
    <w:rsid w:val="00C85D80"/>
    <w:rsid w:val="00C941BE"/>
    <w:rsid w:val="00CA0FC4"/>
    <w:rsid w:val="00CA18B6"/>
    <w:rsid w:val="00CA3DE9"/>
    <w:rsid w:val="00CA6AE8"/>
    <w:rsid w:val="00CB114B"/>
    <w:rsid w:val="00CB16A2"/>
    <w:rsid w:val="00CC4005"/>
    <w:rsid w:val="00CC69A9"/>
    <w:rsid w:val="00CC6B24"/>
    <w:rsid w:val="00CC740C"/>
    <w:rsid w:val="00CD13F9"/>
    <w:rsid w:val="00CD6180"/>
    <w:rsid w:val="00CD64FE"/>
    <w:rsid w:val="00CE0DF1"/>
    <w:rsid w:val="00CE2F1F"/>
    <w:rsid w:val="00CE45B0"/>
    <w:rsid w:val="00CF37D4"/>
    <w:rsid w:val="00CF5D23"/>
    <w:rsid w:val="00D0014D"/>
    <w:rsid w:val="00D02AF3"/>
    <w:rsid w:val="00D17A05"/>
    <w:rsid w:val="00D17FF6"/>
    <w:rsid w:val="00D22819"/>
    <w:rsid w:val="00D2482A"/>
    <w:rsid w:val="00D266F1"/>
    <w:rsid w:val="00D27007"/>
    <w:rsid w:val="00D317AD"/>
    <w:rsid w:val="00D34B5A"/>
    <w:rsid w:val="00D36E9F"/>
    <w:rsid w:val="00D40820"/>
    <w:rsid w:val="00D44B90"/>
    <w:rsid w:val="00D511F0"/>
    <w:rsid w:val="00D530D2"/>
    <w:rsid w:val="00D54EE5"/>
    <w:rsid w:val="00D62CA8"/>
    <w:rsid w:val="00D63F82"/>
    <w:rsid w:val="00D640FC"/>
    <w:rsid w:val="00D70F7D"/>
    <w:rsid w:val="00D71342"/>
    <w:rsid w:val="00D71E27"/>
    <w:rsid w:val="00D80439"/>
    <w:rsid w:val="00D848B6"/>
    <w:rsid w:val="00D853BD"/>
    <w:rsid w:val="00D86F35"/>
    <w:rsid w:val="00D92929"/>
    <w:rsid w:val="00D93332"/>
    <w:rsid w:val="00D93C2E"/>
    <w:rsid w:val="00D970A5"/>
    <w:rsid w:val="00DA65C3"/>
    <w:rsid w:val="00DA667D"/>
    <w:rsid w:val="00DB4967"/>
    <w:rsid w:val="00DB4BE9"/>
    <w:rsid w:val="00DC22CF"/>
    <w:rsid w:val="00DC2A6D"/>
    <w:rsid w:val="00DC4A64"/>
    <w:rsid w:val="00DC7C55"/>
    <w:rsid w:val="00DD1346"/>
    <w:rsid w:val="00DD41E3"/>
    <w:rsid w:val="00DD7E35"/>
    <w:rsid w:val="00DE0EC9"/>
    <w:rsid w:val="00DE50CB"/>
    <w:rsid w:val="00DF108F"/>
    <w:rsid w:val="00DF6D1E"/>
    <w:rsid w:val="00E02AA1"/>
    <w:rsid w:val="00E0775F"/>
    <w:rsid w:val="00E07A91"/>
    <w:rsid w:val="00E168C9"/>
    <w:rsid w:val="00E17E6C"/>
    <w:rsid w:val="00E206AE"/>
    <w:rsid w:val="00E227E7"/>
    <w:rsid w:val="00E23397"/>
    <w:rsid w:val="00E30A41"/>
    <w:rsid w:val="00E32CD7"/>
    <w:rsid w:val="00E347D7"/>
    <w:rsid w:val="00E37BAB"/>
    <w:rsid w:val="00E413F1"/>
    <w:rsid w:val="00E4365C"/>
    <w:rsid w:val="00E43A15"/>
    <w:rsid w:val="00E44073"/>
    <w:rsid w:val="00E44EE1"/>
    <w:rsid w:val="00E46BEC"/>
    <w:rsid w:val="00E50FB6"/>
    <w:rsid w:val="00E5241D"/>
    <w:rsid w:val="00E5680C"/>
    <w:rsid w:val="00E575BA"/>
    <w:rsid w:val="00E575D6"/>
    <w:rsid w:val="00E61A16"/>
    <w:rsid w:val="00E627C5"/>
    <w:rsid w:val="00E63F1E"/>
    <w:rsid w:val="00E647CA"/>
    <w:rsid w:val="00E65BF4"/>
    <w:rsid w:val="00E66772"/>
    <w:rsid w:val="00E679C9"/>
    <w:rsid w:val="00E72616"/>
    <w:rsid w:val="00E73E91"/>
    <w:rsid w:val="00E76267"/>
    <w:rsid w:val="00E82FCF"/>
    <w:rsid w:val="00E95915"/>
    <w:rsid w:val="00E9619C"/>
    <w:rsid w:val="00E97228"/>
    <w:rsid w:val="00EA535B"/>
    <w:rsid w:val="00EA5BD6"/>
    <w:rsid w:val="00EA6575"/>
    <w:rsid w:val="00EB0DAC"/>
    <w:rsid w:val="00EB28D5"/>
    <w:rsid w:val="00EB6EEA"/>
    <w:rsid w:val="00EC4086"/>
    <w:rsid w:val="00EC579D"/>
    <w:rsid w:val="00ED14C3"/>
    <w:rsid w:val="00ED4B79"/>
    <w:rsid w:val="00ED5BDC"/>
    <w:rsid w:val="00ED7350"/>
    <w:rsid w:val="00ED7DAC"/>
    <w:rsid w:val="00EE0860"/>
    <w:rsid w:val="00EE3506"/>
    <w:rsid w:val="00EE72BD"/>
    <w:rsid w:val="00EF11C7"/>
    <w:rsid w:val="00EF2A2D"/>
    <w:rsid w:val="00EF5459"/>
    <w:rsid w:val="00EF5CF5"/>
    <w:rsid w:val="00F01D76"/>
    <w:rsid w:val="00F03683"/>
    <w:rsid w:val="00F067A6"/>
    <w:rsid w:val="00F13375"/>
    <w:rsid w:val="00F14BD5"/>
    <w:rsid w:val="00F20B25"/>
    <w:rsid w:val="00F21355"/>
    <w:rsid w:val="00F474C5"/>
    <w:rsid w:val="00F55190"/>
    <w:rsid w:val="00F555FE"/>
    <w:rsid w:val="00F57742"/>
    <w:rsid w:val="00F6499F"/>
    <w:rsid w:val="00F66E9E"/>
    <w:rsid w:val="00F70C03"/>
    <w:rsid w:val="00F72477"/>
    <w:rsid w:val="00F767C2"/>
    <w:rsid w:val="00F807DB"/>
    <w:rsid w:val="00F811C6"/>
    <w:rsid w:val="00F82524"/>
    <w:rsid w:val="00F84C6D"/>
    <w:rsid w:val="00F9084A"/>
    <w:rsid w:val="00F97CED"/>
    <w:rsid w:val="00FA0202"/>
    <w:rsid w:val="00FA5432"/>
    <w:rsid w:val="00FA76EF"/>
    <w:rsid w:val="00FB0497"/>
    <w:rsid w:val="00FB1DD1"/>
    <w:rsid w:val="00FB6E40"/>
    <w:rsid w:val="00FC04C9"/>
    <w:rsid w:val="00FC4944"/>
    <w:rsid w:val="00FC5EE4"/>
    <w:rsid w:val="00FD0A23"/>
    <w:rsid w:val="00FD1CCB"/>
    <w:rsid w:val="00FD29C5"/>
    <w:rsid w:val="00FD582E"/>
    <w:rsid w:val="00FD5D81"/>
    <w:rsid w:val="00FE02F9"/>
    <w:rsid w:val="00FE37A2"/>
    <w:rsid w:val="00FF3E1F"/>
    <w:rsid w:val="00FF7EDB"/>
    <w:rsid w:val="00FF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03792706"/>
  <w15:docId w15:val="{CD4BF789-54CF-4483-A664-D6412D28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3"/>
        <w:szCs w:val="24"/>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3986"/>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D5BDC"/>
    <w:pPr>
      <w:keepNext/>
      <w:keepLines/>
      <w:pBdr>
        <w:bottom w:val="single" w:sz="4" w:space="1" w:color="auto"/>
      </w:pBdr>
      <w:tabs>
        <w:tab w:val="left" w:pos="2400"/>
      </w:tabs>
      <w:spacing w:before="240" w:after="240"/>
      <w:outlineLvl w:val="1"/>
    </w:pPr>
    <w:rPr>
      <w:rFonts w:eastAsiaTheme="majorEastAsia" w:cstheme="majorBidi"/>
      <w:b/>
      <w:bCs/>
      <w:color w:val="003865"/>
      <w:sz w:val="32"/>
      <w:szCs w:val="32"/>
    </w:rPr>
  </w:style>
  <w:style w:type="paragraph" w:styleId="Heading3">
    <w:name w:val="heading 3"/>
    <w:next w:val="BodyText"/>
    <w:link w:val="Heading3Char"/>
    <w:uiPriority w:val="1"/>
    <w:qFormat/>
    <w:rsid w:val="00D970A5"/>
    <w:pPr>
      <w:keepNext/>
      <w:tabs>
        <w:tab w:val="left" w:pos="735"/>
      </w:tabs>
      <w:spacing w:before="240" w:after="120"/>
      <w:outlineLvl w:val="2"/>
    </w:pPr>
    <w:rPr>
      <w:rFonts w:eastAsiaTheme="majorEastAsia" w:cs="Arial"/>
      <w:b/>
      <w:color w:val="003865"/>
      <w:sz w:val="24"/>
    </w:rPr>
  </w:style>
  <w:style w:type="paragraph" w:styleId="Heading4">
    <w:name w:val="heading 4"/>
    <w:next w:val="BodyText"/>
    <w:link w:val="Heading4Char"/>
    <w:uiPriority w:val="1"/>
    <w:qFormat/>
    <w:rsid w:val="00ED5BDC"/>
    <w:pPr>
      <w:keepNext/>
      <w:tabs>
        <w:tab w:val="right" w:pos="9360"/>
      </w:tabs>
      <w:spacing w:before="240" w:after="120"/>
      <w:outlineLvl w:val="3"/>
    </w:pPr>
    <w:rPr>
      <w:rFonts w:eastAsiaTheme="majorEastAsia" w:cstheme="majorBidi"/>
      <w:i/>
      <w:sz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F5459"/>
    <w:pPr>
      <w:spacing w:before="200" w:after="200"/>
    </w:pPr>
  </w:style>
  <w:style w:type="character" w:customStyle="1" w:styleId="BodyTextChar">
    <w:name w:val="Body Text Char"/>
    <w:basedOn w:val="DefaultParagraphFont"/>
    <w:link w:val="BodyText"/>
    <w:rsid w:val="00EF5459"/>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uiPriority w:val="1"/>
    <w:rsid w:val="00ED5BDC"/>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D970A5"/>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ED5BDC"/>
    <w:rPr>
      <w:rFonts w:ascii="Calibri" w:eastAsiaTheme="majorEastAsia" w:hAnsi="Calibri" w:cstheme="majorBidi"/>
      <w:i/>
      <w:sz w:val="24"/>
      <w:szCs w:val="24"/>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3"/>
    <w:qFormat/>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714C6"/>
    <w:pPr>
      <w:spacing w:before="0" w:line="240" w:lineRule="auto"/>
    </w:pPr>
    <w:rPr>
      <w:sz w:val="20"/>
    </w:rPr>
  </w:style>
  <w:style w:type="character" w:customStyle="1" w:styleId="FootnoteTextChar">
    <w:name w:val="Footnote Text Char"/>
    <w:basedOn w:val="DefaultParagraphFont"/>
    <w:link w:val="FootnoteText"/>
    <w:semiHidden/>
    <w:rsid w:val="001714C6"/>
    <w:rPr>
      <w:sz w:val="20"/>
    </w:rPr>
  </w:style>
  <w:style w:type="character" w:styleId="Hyperlink">
    <w:name w:val="Hyperlink"/>
    <w:basedOn w:val="DefaultParagraphFont"/>
    <w:uiPriority w:val="99"/>
    <w:rsid w:val="00B95DBB"/>
    <w:rPr>
      <w:color w:val="003865" w:themeColor="accent1"/>
      <w:u w:val="single"/>
    </w:rPr>
  </w:style>
  <w:style w:type="character" w:styleId="IntenseEmphasis">
    <w:name w:val="Intense Emphasis"/>
    <w:basedOn w:val="DefaultParagraphFont"/>
    <w:uiPriority w:val="3"/>
    <w:qFormat/>
    <w:rsid w:val="002F1947"/>
    <w:rPr>
      <w:b/>
      <w:bCs/>
      <w:i/>
      <w:iCs/>
      <w:color w:val="auto"/>
    </w:rPr>
  </w:style>
  <w:style w:type="paragraph" w:styleId="IntenseQuote">
    <w:name w:val="Intense Quote"/>
    <w:basedOn w:val="BodyText"/>
    <w:next w:val="BodyText"/>
    <w:link w:val="IntenseQuoteChar"/>
    <w:uiPriority w:val="3"/>
    <w:qFormat/>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17"/>
      </w:numPr>
      <w:spacing w:before="60"/>
    </w:pPr>
    <w:rPr>
      <w:lang w:bidi="ar-SA"/>
    </w:rPr>
  </w:style>
  <w:style w:type="paragraph" w:customStyle="1" w:styleId="TableFiguretitle">
    <w:name w:val="Table/Figure title"/>
    <w:basedOn w:val="Heading3"/>
    <w:next w:val="Normal"/>
    <w:rsid w:val="001E5ECF"/>
    <w:pPr>
      <w:spacing w:line="240" w:lineRule="auto"/>
      <w:jc w:val="center"/>
    </w:pPr>
    <w:rPr>
      <w:rFonts w:eastAsia="Times New Roman"/>
      <w:b w:val="0"/>
      <w:iCs/>
      <w:szCs w:val="28"/>
    </w:rPr>
  </w:style>
  <w:style w:type="paragraph" w:styleId="Title">
    <w:name w:val="Title"/>
    <w:basedOn w:val="Normal"/>
    <w:next w:val="Normal"/>
    <w:link w:val="TitleChar"/>
    <w:uiPriority w:val="10"/>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qFormat/>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link w:val="ListChar"/>
    <w:qFormat/>
    <w:rsid w:val="0002425B"/>
    <w:pPr>
      <w:numPr>
        <w:numId w:val="24"/>
      </w:numPr>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qFormat/>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basedOn w:val="Normal"/>
    <w:next w:val="Normal"/>
    <w:link w:val="TableH1Char"/>
    <w:uiPriority w:val="3"/>
    <w:qFormat/>
    <w:rsid w:val="00261247"/>
    <w:pPr>
      <w:tabs>
        <w:tab w:val="left" w:pos="360"/>
        <w:tab w:val="left" w:pos="720"/>
      </w:tabs>
      <w:autoSpaceDE w:val="0"/>
      <w:autoSpaceDN w:val="0"/>
      <w:adjustRightInd w:val="0"/>
      <w:spacing w:before="0" w:line="240" w:lineRule="auto"/>
      <w:jc w:val="center"/>
      <w:textAlignment w:val="center"/>
    </w:pPr>
    <w:rPr>
      <w:rFonts w:cs="Arial"/>
      <w:b/>
      <w:bCs/>
      <w:color w:val="000000"/>
      <w:szCs w:val="18"/>
    </w:rPr>
  </w:style>
  <w:style w:type="character" w:customStyle="1" w:styleId="TableH1Char">
    <w:name w:val="Table H1 Char"/>
    <w:basedOn w:val="TablebodytextChar"/>
    <w:link w:val="TableH1"/>
    <w:uiPriority w:val="3"/>
    <w:rsid w:val="00261247"/>
    <w:rPr>
      <w:rFonts w:ascii="Calibri" w:hAnsi="Calibri" w:cs="Arial"/>
      <w:b/>
      <w:bCs/>
      <w:color w:val="000000"/>
      <w:sz w:val="22"/>
      <w:szCs w:val="18"/>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eastAsia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lang w:bidi="ar-SA"/>
    </w:rPr>
  </w:style>
  <w:style w:type="paragraph" w:styleId="ListParagraph">
    <w:name w:val="List Paragraph"/>
    <w:basedOn w:val="Normal"/>
    <w:uiPriority w:val="34"/>
    <w:qFormat/>
    <w:rsid w:val="00D640FC"/>
    <w:pPr>
      <w:ind w:left="720"/>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B95DBB"/>
    <w:rPr>
      <w:color w:val="605E5C"/>
      <w:shd w:val="clear" w:color="auto" w:fill="E1DFDD"/>
    </w:rPr>
  </w:style>
  <w:style w:type="paragraph" w:styleId="TOC3">
    <w:name w:val="toc 3"/>
    <w:basedOn w:val="Normal"/>
    <w:next w:val="Normal"/>
    <w:autoRedefine/>
    <w:uiPriority w:val="39"/>
    <w:unhideWhenUsed/>
    <w:rsid w:val="00FD5D81"/>
    <w:pPr>
      <w:tabs>
        <w:tab w:val="right" w:leader="dot" w:pos="10070"/>
      </w:tabs>
      <w:spacing w:after="100"/>
      <w:ind w:left="460"/>
    </w:pPr>
    <w:rPr>
      <w:rFonts w:eastAsiaTheme="majorEastAsia" w:cs="Arial"/>
      <w:noProof/>
    </w:rPr>
  </w:style>
  <w:style w:type="paragraph" w:styleId="HTMLPreformatted">
    <w:name w:val="HTML Preformatted"/>
    <w:basedOn w:val="Normal"/>
    <w:link w:val="HTMLPreformattedChar"/>
    <w:semiHidden/>
    <w:unhideWhenUsed/>
    <w:rsid w:val="00205958"/>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205958"/>
    <w:rPr>
      <w:rFonts w:ascii="Consolas" w:hAnsi="Consolas"/>
      <w:sz w:val="20"/>
      <w:szCs w:val="20"/>
    </w:rPr>
  </w:style>
  <w:style w:type="character" w:styleId="FollowedHyperlink">
    <w:name w:val="FollowedHyperlink"/>
    <w:basedOn w:val="DefaultParagraphFont"/>
    <w:semiHidden/>
    <w:unhideWhenUsed/>
    <w:rsid w:val="00C45B92"/>
    <w:rPr>
      <w:color w:val="007AA9" w:themeColor="followedHyperlink"/>
      <w:u w:val="single"/>
    </w:rPr>
  </w:style>
  <w:style w:type="paragraph" w:customStyle="1" w:styleId="NumberedList">
    <w:name w:val="Numbered List"/>
    <w:basedOn w:val="List"/>
    <w:link w:val="NumberedListChar"/>
    <w:qFormat/>
    <w:rsid w:val="00A32748"/>
    <w:pPr>
      <w:numPr>
        <w:numId w:val="35"/>
      </w:numPr>
    </w:pPr>
  </w:style>
  <w:style w:type="character" w:customStyle="1" w:styleId="ListChar">
    <w:name w:val="List Char"/>
    <w:basedOn w:val="DefaultParagraphFont"/>
    <w:link w:val="List"/>
    <w:rsid w:val="001113C5"/>
  </w:style>
  <w:style w:type="character" w:customStyle="1" w:styleId="NumberedListChar">
    <w:name w:val="Numbered List Char"/>
    <w:basedOn w:val="ListChar"/>
    <w:link w:val="NumberedList"/>
    <w:rsid w:val="00A32748"/>
  </w:style>
  <w:style w:type="paragraph" w:styleId="Caption">
    <w:name w:val="caption"/>
    <w:basedOn w:val="Normal"/>
    <w:next w:val="Normal"/>
    <w:unhideWhenUsed/>
    <w:qFormat/>
    <w:rsid w:val="00FD29C5"/>
    <w:pPr>
      <w:spacing w:before="0" w:after="200" w:line="240" w:lineRule="auto"/>
    </w:pPr>
    <w:rPr>
      <w:i/>
      <w:iCs/>
      <w:color w:val="00000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97745872">
      <w:bodyDiv w:val="1"/>
      <w:marLeft w:val="0"/>
      <w:marRight w:val="0"/>
      <w:marTop w:val="0"/>
      <w:marBottom w:val="0"/>
      <w:divBdr>
        <w:top w:val="none" w:sz="0" w:space="0" w:color="auto"/>
        <w:left w:val="none" w:sz="0" w:space="0" w:color="auto"/>
        <w:bottom w:val="none" w:sz="0" w:space="0" w:color="auto"/>
        <w:right w:val="none" w:sz="0" w:space="0" w:color="auto"/>
      </w:divBdr>
    </w:div>
    <w:div w:id="485324250">
      <w:bodyDiv w:val="1"/>
      <w:marLeft w:val="0"/>
      <w:marRight w:val="0"/>
      <w:marTop w:val="0"/>
      <w:marBottom w:val="0"/>
      <w:divBdr>
        <w:top w:val="none" w:sz="0" w:space="0" w:color="auto"/>
        <w:left w:val="none" w:sz="0" w:space="0" w:color="auto"/>
        <w:bottom w:val="none" w:sz="0" w:space="0" w:color="auto"/>
        <w:right w:val="none" w:sz="0" w:space="0" w:color="auto"/>
      </w:divBdr>
    </w:div>
    <w:div w:id="502547593">
      <w:bodyDiv w:val="1"/>
      <w:marLeft w:val="0"/>
      <w:marRight w:val="0"/>
      <w:marTop w:val="0"/>
      <w:marBottom w:val="0"/>
      <w:divBdr>
        <w:top w:val="none" w:sz="0" w:space="0" w:color="auto"/>
        <w:left w:val="none" w:sz="0" w:space="0" w:color="auto"/>
        <w:bottom w:val="none" w:sz="0" w:space="0" w:color="auto"/>
        <w:right w:val="none" w:sz="0" w:space="0" w:color="auto"/>
      </w:divBdr>
      <w:divsChild>
        <w:div w:id="2126266543">
          <w:marLeft w:val="360"/>
          <w:marRight w:val="0"/>
          <w:marTop w:val="200"/>
          <w:marBottom w:val="0"/>
          <w:divBdr>
            <w:top w:val="none" w:sz="0" w:space="0" w:color="auto"/>
            <w:left w:val="none" w:sz="0" w:space="0" w:color="auto"/>
            <w:bottom w:val="none" w:sz="0" w:space="0" w:color="auto"/>
            <w:right w:val="none" w:sz="0" w:space="0" w:color="auto"/>
          </w:divBdr>
        </w:div>
      </w:divsChild>
    </w:div>
    <w:div w:id="1532259724">
      <w:bodyDiv w:val="1"/>
      <w:marLeft w:val="0"/>
      <w:marRight w:val="0"/>
      <w:marTop w:val="0"/>
      <w:marBottom w:val="0"/>
      <w:divBdr>
        <w:top w:val="none" w:sz="0" w:space="0" w:color="auto"/>
        <w:left w:val="none" w:sz="0" w:space="0" w:color="auto"/>
        <w:bottom w:val="none" w:sz="0" w:space="0" w:color="auto"/>
        <w:right w:val="none" w:sz="0" w:space="0" w:color="auto"/>
      </w:divBdr>
    </w:div>
    <w:div w:id="1785417397">
      <w:bodyDiv w:val="1"/>
      <w:marLeft w:val="0"/>
      <w:marRight w:val="0"/>
      <w:marTop w:val="0"/>
      <w:marBottom w:val="0"/>
      <w:divBdr>
        <w:top w:val="none" w:sz="0" w:space="0" w:color="auto"/>
        <w:left w:val="none" w:sz="0" w:space="0" w:color="auto"/>
        <w:bottom w:val="none" w:sz="0" w:space="0" w:color="auto"/>
        <w:right w:val="none" w:sz="0" w:space="0" w:color="auto"/>
      </w:divBdr>
    </w:div>
    <w:div w:id="1790322831">
      <w:bodyDiv w:val="1"/>
      <w:marLeft w:val="0"/>
      <w:marRight w:val="0"/>
      <w:marTop w:val="0"/>
      <w:marBottom w:val="0"/>
      <w:divBdr>
        <w:top w:val="none" w:sz="0" w:space="0" w:color="auto"/>
        <w:left w:val="none" w:sz="0" w:space="0" w:color="auto"/>
        <w:bottom w:val="none" w:sz="0" w:space="0" w:color="auto"/>
        <w:right w:val="none" w:sz="0" w:space="0" w:color="auto"/>
      </w:divBdr>
      <w:divsChild>
        <w:div w:id="1605189082">
          <w:marLeft w:val="360"/>
          <w:marRight w:val="0"/>
          <w:marTop w:val="200"/>
          <w:marBottom w:val="0"/>
          <w:divBdr>
            <w:top w:val="none" w:sz="0" w:space="0" w:color="auto"/>
            <w:left w:val="none" w:sz="0" w:space="0" w:color="auto"/>
            <w:bottom w:val="none" w:sz="0" w:space="0" w:color="auto"/>
            <w:right w:val="none" w:sz="0" w:space="0" w:color="auto"/>
          </w:divBdr>
        </w:div>
      </w:divsChild>
    </w:div>
    <w:div w:id="1904757138">
      <w:bodyDiv w:val="1"/>
      <w:marLeft w:val="0"/>
      <w:marRight w:val="0"/>
      <w:marTop w:val="0"/>
      <w:marBottom w:val="0"/>
      <w:divBdr>
        <w:top w:val="none" w:sz="0" w:space="0" w:color="auto"/>
        <w:left w:val="none" w:sz="0" w:space="0" w:color="auto"/>
        <w:bottom w:val="none" w:sz="0" w:space="0" w:color="auto"/>
        <w:right w:val="none" w:sz="0" w:space="0" w:color="auto"/>
      </w:divBdr>
    </w:div>
    <w:div w:id="1998150461">
      <w:bodyDiv w:val="1"/>
      <w:marLeft w:val="0"/>
      <w:marRight w:val="0"/>
      <w:marTop w:val="0"/>
      <w:marBottom w:val="0"/>
      <w:divBdr>
        <w:top w:val="none" w:sz="0" w:space="0" w:color="auto"/>
        <w:left w:val="none" w:sz="0" w:space="0" w:color="auto"/>
        <w:bottom w:val="none" w:sz="0" w:space="0" w:color="auto"/>
        <w:right w:val="none" w:sz="0" w:space="0" w:color="auto"/>
      </w:divBdr>
    </w:div>
    <w:div w:id="214214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n.gov/sentencing-guidelines/assets/2025_Standard_Grid_4A_Minn_Sentencing_Guidelines_Commentary_tcm30-70014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visor.mn.gov/laws/2025/0/35/"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mn.gov/doc/about/legislative-info/task-force-for-mandatory-minimum-senten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visor.mn.gov/statutes/cite/609.1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Forms\2017_State_Brand\MSGC_templates_requiring_Brandon_Grotesque\MSGC-memo-template.dotx" TargetMode="External"/></Relationship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25AA3-1805-43BD-853C-C14EB1BA316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MSGC-memo-template</Template>
  <TotalTime>3</TotalTime>
  <Pages>12</Pages>
  <Words>4811</Words>
  <Characters>30338</Characters>
  <Application>Microsoft Office Word</Application>
  <DocSecurity>8</DocSecurity>
  <Lines>252</Lines>
  <Paragraphs>70</Paragraphs>
  <ScaleCrop>false</ScaleCrop>
  <HeadingPairs>
    <vt:vector size="2" baseType="variant">
      <vt:variant>
        <vt:lpstr>Title</vt:lpstr>
      </vt:variant>
      <vt:variant>
        <vt:i4>1</vt:i4>
      </vt:variant>
    </vt:vector>
  </HeadingPairs>
  <TitlesOfParts>
    <vt:vector size="1" baseType="lpstr">
      <vt:lpstr>MSGC Memorandum</vt:lpstr>
    </vt:vector>
  </TitlesOfParts>
  <Manager/>
  <Company/>
  <LinksUpToDate>false</LinksUpToDate>
  <CharactersWithSpaces>35079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MSGC Memorandum</dc:title>
  <dc:subject>template</dc:subject>
  <dc:creator>Nate Reitz</dc:creator>
  <cp:keywords>Minnesota, Sentencing, Guidelines, MSGC, Memorandum, Memo</cp:keywords>
  <cp:lastModifiedBy>Klick, Donald (DOC)</cp:lastModifiedBy>
  <cp:revision>2</cp:revision>
  <cp:lastPrinted>2026-05-22T21:27:00Z</cp:lastPrinted>
  <dcterms:created xsi:type="dcterms:W3CDTF">2026-06-11T19:32:00Z</dcterms:created>
  <dcterms:modified xsi:type="dcterms:W3CDTF">2026-06-11T19:32:00Z</dcterms:modified>
  <cp:category>template</cp:category>
  <cp:contentStatus>active</cp:contentStatus>
</cp:coreProperties>
</file>