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5FF98" w14:textId="78768EFD" w:rsidR="00E74618" w:rsidRDefault="00317A04">
      <w:pPr>
        <w:rPr>
          <w:b/>
          <w:bCs/>
        </w:rPr>
      </w:pPr>
      <w:r>
        <w:rPr>
          <w:b/>
          <w:bCs/>
        </w:rPr>
        <w:t xml:space="preserve">Comparison of </w:t>
      </w:r>
      <w:r w:rsidR="005F06B3">
        <w:rPr>
          <w:b/>
          <w:bCs/>
        </w:rPr>
        <w:t xml:space="preserve">Key Provisions in the </w:t>
      </w:r>
      <w:r>
        <w:rPr>
          <w:b/>
          <w:bCs/>
        </w:rPr>
        <w:t>Laws Governing Delivery System Transition</w:t>
      </w:r>
    </w:p>
    <w:p w14:paraId="780E0817" w14:textId="77777777" w:rsidR="00317A04" w:rsidRPr="00317A04" w:rsidRDefault="00317A04">
      <w:pPr>
        <w:rPr>
          <w:b/>
          <w:bCs/>
        </w:rPr>
      </w:pPr>
    </w:p>
    <w:tbl>
      <w:tblPr>
        <w:tblStyle w:val="TableGrid"/>
        <w:tblW w:w="0" w:type="auto"/>
        <w:tblLook w:val="04A0" w:firstRow="1" w:lastRow="0" w:firstColumn="1" w:lastColumn="0" w:noHBand="0" w:noVBand="1"/>
      </w:tblPr>
      <w:tblGrid>
        <w:gridCol w:w="2704"/>
        <w:gridCol w:w="2600"/>
        <w:gridCol w:w="2765"/>
        <w:gridCol w:w="2699"/>
        <w:gridCol w:w="2182"/>
      </w:tblGrid>
      <w:tr w:rsidR="00D1443D" w14:paraId="1ED2EC88" w14:textId="312D7AF4" w:rsidTr="00465696">
        <w:trPr>
          <w:cantSplit/>
          <w:tblHeader/>
        </w:trPr>
        <w:tc>
          <w:tcPr>
            <w:tcW w:w="2704" w:type="dxa"/>
            <w:shd w:val="clear" w:color="auto" w:fill="D9D9D9" w:themeFill="background1" w:themeFillShade="D9"/>
          </w:tcPr>
          <w:p w14:paraId="01A2D1A2" w14:textId="77777777" w:rsidR="00D1443D" w:rsidRDefault="00D1443D" w:rsidP="001F7586">
            <w:pPr>
              <w:rPr>
                <w:b/>
                <w:bCs/>
              </w:rPr>
            </w:pPr>
            <w:r>
              <w:rPr>
                <w:b/>
                <w:bCs/>
              </w:rPr>
              <w:t>DOC/CPO to DOC</w:t>
            </w:r>
          </w:p>
          <w:p w14:paraId="7FFACA67" w14:textId="6D3FC060" w:rsidR="00D1443D" w:rsidRPr="001F7586" w:rsidRDefault="00D1443D" w:rsidP="001F7586">
            <w:r>
              <w:t>Minn. Stat. §§ 244.19, subds. 1b(e) and 1e</w:t>
            </w:r>
          </w:p>
        </w:tc>
        <w:tc>
          <w:tcPr>
            <w:tcW w:w="2600" w:type="dxa"/>
            <w:shd w:val="clear" w:color="auto" w:fill="D9D9D9" w:themeFill="background1" w:themeFillShade="D9"/>
          </w:tcPr>
          <w:p w14:paraId="25E552C9" w14:textId="1177DE95" w:rsidR="00D1443D" w:rsidRDefault="00D1443D" w:rsidP="001F7586">
            <w:pPr>
              <w:rPr>
                <w:b/>
                <w:bCs/>
              </w:rPr>
            </w:pPr>
            <w:r>
              <w:rPr>
                <w:b/>
                <w:bCs/>
              </w:rPr>
              <w:t>DOC to DOC/CPO</w:t>
            </w:r>
          </w:p>
          <w:p w14:paraId="5333DD4F" w14:textId="1FF890EF" w:rsidR="00D1443D" w:rsidRPr="001F7586" w:rsidRDefault="00D1443D" w:rsidP="001F7586">
            <w:pPr>
              <w:rPr>
                <w:b/>
                <w:bCs/>
              </w:rPr>
            </w:pPr>
            <w:r>
              <w:t>Minn. Stat. § 244.19, subd. 1b(f)</w:t>
            </w:r>
          </w:p>
        </w:tc>
        <w:tc>
          <w:tcPr>
            <w:tcW w:w="2765" w:type="dxa"/>
            <w:shd w:val="clear" w:color="auto" w:fill="D9D9D9" w:themeFill="background1" w:themeFillShade="D9"/>
          </w:tcPr>
          <w:p w14:paraId="0AC41F02" w14:textId="77777777" w:rsidR="00D1443D" w:rsidRDefault="00D1443D" w:rsidP="001F7586">
            <w:pPr>
              <w:rPr>
                <w:b/>
                <w:bCs/>
              </w:rPr>
            </w:pPr>
            <w:r>
              <w:rPr>
                <w:b/>
                <w:bCs/>
              </w:rPr>
              <w:t>DOC/CPO to CCA</w:t>
            </w:r>
          </w:p>
          <w:p w14:paraId="677EBC7B" w14:textId="0090DC39" w:rsidR="00D1443D" w:rsidRPr="00317A04" w:rsidRDefault="00D1443D" w:rsidP="001F7586">
            <w:r>
              <w:t>Minn. Stat. § 401.04, subd. 2</w:t>
            </w:r>
          </w:p>
        </w:tc>
        <w:tc>
          <w:tcPr>
            <w:tcW w:w="2699" w:type="dxa"/>
            <w:shd w:val="clear" w:color="auto" w:fill="D9D9D9" w:themeFill="background1" w:themeFillShade="D9"/>
          </w:tcPr>
          <w:p w14:paraId="5A479233" w14:textId="77777777" w:rsidR="00892722" w:rsidRDefault="00D1443D" w:rsidP="00892722">
            <w:pPr>
              <w:rPr>
                <w:b/>
                <w:bCs/>
              </w:rPr>
            </w:pPr>
            <w:r>
              <w:rPr>
                <w:b/>
                <w:bCs/>
              </w:rPr>
              <w:t>CCA to DOC</w:t>
            </w:r>
            <w:r w:rsidR="00D11303">
              <w:rPr>
                <w:b/>
                <w:bCs/>
              </w:rPr>
              <w:t xml:space="preserve"> </w:t>
            </w:r>
          </w:p>
          <w:p w14:paraId="07BDFE56" w14:textId="479FD8A8" w:rsidR="00D1443D" w:rsidRPr="00317A04" w:rsidRDefault="00D1443D" w:rsidP="00892722">
            <w:r>
              <w:t>Minn. Stat. § 401.16, subd. 2</w:t>
            </w:r>
          </w:p>
        </w:tc>
        <w:tc>
          <w:tcPr>
            <w:tcW w:w="2182" w:type="dxa"/>
            <w:shd w:val="clear" w:color="auto" w:fill="D9D9D9" w:themeFill="background1" w:themeFillShade="D9"/>
          </w:tcPr>
          <w:p w14:paraId="38D2A33B" w14:textId="2C4C0A49" w:rsidR="00D1443D" w:rsidRDefault="00D1443D" w:rsidP="001F7586">
            <w:pPr>
              <w:rPr>
                <w:b/>
                <w:bCs/>
              </w:rPr>
            </w:pPr>
            <w:r>
              <w:rPr>
                <w:b/>
                <w:bCs/>
              </w:rPr>
              <w:t>Comparison</w:t>
            </w:r>
          </w:p>
        </w:tc>
      </w:tr>
      <w:tr w:rsidR="00D1443D" w14:paraId="4ADA0BC6" w14:textId="03CCD7F1" w:rsidTr="00465696">
        <w:trPr>
          <w:cantSplit/>
        </w:trPr>
        <w:tc>
          <w:tcPr>
            <w:tcW w:w="2704" w:type="dxa"/>
          </w:tcPr>
          <w:p w14:paraId="6DCBEC1F" w14:textId="166E7647" w:rsidR="00D1443D" w:rsidRPr="001F7586" w:rsidRDefault="00D1443D" w:rsidP="001F7586">
            <w:r w:rsidRPr="001F7586">
              <w:t xml:space="preserve"> </w:t>
            </w:r>
            <w:r>
              <w:t>…</w:t>
            </w:r>
            <w:r w:rsidRPr="001F7586">
              <w:t xml:space="preserve">the probation officers and other employees displaced by the changeover must be employed by the commissioner at no loss of salary. Years of service in the county or Tribal probation department are to be given full credit for future sick leave and vacation accrual purposes. </w:t>
            </w:r>
          </w:p>
          <w:p w14:paraId="0E94957D" w14:textId="6A7533F4" w:rsidR="00D1443D" w:rsidRDefault="00D1443D" w:rsidP="001F7586"/>
          <w:p w14:paraId="67758564" w14:textId="2FBB0FD0" w:rsidR="00D1443D" w:rsidRDefault="00D1443D" w:rsidP="001F7586"/>
          <w:p w14:paraId="1CC8D53B" w14:textId="03D666C1" w:rsidR="00D1443D" w:rsidRDefault="00D1443D" w:rsidP="001F7586"/>
        </w:tc>
        <w:tc>
          <w:tcPr>
            <w:tcW w:w="2600" w:type="dxa"/>
          </w:tcPr>
          <w:p w14:paraId="5FA8F845" w14:textId="4EE1D7AE" w:rsidR="00D1443D" w:rsidRDefault="00D1443D" w:rsidP="005F06B3">
            <w:r w:rsidRPr="005F06B3">
              <w:t xml:space="preserve">…the probation officers and other employees displaced by the changeover must be employed by the county or Tribal Nation at no loss of salary. Years of service in the state are to be given full credit for future sick leave and vacation accrual purposes. </w:t>
            </w:r>
          </w:p>
        </w:tc>
        <w:tc>
          <w:tcPr>
            <w:tcW w:w="2765" w:type="dxa"/>
          </w:tcPr>
          <w:p w14:paraId="398D4284" w14:textId="1A48288B" w:rsidR="00D1443D" w:rsidRDefault="00D1443D" w:rsidP="001F7586">
            <w:r w:rsidRPr="005F06B3">
              <w:t>…</w:t>
            </w:r>
            <w:r w:rsidRPr="001F7586">
              <w:t xml:space="preserve">the probation officers and other employees displaced by the changeover must be employed by the county at no loss of salary. Years of service in the state are to be given full credit for future sick leave and vacation accrual purposes. </w:t>
            </w:r>
          </w:p>
          <w:p w14:paraId="312F0E68" w14:textId="77777777" w:rsidR="00D1443D" w:rsidRPr="001F7586" w:rsidRDefault="00D1443D" w:rsidP="001F7586"/>
          <w:p w14:paraId="32AEF997" w14:textId="77777777" w:rsidR="00D1443D" w:rsidRDefault="00D1443D" w:rsidP="001F7586"/>
          <w:p w14:paraId="79D3830D" w14:textId="77777777" w:rsidR="00D1443D" w:rsidRDefault="00D1443D" w:rsidP="001F7586"/>
          <w:p w14:paraId="31A3EE3F" w14:textId="77777777" w:rsidR="00D1443D" w:rsidRDefault="00D1443D" w:rsidP="001F7586"/>
          <w:p w14:paraId="338C928F" w14:textId="56105CA4" w:rsidR="00D1443D" w:rsidRPr="001F7586" w:rsidRDefault="00D1443D" w:rsidP="005F06B3"/>
        </w:tc>
        <w:tc>
          <w:tcPr>
            <w:tcW w:w="2699" w:type="dxa"/>
          </w:tcPr>
          <w:p w14:paraId="6DF75D5F" w14:textId="02A96406" w:rsidR="00D1443D" w:rsidRPr="001F7586" w:rsidRDefault="00D1443D" w:rsidP="001F7586">
            <w:r w:rsidRPr="005F06B3">
              <w:t>…</w:t>
            </w:r>
            <w:r w:rsidRPr="001F7586">
              <w:t xml:space="preserve">the probation officers and other employees displaced by the changeover must be employed by the commissioner at no loss of salary. </w:t>
            </w:r>
            <w:r>
              <w:t>Y</w:t>
            </w:r>
            <w:r w:rsidRPr="001F7586">
              <w:t xml:space="preserve">ears of service in the county probation department are to be given full credit for future sick leave and vacation accrual purposes. </w:t>
            </w:r>
          </w:p>
          <w:p w14:paraId="704965FA" w14:textId="5A4F0EEE" w:rsidR="00D1443D" w:rsidRDefault="00D1443D" w:rsidP="001F7586"/>
        </w:tc>
        <w:tc>
          <w:tcPr>
            <w:tcW w:w="2182" w:type="dxa"/>
            <w:shd w:val="clear" w:color="auto" w:fill="F2F2F2" w:themeFill="background1" w:themeFillShade="F2"/>
          </w:tcPr>
          <w:p w14:paraId="58F4BCF1" w14:textId="77777777" w:rsidR="00D1443D" w:rsidRDefault="00465696" w:rsidP="001F7586">
            <w:pPr>
              <w:rPr>
                <w:shd w:val="clear" w:color="auto" w:fill="F2F2F2" w:themeFill="background1" w:themeFillShade="F2"/>
              </w:rPr>
            </w:pPr>
            <w:r>
              <w:rPr>
                <w:shd w:val="clear" w:color="auto" w:fill="F2F2F2" w:themeFill="background1" w:themeFillShade="F2"/>
              </w:rPr>
              <w:t>All four statutes require:</w:t>
            </w:r>
          </w:p>
          <w:p w14:paraId="1EC87D67" w14:textId="77777777" w:rsidR="00465696" w:rsidRDefault="00465696" w:rsidP="00465696">
            <w:pPr>
              <w:pStyle w:val="ListParagraph"/>
              <w:numPr>
                <w:ilvl w:val="0"/>
                <w:numId w:val="1"/>
              </w:numPr>
              <w:ind w:hanging="262"/>
            </w:pPr>
            <w:r>
              <w:t xml:space="preserve">Displaced employees must be hired </w:t>
            </w:r>
          </w:p>
          <w:p w14:paraId="59385811" w14:textId="4F52072A" w:rsidR="00465696" w:rsidRDefault="00465696" w:rsidP="00465696">
            <w:pPr>
              <w:pStyle w:val="ListParagraph"/>
              <w:numPr>
                <w:ilvl w:val="0"/>
                <w:numId w:val="1"/>
              </w:numPr>
              <w:ind w:hanging="262"/>
            </w:pPr>
            <w:r>
              <w:t>Employment must be at no loss of salary</w:t>
            </w:r>
          </w:p>
          <w:p w14:paraId="6484F34B" w14:textId="6B08D6FD" w:rsidR="00465696" w:rsidRPr="005F06B3" w:rsidRDefault="00465696" w:rsidP="00465696">
            <w:pPr>
              <w:pStyle w:val="ListParagraph"/>
              <w:numPr>
                <w:ilvl w:val="0"/>
                <w:numId w:val="1"/>
              </w:numPr>
              <w:ind w:hanging="262"/>
            </w:pPr>
            <w:r>
              <w:t>Employees must be given credit for years of service for sick leave and vacation accrual purposes</w:t>
            </w:r>
          </w:p>
        </w:tc>
      </w:tr>
      <w:tr w:rsidR="00D1443D" w14:paraId="4C60ECFE" w14:textId="77777777" w:rsidTr="00465696">
        <w:trPr>
          <w:cantSplit/>
        </w:trPr>
        <w:tc>
          <w:tcPr>
            <w:tcW w:w="2704" w:type="dxa"/>
          </w:tcPr>
          <w:p w14:paraId="09CFFB7E" w14:textId="77777777" w:rsidR="00D1443D" w:rsidRDefault="00D1443D" w:rsidP="00D1443D">
            <w:r w:rsidRPr="001F7586">
              <w:lastRenderedPageBreak/>
              <w:t xml:space="preserve">The commissioner of management and budget must place employees transferred to state service under subdivision 1b, paragraph (e), in the proper classifications in the classified service. </w:t>
            </w:r>
          </w:p>
          <w:p w14:paraId="0AEFCD05" w14:textId="77777777" w:rsidR="00D1443D" w:rsidRPr="001F7586" w:rsidRDefault="00D1443D" w:rsidP="00D1443D"/>
          <w:p w14:paraId="7BAD4678" w14:textId="77777777" w:rsidR="00D1443D" w:rsidRPr="001F7586" w:rsidRDefault="00D1443D" w:rsidP="00D1443D"/>
        </w:tc>
        <w:tc>
          <w:tcPr>
            <w:tcW w:w="2600" w:type="dxa"/>
          </w:tcPr>
          <w:p w14:paraId="41756D51" w14:textId="5C4406E6" w:rsidR="00D1443D" w:rsidRPr="005F06B3" w:rsidRDefault="00D1443D" w:rsidP="00D1443D">
            <w:r>
              <w:t>No similar provision</w:t>
            </w:r>
          </w:p>
        </w:tc>
        <w:tc>
          <w:tcPr>
            <w:tcW w:w="2765" w:type="dxa"/>
          </w:tcPr>
          <w:p w14:paraId="20CEB893" w14:textId="77777777" w:rsidR="00D1443D" w:rsidRDefault="00D1443D" w:rsidP="00D1443D">
            <w:r w:rsidRPr="005F06B3">
              <w:t>…</w:t>
            </w:r>
            <w:r w:rsidRPr="001F7586">
              <w:t xml:space="preserve">employment must, to the extent possible and notwithstanding any other law to the contrary, be deemed a transfer in grade with all of the benefits enjoyed by the officer or employee while in the service of the state or local correctional service. </w:t>
            </w:r>
          </w:p>
          <w:p w14:paraId="50EFA2DA" w14:textId="77777777" w:rsidR="00D1443D" w:rsidRPr="005F06B3" w:rsidRDefault="00D1443D" w:rsidP="00D1443D"/>
        </w:tc>
        <w:tc>
          <w:tcPr>
            <w:tcW w:w="2699" w:type="dxa"/>
          </w:tcPr>
          <w:p w14:paraId="14476AA7" w14:textId="27B4194B" w:rsidR="00D1443D" w:rsidRPr="005F06B3" w:rsidRDefault="00D1443D" w:rsidP="00D1443D">
            <w:r>
              <w:t>No similar provision</w:t>
            </w:r>
          </w:p>
        </w:tc>
        <w:tc>
          <w:tcPr>
            <w:tcW w:w="2182" w:type="dxa"/>
            <w:shd w:val="clear" w:color="auto" w:fill="F2F2F2" w:themeFill="background1" w:themeFillShade="F2"/>
          </w:tcPr>
          <w:p w14:paraId="5FEFDFB4" w14:textId="77777777" w:rsidR="00D1443D" w:rsidRDefault="00D1443D" w:rsidP="00D1443D">
            <w:r>
              <w:t xml:space="preserve">Two statutes require that the employee be hired into a similar position. </w:t>
            </w:r>
          </w:p>
          <w:p w14:paraId="32563360" w14:textId="77777777" w:rsidR="00D1443D" w:rsidRDefault="00D1443D" w:rsidP="00D1443D"/>
          <w:p w14:paraId="12D339E6" w14:textId="093479B3" w:rsidR="00D1443D" w:rsidRDefault="00D1443D" w:rsidP="00D1443D">
            <w:r>
              <w:t>Two statutes are silent on the matter.</w:t>
            </w:r>
          </w:p>
        </w:tc>
      </w:tr>
      <w:tr w:rsidR="00D1443D" w14:paraId="0923073B" w14:textId="77777777" w:rsidTr="00465696">
        <w:trPr>
          <w:cantSplit/>
        </w:trPr>
        <w:tc>
          <w:tcPr>
            <w:tcW w:w="2704" w:type="dxa"/>
          </w:tcPr>
          <w:p w14:paraId="6CEE63F8" w14:textId="16CDECFB" w:rsidR="00D1443D" w:rsidRPr="001F7586" w:rsidRDefault="00D1443D" w:rsidP="00D1443D">
            <w:r w:rsidRPr="001F7586">
              <w:lastRenderedPageBreak/>
              <w:t>Each employee is appointed without examination at no loss in salary or accrued vacation or sick leave benefits, but no additional accrual of vacation or sick leave benefits may occur until the employee's</w:t>
            </w:r>
            <w:r w:rsidRPr="001F7586">
              <w:rPr>
                <w:u w:val="single"/>
              </w:rPr>
              <w:t xml:space="preserve"> </w:t>
            </w:r>
            <w:r w:rsidRPr="001F7586">
              <w:t>total accrued vacation or sick leave benefits fall below the maximum permitted by the state for the employee's position.</w:t>
            </w:r>
          </w:p>
        </w:tc>
        <w:tc>
          <w:tcPr>
            <w:tcW w:w="2600" w:type="dxa"/>
          </w:tcPr>
          <w:p w14:paraId="107E07F9" w14:textId="3E353E9F" w:rsidR="00D1443D" w:rsidRDefault="00D1443D" w:rsidP="00D1443D">
            <w:r>
              <w:t>No similar provision</w:t>
            </w:r>
          </w:p>
        </w:tc>
        <w:tc>
          <w:tcPr>
            <w:tcW w:w="2765" w:type="dxa"/>
          </w:tcPr>
          <w:p w14:paraId="46F7CFC0" w14:textId="77777777" w:rsidR="00D1443D" w:rsidRPr="001F7586" w:rsidRDefault="00D1443D" w:rsidP="00D1443D">
            <w:r w:rsidRPr="001F7586">
              <w:t xml:space="preserve">State or local officers and employees displaced by a county's participation in the Community Corrections Act and hired by the participating county retain all fringe benefits and recall from layoff benefits accrued by seniority and enjoyed by them while in the service of the state. </w:t>
            </w:r>
          </w:p>
          <w:p w14:paraId="4E049E11" w14:textId="77777777" w:rsidR="00D1443D" w:rsidRPr="005F06B3" w:rsidRDefault="00D1443D" w:rsidP="00D1443D"/>
        </w:tc>
        <w:tc>
          <w:tcPr>
            <w:tcW w:w="2699" w:type="dxa"/>
          </w:tcPr>
          <w:p w14:paraId="2230DE60" w14:textId="545A9D26" w:rsidR="00D1443D" w:rsidRDefault="00D1443D" w:rsidP="00D1443D">
            <w:r>
              <w:t>No similar provision</w:t>
            </w:r>
          </w:p>
        </w:tc>
        <w:tc>
          <w:tcPr>
            <w:tcW w:w="2182" w:type="dxa"/>
            <w:shd w:val="clear" w:color="auto" w:fill="F2F2F2" w:themeFill="background1" w:themeFillShade="F2"/>
          </w:tcPr>
          <w:p w14:paraId="58550E47" w14:textId="5DE3AAA5" w:rsidR="00D1443D" w:rsidRDefault="00AC7265" w:rsidP="00D1443D">
            <w:r>
              <w:t>One statute states that the employee must be appointed without a loss in salary or accrued vacation or sick leave benefits.</w:t>
            </w:r>
          </w:p>
          <w:p w14:paraId="08EECD4B" w14:textId="77777777" w:rsidR="00AC7265" w:rsidRDefault="00AC7265" w:rsidP="00D1443D"/>
          <w:p w14:paraId="35A5E441" w14:textId="77777777" w:rsidR="00AC7265" w:rsidRDefault="00AC7265" w:rsidP="00D1443D">
            <w:r>
              <w:t xml:space="preserve">One statute states that the employee must retain all fringe benefits and recall from layoff benefits accrued from seniority. </w:t>
            </w:r>
          </w:p>
          <w:p w14:paraId="7D4C011C" w14:textId="77777777" w:rsidR="00AC7265" w:rsidRDefault="00AC7265" w:rsidP="00D1443D"/>
          <w:p w14:paraId="47CFC771" w14:textId="140EEB3A" w:rsidR="00AC7265" w:rsidRDefault="00AC7265" w:rsidP="00D1443D">
            <w:r>
              <w:t xml:space="preserve">The other two statutes are silent. </w:t>
            </w:r>
          </w:p>
        </w:tc>
      </w:tr>
      <w:tr w:rsidR="00D1443D" w14:paraId="210939C1" w14:textId="5B766DAB" w:rsidTr="00465696">
        <w:trPr>
          <w:cantSplit/>
        </w:trPr>
        <w:tc>
          <w:tcPr>
            <w:tcW w:w="2704" w:type="dxa"/>
          </w:tcPr>
          <w:p w14:paraId="63152604" w14:textId="10D93777" w:rsidR="00D1443D" w:rsidRPr="001F7586" w:rsidRDefault="00AC7265" w:rsidP="00D1443D">
            <w:r>
              <w:lastRenderedPageBreak/>
              <w:t>No similar provision.</w:t>
            </w:r>
          </w:p>
        </w:tc>
        <w:tc>
          <w:tcPr>
            <w:tcW w:w="2600" w:type="dxa"/>
          </w:tcPr>
          <w:p w14:paraId="3D605EBD" w14:textId="7A12D197" w:rsidR="00D1443D" w:rsidRPr="005F06B3" w:rsidRDefault="00AC7265" w:rsidP="00D1443D">
            <w:r>
              <w:t>No similar provision.</w:t>
            </w:r>
          </w:p>
        </w:tc>
        <w:tc>
          <w:tcPr>
            <w:tcW w:w="2765" w:type="dxa"/>
          </w:tcPr>
          <w:p w14:paraId="4813E148" w14:textId="77777777" w:rsidR="00D1443D" w:rsidRDefault="00D1443D" w:rsidP="00D1443D">
            <w:r w:rsidRPr="001F7586">
              <w:t xml:space="preserve">State or local employees displaced by county participation in the subsidy program are on layoff status and, if not hired by a participating county as provided under this subdivision, may exercise their rights </w:t>
            </w:r>
          </w:p>
          <w:p w14:paraId="3DB66F28" w14:textId="77777777" w:rsidR="00D1443D" w:rsidRPr="001F7586" w:rsidRDefault="00D1443D" w:rsidP="00D1443D">
            <w:r w:rsidRPr="001F7586">
              <w:t xml:space="preserve">under layoff procedures established by law or collective-bargaining agreement, whichever is applicable. </w:t>
            </w:r>
          </w:p>
          <w:p w14:paraId="1AD32FDE" w14:textId="77777777" w:rsidR="00D1443D" w:rsidRDefault="00D1443D" w:rsidP="00D1443D"/>
          <w:p w14:paraId="351F5918" w14:textId="77777777" w:rsidR="00D1443D" w:rsidRPr="005F06B3" w:rsidRDefault="00D1443D" w:rsidP="00D1443D"/>
        </w:tc>
        <w:tc>
          <w:tcPr>
            <w:tcW w:w="2699" w:type="dxa"/>
          </w:tcPr>
          <w:p w14:paraId="0EA9BECB" w14:textId="370477E6" w:rsidR="00D1443D" w:rsidRPr="005F06B3" w:rsidRDefault="00AC7265" w:rsidP="00D1443D">
            <w:r>
              <w:t xml:space="preserve">No similar provision. </w:t>
            </w:r>
          </w:p>
        </w:tc>
        <w:tc>
          <w:tcPr>
            <w:tcW w:w="2182" w:type="dxa"/>
            <w:shd w:val="clear" w:color="auto" w:fill="F2F2F2" w:themeFill="background1" w:themeFillShade="F2"/>
          </w:tcPr>
          <w:p w14:paraId="7ECC1349" w14:textId="6A104B83" w:rsidR="00D1443D" w:rsidRDefault="00AC7265" w:rsidP="00D1443D">
            <w:r>
              <w:t xml:space="preserve">One statute includes a statement about employees being on layoff status and able to exercise those rights if not hired by the county. </w:t>
            </w:r>
          </w:p>
          <w:p w14:paraId="66F317FC" w14:textId="77777777" w:rsidR="00AC7265" w:rsidRDefault="00AC7265" w:rsidP="00D1443D"/>
          <w:p w14:paraId="695A28C3" w14:textId="63E4B4F9" w:rsidR="00AC7265" w:rsidRPr="005F06B3" w:rsidRDefault="00AC7265" w:rsidP="00D1443D">
            <w:r>
              <w:t xml:space="preserve">The other statutes are silent. </w:t>
            </w:r>
          </w:p>
        </w:tc>
      </w:tr>
      <w:tr w:rsidR="00D1443D" w14:paraId="0B4FFDF2" w14:textId="77777777" w:rsidTr="00465696">
        <w:trPr>
          <w:cantSplit/>
        </w:trPr>
        <w:tc>
          <w:tcPr>
            <w:tcW w:w="2704" w:type="dxa"/>
          </w:tcPr>
          <w:p w14:paraId="7B41AEC6" w14:textId="77777777" w:rsidR="00AC7265" w:rsidRDefault="00AC7265" w:rsidP="00AC7265">
            <w:r w:rsidRPr="001F7586">
              <w:t xml:space="preserve">An employee appointed under subdivision 1b, paragraph (e), must serve a six-month probationary period. </w:t>
            </w:r>
          </w:p>
          <w:p w14:paraId="52621D50" w14:textId="77777777" w:rsidR="00D1443D" w:rsidRPr="001F7586" w:rsidRDefault="00D1443D" w:rsidP="00D1443D"/>
        </w:tc>
        <w:tc>
          <w:tcPr>
            <w:tcW w:w="2600" w:type="dxa"/>
          </w:tcPr>
          <w:p w14:paraId="190B70B0" w14:textId="14DBB650" w:rsidR="00D1443D" w:rsidRPr="005F06B3" w:rsidRDefault="00AC7265" w:rsidP="00D1443D">
            <w:r>
              <w:t>No similar provision.</w:t>
            </w:r>
          </w:p>
        </w:tc>
        <w:tc>
          <w:tcPr>
            <w:tcW w:w="2765" w:type="dxa"/>
          </w:tcPr>
          <w:p w14:paraId="66EED59E" w14:textId="0443515F" w:rsidR="00D1443D" w:rsidRPr="005F06B3" w:rsidRDefault="00AC7265" w:rsidP="00D1443D">
            <w:r>
              <w:t>No similar provision</w:t>
            </w:r>
          </w:p>
        </w:tc>
        <w:tc>
          <w:tcPr>
            <w:tcW w:w="2699" w:type="dxa"/>
          </w:tcPr>
          <w:p w14:paraId="73860BC0" w14:textId="036ACFA6" w:rsidR="00D1443D" w:rsidRPr="005F06B3" w:rsidRDefault="00AC7265" w:rsidP="00D1443D">
            <w:r>
              <w:t xml:space="preserve">No similar provision. </w:t>
            </w:r>
          </w:p>
        </w:tc>
        <w:tc>
          <w:tcPr>
            <w:tcW w:w="2182" w:type="dxa"/>
            <w:shd w:val="clear" w:color="auto" w:fill="F2F2F2" w:themeFill="background1" w:themeFillShade="F2"/>
          </w:tcPr>
          <w:p w14:paraId="3B7EF244" w14:textId="77777777" w:rsidR="00D1443D" w:rsidRDefault="00AC7265" w:rsidP="00D1443D">
            <w:r>
              <w:t xml:space="preserve">Just one statute requires the employee to serve a probationary period. </w:t>
            </w:r>
          </w:p>
          <w:p w14:paraId="5894E9B9" w14:textId="77777777" w:rsidR="00AC7265" w:rsidRDefault="00AC7265" w:rsidP="00D1443D"/>
          <w:p w14:paraId="787DC087" w14:textId="2B53DBEB" w:rsidR="00AC7265" w:rsidRPr="005F06B3" w:rsidRDefault="00AC7265" w:rsidP="00D1443D">
            <w:r>
              <w:t xml:space="preserve">The other statutes are silent. </w:t>
            </w:r>
          </w:p>
        </w:tc>
      </w:tr>
      <w:tr w:rsidR="00D1443D" w14:paraId="4B8D3E97" w14:textId="77777777" w:rsidTr="00465696">
        <w:trPr>
          <w:cantSplit/>
        </w:trPr>
        <w:tc>
          <w:tcPr>
            <w:tcW w:w="2704" w:type="dxa"/>
          </w:tcPr>
          <w:p w14:paraId="53E46320" w14:textId="7BBBA899" w:rsidR="00D1443D" w:rsidRDefault="00D1443D" w:rsidP="00D1443D">
            <w:r w:rsidRPr="005F06B3">
              <w:lastRenderedPageBreak/>
              <w:t>The state must negotiate the employees' seniority with the exclusive representative for the bargaining unit to which the employees are transferred</w:t>
            </w:r>
            <w:r w:rsidRPr="001F7586">
              <w:t xml:space="preserve">. For purposes of computing seniority among those employees transferring from one county unit only, </w:t>
            </w:r>
            <w:r w:rsidRPr="005F06B3">
              <w:t>a transferred employee retains the same seniority position as the employee had within that county's probation office.</w:t>
            </w:r>
          </w:p>
          <w:p w14:paraId="35FF2D2E" w14:textId="77777777" w:rsidR="00D1443D" w:rsidRPr="001F7586" w:rsidRDefault="00D1443D" w:rsidP="00D1443D"/>
        </w:tc>
        <w:tc>
          <w:tcPr>
            <w:tcW w:w="2600" w:type="dxa"/>
          </w:tcPr>
          <w:p w14:paraId="19750160" w14:textId="562E9043" w:rsidR="00D1443D" w:rsidRPr="005F06B3" w:rsidRDefault="00465696" w:rsidP="00D1443D">
            <w:r>
              <w:t>No similar provision.</w:t>
            </w:r>
          </w:p>
        </w:tc>
        <w:tc>
          <w:tcPr>
            <w:tcW w:w="2765" w:type="dxa"/>
          </w:tcPr>
          <w:p w14:paraId="38C2742D" w14:textId="33323326" w:rsidR="00D1443D" w:rsidRPr="005F06B3" w:rsidRDefault="00465696" w:rsidP="00D1443D">
            <w:r>
              <w:t xml:space="preserve">No similar provision. </w:t>
            </w:r>
          </w:p>
        </w:tc>
        <w:tc>
          <w:tcPr>
            <w:tcW w:w="2699" w:type="dxa"/>
          </w:tcPr>
          <w:p w14:paraId="16EFB3F3" w14:textId="57AE5638" w:rsidR="00D1443D" w:rsidRPr="005F06B3" w:rsidRDefault="00465696" w:rsidP="00D1443D">
            <w:r>
              <w:t xml:space="preserve">No similar provision. </w:t>
            </w:r>
          </w:p>
        </w:tc>
        <w:tc>
          <w:tcPr>
            <w:tcW w:w="2182" w:type="dxa"/>
            <w:shd w:val="clear" w:color="auto" w:fill="F2F2F2" w:themeFill="background1" w:themeFillShade="F2"/>
          </w:tcPr>
          <w:p w14:paraId="4EE4B4AD" w14:textId="414ECD00" w:rsidR="00465696" w:rsidRDefault="00465696" w:rsidP="00D1443D">
            <w:r>
              <w:t xml:space="preserve">Just one statute requires negotiation around the employee’s seniority. </w:t>
            </w:r>
          </w:p>
          <w:p w14:paraId="4E366935" w14:textId="77777777" w:rsidR="00465696" w:rsidRDefault="00465696" w:rsidP="00D1443D"/>
          <w:p w14:paraId="04D71D57" w14:textId="36F41E2D" w:rsidR="00D1443D" w:rsidRPr="005F06B3" w:rsidRDefault="00465696" w:rsidP="00D1443D">
            <w:r>
              <w:t xml:space="preserve">The other statutes are silent. </w:t>
            </w:r>
          </w:p>
        </w:tc>
      </w:tr>
    </w:tbl>
    <w:p w14:paraId="45DD82BF" w14:textId="77777777" w:rsidR="001F7586" w:rsidRDefault="001F7586"/>
    <w:sectPr w:rsidR="001F7586" w:rsidSect="001F7586">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B7BA5"/>
    <w:multiLevelType w:val="hybridMultilevel"/>
    <w:tmpl w:val="844E12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0737452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586"/>
    <w:rsid w:val="00062693"/>
    <w:rsid w:val="001F7586"/>
    <w:rsid w:val="00317A04"/>
    <w:rsid w:val="00465696"/>
    <w:rsid w:val="00560A0C"/>
    <w:rsid w:val="005F06B3"/>
    <w:rsid w:val="00892722"/>
    <w:rsid w:val="009728BF"/>
    <w:rsid w:val="00AC7265"/>
    <w:rsid w:val="00C33BEE"/>
    <w:rsid w:val="00D11303"/>
    <w:rsid w:val="00D1443D"/>
    <w:rsid w:val="00E74618"/>
    <w:rsid w:val="00ED4D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87804"/>
  <w15:chartTrackingRefBased/>
  <w15:docId w15:val="{B31B89EE-C39D-499A-BCD6-173E99AD7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75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75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758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75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75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758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758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758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758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75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75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75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75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75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75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75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75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7586"/>
    <w:rPr>
      <w:rFonts w:eastAsiaTheme="majorEastAsia" w:cstheme="majorBidi"/>
      <w:color w:val="272727" w:themeColor="text1" w:themeTint="D8"/>
    </w:rPr>
  </w:style>
  <w:style w:type="paragraph" w:styleId="Title">
    <w:name w:val="Title"/>
    <w:basedOn w:val="Normal"/>
    <w:next w:val="Normal"/>
    <w:link w:val="TitleChar"/>
    <w:uiPriority w:val="10"/>
    <w:qFormat/>
    <w:rsid w:val="001F758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75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758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75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758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F7586"/>
    <w:rPr>
      <w:i/>
      <w:iCs/>
      <w:color w:val="404040" w:themeColor="text1" w:themeTint="BF"/>
    </w:rPr>
  </w:style>
  <w:style w:type="paragraph" w:styleId="ListParagraph">
    <w:name w:val="List Paragraph"/>
    <w:basedOn w:val="Normal"/>
    <w:uiPriority w:val="34"/>
    <w:qFormat/>
    <w:rsid w:val="001F7586"/>
    <w:pPr>
      <w:ind w:left="720"/>
      <w:contextualSpacing/>
    </w:pPr>
  </w:style>
  <w:style w:type="character" w:styleId="IntenseEmphasis">
    <w:name w:val="Intense Emphasis"/>
    <w:basedOn w:val="DefaultParagraphFont"/>
    <w:uiPriority w:val="21"/>
    <w:qFormat/>
    <w:rsid w:val="001F7586"/>
    <w:rPr>
      <w:i/>
      <w:iCs/>
      <w:color w:val="0F4761" w:themeColor="accent1" w:themeShade="BF"/>
    </w:rPr>
  </w:style>
  <w:style w:type="paragraph" w:styleId="IntenseQuote">
    <w:name w:val="Intense Quote"/>
    <w:basedOn w:val="Normal"/>
    <w:next w:val="Normal"/>
    <w:link w:val="IntenseQuoteChar"/>
    <w:uiPriority w:val="30"/>
    <w:qFormat/>
    <w:rsid w:val="001F75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7586"/>
    <w:rPr>
      <w:i/>
      <w:iCs/>
      <w:color w:val="0F4761" w:themeColor="accent1" w:themeShade="BF"/>
    </w:rPr>
  </w:style>
  <w:style w:type="character" w:styleId="IntenseReference">
    <w:name w:val="Intense Reference"/>
    <w:basedOn w:val="DefaultParagraphFont"/>
    <w:uiPriority w:val="32"/>
    <w:qFormat/>
    <w:rsid w:val="001F7586"/>
    <w:rPr>
      <w:b/>
      <w:bCs/>
      <w:smallCaps/>
      <w:color w:val="0F4761" w:themeColor="accent1" w:themeShade="BF"/>
      <w:spacing w:val="5"/>
    </w:rPr>
  </w:style>
  <w:style w:type="table" w:styleId="TableGrid">
    <w:name w:val="Table Grid"/>
    <w:basedOn w:val="TableNormal"/>
    <w:uiPriority w:val="39"/>
    <w:rsid w:val="001F75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661</Words>
  <Characters>3770</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State of MN</Company>
  <LinksUpToDate>false</LinksUpToDate>
  <CharactersWithSpaces>4423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Mitchell, Kelly (DOC)</dc:creator>
  <cp:keywords/>
  <dc:description/>
  <cp:lastModifiedBy>Kaiser, Anna (She/Her/Hers) (DOC)</cp:lastModifiedBy>
  <cp:revision>2</cp:revision>
  <dcterms:created xsi:type="dcterms:W3CDTF">2026-08-07T18:21:00Z</dcterms:created>
  <dcterms:modified xsi:type="dcterms:W3CDTF">2026-08-07T18:21:00Z</dcterms:modified>
</cp:coreProperties>
</file>