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2F581" w14:textId="6B2F5637" w:rsidR="003C25DD" w:rsidRPr="003C25DD" w:rsidRDefault="003C25DD" w:rsidP="003C25DD">
      <w:pPr>
        <w:pStyle w:val="paragraph"/>
        <w:spacing w:before="0" w:beforeAutospacing="0" w:after="0" w:afterAutospacing="0"/>
        <w:textAlignment w:val="baseline"/>
        <w:rPr>
          <w:rFonts w:ascii="Segoe UI" w:hAnsi="Segoe UI" w:cs="Segoe UI"/>
          <w:sz w:val="18"/>
          <w:szCs w:val="18"/>
        </w:rPr>
      </w:pPr>
      <w:bookmarkStart w:id="0" w:name="_Hlk58224408"/>
      <w:r w:rsidRPr="000A13DE">
        <w:rPr>
          <w:rFonts w:asciiTheme="majorHAnsi" w:hAnsiTheme="majorHAnsi" w:cstheme="majorBidi"/>
          <w:b/>
          <w:color w:val="002060"/>
          <w:szCs w:val="26"/>
        </w:rPr>
        <w:t>EQUAL OPPORTUNITY</w:t>
      </w:r>
    </w:p>
    <w:p w14:paraId="69614CB3" w14:textId="77777777" w:rsidR="003C25DD" w:rsidRPr="000A13DE" w:rsidRDefault="003C25DD" w:rsidP="003C25DD">
      <w:pPr>
        <w:shd w:val="clear" w:color="auto" w:fill="FFFFFF" w:themeFill="background1"/>
        <w:spacing w:after="0" w:line="240" w:lineRule="auto"/>
        <w:textAlignment w:val="top"/>
        <w:outlineLvl w:val="2"/>
        <w:rPr>
          <w:rFonts w:ascii="Arial" w:eastAsia="Times New Roman" w:hAnsi="Arial" w:cs="Arial"/>
          <w:color w:val="505175"/>
          <w:sz w:val="27"/>
          <w:szCs w:val="27"/>
        </w:rPr>
      </w:pPr>
    </w:p>
    <w:p w14:paraId="54C84C03" w14:textId="77777777" w:rsidR="003C25DD" w:rsidRPr="000A13DE" w:rsidRDefault="003C25DD" w:rsidP="003C25DD">
      <w:pPr>
        <w:keepNext/>
        <w:keepLines/>
        <w:tabs>
          <w:tab w:val="left" w:pos="3345"/>
        </w:tabs>
        <w:spacing w:before="240" w:after="120" w:line="271" w:lineRule="auto"/>
        <w:outlineLvl w:val="0"/>
        <w:rPr>
          <w:rFonts w:ascii="Calibri" w:hAnsi="Calibri"/>
          <w:b/>
          <w:color w:val="003865"/>
          <w:sz w:val="36"/>
          <w:szCs w:val="48"/>
        </w:rPr>
      </w:pPr>
      <w:r w:rsidRPr="000A13DE">
        <w:rPr>
          <w:rFonts w:ascii="Calibri" w:hAnsi="Calibri"/>
          <w:b/>
          <w:color w:val="003865"/>
          <w:sz w:val="36"/>
          <w:szCs w:val="48"/>
        </w:rPr>
        <w:t>Chapter 6.1: Corrective Actions and Sanctions (29 CFR 38.52)</w:t>
      </w:r>
    </w:p>
    <w:p w14:paraId="2318F8E4" w14:textId="77777777" w:rsidR="003C25DD" w:rsidRPr="000A13DE" w:rsidRDefault="003C25DD" w:rsidP="003C25DD">
      <w:pPr>
        <w:shd w:val="clear" w:color="auto" w:fill="FFFFFF"/>
        <w:spacing w:before="100" w:beforeAutospacing="1" w:after="100" w:afterAutospacing="1" w:line="270" w:lineRule="atLeast"/>
        <w:textAlignment w:val="top"/>
        <w:rPr>
          <w:sz w:val="24"/>
        </w:rPr>
      </w:pPr>
      <w:r w:rsidRPr="000A13DE">
        <w:rPr>
          <w:rFonts w:eastAsiaTheme="majorEastAsia" w:cstheme="majorBidi"/>
          <w:b/>
          <w:color w:val="1F3763" w:themeColor="accent1" w:themeShade="7F"/>
          <w:sz w:val="24"/>
          <w:szCs w:val="24"/>
        </w:rPr>
        <w:t>Summary</w:t>
      </w:r>
      <w:r w:rsidRPr="000A13DE">
        <w:rPr>
          <w:sz w:val="24"/>
        </w:rPr>
        <w:br/>
        <w:t>This chapter identifies DEED’s compliance with Element 6 of the Nondiscrimination Plan which requires that recipients of Workforce Innovation and Opportunity Act (WIOA) Title I funds establish procedures for carrying out corrective actions and applying sanctions, if needed, to ensure that recipients are complying and will continue to comply with the requirements of 29 CFR 38.52.</w:t>
      </w:r>
    </w:p>
    <w:p w14:paraId="10110897" w14:textId="77777777" w:rsidR="003C25DD" w:rsidRPr="000A13DE" w:rsidRDefault="003C25DD" w:rsidP="003C25DD">
      <w:pPr>
        <w:shd w:val="clear" w:color="auto" w:fill="FFFFFF"/>
        <w:spacing w:before="100" w:beforeAutospacing="1" w:after="100" w:afterAutospacing="1" w:line="270" w:lineRule="atLeast"/>
        <w:textAlignment w:val="top"/>
        <w:rPr>
          <w:sz w:val="24"/>
        </w:rPr>
      </w:pPr>
      <w:r w:rsidRPr="000A13DE">
        <w:rPr>
          <w:rFonts w:eastAsiaTheme="majorEastAsia" w:cstheme="majorBidi"/>
          <w:b/>
          <w:color w:val="1F3763" w:themeColor="accent1" w:themeShade="7F"/>
          <w:sz w:val="24"/>
          <w:szCs w:val="24"/>
        </w:rPr>
        <w:t>Relevant Laws, Rules, or Policies</w:t>
      </w:r>
      <w:r w:rsidRPr="000A13DE">
        <w:rPr>
          <w:sz w:val="24"/>
        </w:rPr>
        <w:br/>
      </w:r>
      <w:hyperlink r:id="rId11">
        <w:r w:rsidRPr="000A13DE">
          <w:rPr>
            <w:sz w:val="24"/>
          </w:rPr>
          <w:t>WIOA Section 188 (29 CFR 38)</w:t>
        </w:r>
      </w:hyperlink>
    </w:p>
    <w:p w14:paraId="78834073" w14:textId="77777777" w:rsidR="003C25DD" w:rsidRPr="000A13DE" w:rsidRDefault="003C25DD" w:rsidP="003C25DD">
      <w:pPr>
        <w:shd w:val="clear" w:color="auto" w:fill="FFFFFF" w:themeFill="background1"/>
        <w:spacing w:before="100" w:beforeAutospacing="1" w:after="100" w:afterAutospacing="1" w:line="270" w:lineRule="atLeast"/>
        <w:textAlignment w:val="top"/>
        <w:rPr>
          <w:sz w:val="24"/>
        </w:rPr>
      </w:pPr>
      <w:r w:rsidRPr="000A13DE">
        <w:rPr>
          <w:rFonts w:eastAsiaTheme="majorEastAsia" w:cstheme="majorBidi"/>
          <w:b/>
          <w:color w:val="1F3763" w:themeColor="accent1" w:themeShade="7F"/>
          <w:sz w:val="24"/>
          <w:szCs w:val="24"/>
        </w:rPr>
        <w:t>Effective Date</w:t>
      </w:r>
      <w:r w:rsidRPr="000A13DE">
        <w:rPr>
          <w:sz w:val="24"/>
        </w:rPr>
        <w:br/>
        <w:t xml:space="preserve">January 2, 2017 </w:t>
      </w:r>
    </w:p>
    <w:p w14:paraId="5E4C7370" w14:textId="77777777" w:rsidR="003C25DD" w:rsidRPr="000A13DE" w:rsidRDefault="003C25DD" w:rsidP="003C25DD">
      <w:pPr>
        <w:shd w:val="clear" w:color="auto" w:fill="FFFFFF" w:themeFill="background1"/>
        <w:spacing w:before="100" w:beforeAutospacing="1" w:after="100" w:afterAutospacing="1" w:line="270" w:lineRule="atLeast"/>
        <w:textAlignment w:val="top"/>
        <w:rPr>
          <w:rFonts w:eastAsiaTheme="majorEastAsia" w:cstheme="majorBidi"/>
          <w:b/>
          <w:color w:val="1F3763" w:themeColor="accent1" w:themeShade="7F"/>
          <w:sz w:val="24"/>
          <w:szCs w:val="24"/>
        </w:rPr>
      </w:pPr>
      <w:r w:rsidRPr="000A13DE">
        <w:rPr>
          <w:rFonts w:eastAsiaTheme="majorEastAsia" w:cstheme="majorBidi"/>
          <w:b/>
          <w:color w:val="1F3763" w:themeColor="accent1" w:themeShade="7F"/>
          <w:sz w:val="24"/>
          <w:szCs w:val="24"/>
        </w:rPr>
        <w:t>Last Updated</w:t>
      </w:r>
      <w:r w:rsidRPr="000A13DE">
        <w:rPr>
          <w:sz w:val="24"/>
        </w:rPr>
        <w:br/>
        <w:t>November 1, 2022</w:t>
      </w:r>
    </w:p>
    <w:p w14:paraId="35F56CAD" w14:textId="77777777" w:rsidR="003C25DD" w:rsidRPr="000A13DE" w:rsidRDefault="003C25DD" w:rsidP="003C25DD">
      <w:pPr>
        <w:shd w:val="clear" w:color="auto" w:fill="FFFFFF"/>
        <w:spacing w:before="100" w:beforeAutospacing="1" w:after="100" w:afterAutospacing="1" w:line="270" w:lineRule="atLeast"/>
        <w:textAlignment w:val="top"/>
        <w:rPr>
          <w:sz w:val="24"/>
        </w:rPr>
      </w:pPr>
      <w:r w:rsidRPr="000A13DE">
        <w:rPr>
          <w:rFonts w:eastAsiaTheme="majorEastAsia" w:cstheme="majorBidi"/>
          <w:b/>
          <w:color w:val="1F3763" w:themeColor="accent1" w:themeShade="7F"/>
          <w:sz w:val="24"/>
          <w:szCs w:val="24"/>
        </w:rPr>
        <w:t>Contact</w:t>
      </w:r>
      <w:r w:rsidRPr="000A13DE">
        <w:rPr>
          <w:sz w:val="24"/>
        </w:rPr>
        <w:br/>
        <w:t xml:space="preserve">Heather Stein, </w:t>
      </w:r>
      <w:hyperlink r:id="rId12" w:history="1">
        <w:r w:rsidRPr="000A13DE">
          <w:rPr>
            <w:sz w:val="24"/>
          </w:rPr>
          <w:t>Heather.Stein@state.mn.us</w:t>
        </w:r>
      </w:hyperlink>
      <w:r w:rsidRPr="000A13DE">
        <w:rPr>
          <w:sz w:val="24"/>
        </w:rPr>
        <w:br/>
        <w:t>Tel 651.259.7097</w:t>
      </w:r>
      <w:r w:rsidRPr="000A13DE">
        <w:rPr>
          <w:sz w:val="24"/>
        </w:rPr>
        <w:br/>
        <w:t>Fax 651.297.5343</w:t>
      </w:r>
    </w:p>
    <w:p w14:paraId="2356EC49" w14:textId="77777777" w:rsidR="003C25DD" w:rsidRPr="000A13DE" w:rsidRDefault="003C25DD" w:rsidP="003C25DD">
      <w:pPr>
        <w:keepNext/>
        <w:keepLines/>
        <w:spacing w:before="40" w:after="0"/>
        <w:outlineLvl w:val="2"/>
        <w:rPr>
          <w:rFonts w:eastAsia="Times New Roman" w:cstheme="majorBidi"/>
          <w:b/>
          <w:color w:val="1F3763" w:themeColor="accent1" w:themeShade="7F"/>
          <w:sz w:val="24"/>
          <w:szCs w:val="24"/>
        </w:rPr>
      </w:pPr>
      <w:r w:rsidRPr="000A13DE">
        <w:rPr>
          <w:rFonts w:eastAsia="Times New Roman" w:cstheme="majorBidi"/>
          <w:b/>
          <w:color w:val="1F3763" w:themeColor="accent1" w:themeShade="7F"/>
          <w:sz w:val="24"/>
          <w:szCs w:val="24"/>
        </w:rPr>
        <w:t>Policy</w:t>
      </w:r>
    </w:p>
    <w:p w14:paraId="58B37247" w14:textId="77777777" w:rsidR="003C25DD" w:rsidRPr="000A13DE" w:rsidRDefault="003C25DD" w:rsidP="003C25DD">
      <w:pPr>
        <w:rPr>
          <w:sz w:val="24"/>
        </w:rPr>
      </w:pPr>
      <w:r w:rsidRPr="000A13DE">
        <w:rPr>
          <w:sz w:val="24"/>
        </w:rPr>
        <w:t xml:space="preserve">The State of Minnesota and its Department of Employment and Economic Development (DEED) are committed to nondiscrimination as recipients of WIOA Title I federal financial funding. </w:t>
      </w:r>
      <w:proofErr w:type="gramStart"/>
      <w:r w:rsidRPr="000A13DE">
        <w:rPr>
          <w:sz w:val="24"/>
        </w:rPr>
        <w:t>WIOA Title</w:t>
      </w:r>
      <w:proofErr w:type="gramEnd"/>
      <w:r w:rsidRPr="000A13DE">
        <w:rPr>
          <w:sz w:val="24"/>
        </w:rPr>
        <w:t xml:space="preserve"> I program providers who violate their prescribed equal opportunity procedures, who do not comply with WIOA Final Rules and Regulations (29 CFR 38), or who are otherwise in violation of equal opportunity requirements, will be required to submit a written corrective action plan within thirty (30) days after a determination that there is reasonable cause to believe a violation has occurred. If necessary, if the recipient fails or refuses to correct a violation, sanctions may be imposed to ensure the resolution of any non-compliance. To the extent that corrective action is not completed, and compliance has not been achieved, DEED may impose sanctions that could include the suspension, termination, denial, or discontinuance of WIOA Title I financial assistance, in whole or in part.</w:t>
      </w:r>
    </w:p>
    <w:p w14:paraId="7733EBC0" w14:textId="77777777" w:rsidR="003C25DD" w:rsidRPr="000A13DE" w:rsidRDefault="003C25DD" w:rsidP="003C25DD">
      <w:pPr>
        <w:keepNext/>
        <w:keepLines/>
        <w:spacing w:before="40" w:after="0"/>
        <w:outlineLvl w:val="2"/>
        <w:rPr>
          <w:rFonts w:eastAsia="Times New Roman" w:cstheme="majorBidi"/>
          <w:b/>
          <w:color w:val="1F3763" w:themeColor="accent1" w:themeShade="7F"/>
          <w:sz w:val="24"/>
          <w:szCs w:val="24"/>
        </w:rPr>
      </w:pPr>
      <w:r w:rsidRPr="000A13DE">
        <w:rPr>
          <w:rFonts w:eastAsia="Times New Roman" w:cstheme="majorBidi"/>
          <w:b/>
          <w:color w:val="1F3763" w:themeColor="accent1" w:themeShade="7F"/>
          <w:sz w:val="24"/>
          <w:szCs w:val="24"/>
        </w:rPr>
        <w:t>Responsibilities</w:t>
      </w:r>
    </w:p>
    <w:p w14:paraId="1DE81C6A" w14:textId="77777777" w:rsidR="003C25DD" w:rsidRPr="000A13DE" w:rsidRDefault="003C25DD" w:rsidP="003C25DD">
      <w:pPr>
        <w:rPr>
          <w:sz w:val="24"/>
        </w:rPr>
      </w:pPr>
      <w:r w:rsidRPr="000A13DE">
        <w:rPr>
          <w:sz w:val="24"/>
        </w:rPr>
        <w:t xml:space="preserve">DEED’s Employment &amp; Training Programs (ETP) division, in consultation with DEED’s Office of Diversity and Equal Opportunity (ODEO), provides oversight as it relates to WIOA Title I program providers and equal opportunity procedures within the Local Service Employment and </w:t>
      </w:r>
      <w:r w:rsidRPr="000A13DE">
        <w:rPr>
          <w:sz w:val="24"/>
        </w:rPr>
        <w:lastRenderedPageBreak/>
        <w:t>Training Plan. Recipients of WIOA funding are responsible for actions taken, directly or indirectly, by service providers. It is expected that recipients will monitor their service providers and request corrective and remedial actions to correct any violations or deficiencies of WIOA Section 188 and 29 CFR 38. Recipients of WIOA funding must:</w:t>
      </w:r>
    </w:p>
    <w:p w14:paraId="6C96C521" w14:textId="77777777" w:rsidR="003C25DD" w:rsidRPr="000A13DE" w:rsidRDefault="003C25DD" w:rsidP="003C25DD">
      <w:pPr>
        <w:numPr>
          <w:ilvl w:val="0"/>
          <w:numId w:val="45"/>
        </w:numPr>
        <w:contextualSpacing/>
        <w:rPr>
          <w:sz w:val="24"/>
        </w:rPr>
      </w:pPr>
      <w:r w:rsidRPr="000A13DE">
        <w:rPr>
          <w:sz w:val="24"/>
        </w:rPr>
        <w:t>Establish and implement procedures for resolving compliance problems either by achieving voluntary compliance or by imposing sanctions for violations that are not voluntarily corrected.</w:t>
      </w:r>
    </w:p>
    <w:p w14:paraId="6F156CC9" w14:textId="77777777" w:rsidR="003C25DD" w:rsidRPr="000A13DE" w:rsidRDefault="003C25DD" w:rsidP="003C25DD">
      <w:pPr>
        <w:numPr>
          <w:ilvl w:val="0"/>
          <w:numId w:val="45"/>
        </w:numPr>
        <w:contextualSpacing/>
        <w:rPr>
          <w:sz w:val="24"/>
        </w:rPr>
      </w:pPr>
      <w:r w:rsidRPr="000A13DE">
        <w:rPr>
          <w:sz w:val="24"/>
        </w:rPr>
        <w:t>Institute follow-up monitoring procedures to ensure that commitments to take corrective and remedial action are being fulfilled.</w:t>
      </w:r>
    </w:p>
    <w:p w14:paraId="23FB4725" w14:textId="77777777" w:rsidR="003C25DD" w:rsidRPr="000A13DE" w:rsidRDefault="003C25DD" w:rsidP="003C25DD">
      <w:pPr>
        <w:numPr>
          <w:ilvl w:val="0"/>
          <w:numId w:val="45"/>
        </w:numPr>
        <w:contextualSpacing/>
        <w:rPr>
          <w:sz w:val="24"/>
        </w:rPr>
      </w:pPr>
      <w:r w:rsidRPr="000A13DE">
        <w:rPr>
          <w:sz w:val="24"/>
        </w:rPr>
        <w:t>Periodically review EO policies and the rate at which they serve significant population segments to ensure compliance with WIOA Title I Section 188.</w:t>
      </w:r>
    </w:p>
    <w:p w14:paraId="79E50E1C" w14:textId="77777777" w:rsidR="003C25DD" w:rsidRPr="000A13DE" w:rsidRDefault="003C25DD" w:rsidP="003C25DD">
      <w:pPr>
        <w:rPr>
          <w:sz w:val="24"/>
        </w:rPr>
      </w:pPr>
      <w:r w:rsidRPr="000A13DE">
        <w:rPr>
          <w:sz w:val="24"/>
        </w:rPr>
        <w:t>Remedial action can include either:</w:t>
      </w:r>
    </w:p>
    <w:p w14:paraId="635B46CD" w14:textId="77777777" w:rsidR="003C25DD" w:rsidRPr="000A13DE" w:rsidRDefault="003C25DD" w:rsidP="003C25DD">
      <w:pPr>
        <w:numPr>
          <w:ilvl w:val="0"/>
          <w:numId w:val="46"/>
        </w:numPr>
        <w:contextualSpacing/>
        <w:rPr>
          <w:sz w:val="24"/>
        </w:rPr>
      </w:pPr>
      <w:r w:rsidRPr="000A13DE">
        <w:rPr>
          <w:sz w:val="24"/>
        </w:rPr>
        <w:t>Retroactive relief (e.g., back pay, front pay, retroactive benefits, training, any service discriminatorily denied, etc.</w:t>
      </w:r>
      <w:proofErr w:type="gramStart"/>
      <w:r w:rsidRPr="000A13DE">
        <w:rPr>
          <w:sz w:val="24"/>
        </w:rPr>
        <w:t>);</w:t>
      </w:r>
      <w:proofErr w:type="gramEnd"/>
    </w:p>
    <w:p w14:paraId="3FB7FF6A" w14:textId="77777777" w:rsidR="003C25DD" w:rsidRPr="000A13DE" w:rsidRDefault="003C25DD" w:rsidP="003C25DD">
      <w:pPr>
        <w:numPr>
          <w:ilvl w:val="0"/>
          <w:numId w:val="46"/>
        </w:numPr>
        <w:contextualSpacing/>
        <w:rPr>
          <w:sz w:val="24"/>
        </w:rPr>
      </w:pPr>
      <w:r w:rsidRPr="000A13DE">
        <w:rPr>
          <w:sz w:val="24"/>
        </w:rPr>
        <w:t>Prospective relief (</w:t>
      </w:r>
      <w:proofErr w:type="gramStart"/>
      <w:r w:rsidRPr="000A13DE">
        <w:rPr>
          <w:sz w:val="24"/>
        </w:rPr>
        <w:t>e.g.</w:t>
      </w:r>
      <w:proofErr w:type="gramEnd"/>
      <w:r w:rsidRPr="000A13DE">
        <w:rPr>
          <w:sz w:val="24"/>
        </w:rPr>
        <w:t xml:space="preserve"> change of policy, training, development of new policy, training on policy, communication);</w:t>
      </w:r>
    </w:p>
    <w:p w14:paraId="10CE504A" w14:textId="77777777" w:rsidR="003C25DD" w:rsidRPr="000A13DE" w:rsidRDefault="003C25DD" w:rsidP="003C25DD">
      <w:pPr>
        <w:numPr>
          <w:ilvl w:val="0"/>
          <w:numId w:val="46"/>
        </w:numPr>
        <w:contextualSpacing/>
        <w:rPr>
          <w:sz w:val="24"/>
        </w:rPr>
      </w:pPr>
      <w:r w:rsidRPr="000A13DE">
        <w:rPr>
          <w:sz w:val="24"/>
        </w:rPr>
        <w:t>or both.</w:t>
      </w:r>
    </w:p>
    <w:p w14:paraId="55EAE4FF" w14:textId="77777777" w:rsidR="003C25DD" w:rsidRPr="000A13DE" w:rsidRDefault="003C25DD" w:rsidP="003C25DD">
      <w:pPr>
        <w:rPr>
          <w:sz w:val="24"/>
        </w:rPr>
      </w:pPr>
      <w:r w:rsidRPr="000A13DE">
        <w:rPr>
          <w:i/>
          <w:iCs/>
          <w:sz w:val="24"/>
        </w:rPr>
        <w:t>Note:</w:t>
      </w:r>
      <w:r w:rsidRPr="000A13DE">
        <w:rPr>
          <w:sz w:val="24"/>
        </w:rPr>
        <w:t xml:space="preserve"> Any monetary relief cannot be paid from federal funds.</w:t>
      </w:r>
    </w:p>
    <w:p w14:paraId="2F5FFABB" w14:textId="77777777" w:rsidR="003C25DD" w:rsidRPr="000A13DE" w:rsidRDefault="003C25DD" w:rsidP="003C25DD">
      <w:pPr>
        <w:rPr>
          <w:sz w:val="24"/>
        </w:rPr>
      </w:pPr>
      <w:r w:rsidRPr="000A13DE">
        <w:rPr>
          <w:sz w:val="24"/>
        </w:rPr>
        <w:t>Taking corrective action requires identifying the violations(s) that must be corrected:</w:t>
      </w:r>
    </w:p>
    <w:p w14:paraId="1022A796" w14:textId="77777777" w:rsidR="003C25DD" w:rsidRPr="000A13DE" w:rsidRDefault="003C25DD" w:rsidP="003C25DD">
      <w:pPr>
        <w:numPr>
          <w:ilvl w:val="0"/>
          <w:numId w:val="47"/>
        </w:numPr>
        <w:contextualSpacing/>
        <w:rPr>
          <w:sz w:val="24"/>
        </w:rPr>
      </w:pPr>
      <w:r w:rsidRPr="000A13DE">
        <w:rPr>
          <w:sz w:val="24"/>
        </w:rPr>
        <w:t>Technical violations (such as a failure to include the required language in assurances or failure to include tag lines in a communication).</w:t>
      </w:r>
    </w:p>
    <w:p w14:paraId="1C83DC31" w14:textId="77777777" w:rsidR="003C25DD" w:rsidRPr="000A13DE" w:rsidRDefault="003C25DD" w:rsidP="003C25DD">
      <w:pPr>
        <w:numPr>
          <w:ilvl w:val="0"/>
          <w:numId w:val="47"/>
        </w:numPr>
        <w:contextualSpacing/>
        <w:rPr>
          <w:sz w:val="24"/>
        </w:rPr>
      </w:pPr>
      <w:r w:rsidRPr="000A13DE">
        <w:rPr>
          <w:sz w:val="24"/>
        </w:rPr>
        <w:t>Discrimination violations (include findings of disparate treatment, disparate impact, and failure to provide reasonable accommodations).</w:t>
      </w:r>
    </w:p>
    <w:p w14:paraId="09A30E35" w14:textId="77777777" w:rsidR="003C25DD" w:rsidRPr="000A13DE" w:rsidRDefault="003C25DD" w:rsidP="003C25DD">
      <w:pPr>
        <w:keepNext/>
        <w:keepLines/>
        <w:spacing w:before="40" w:after="0"/>
        <w:outlineLvl w:val="2"/>
        <w:rPr>
          <w:rFonts w:eastAsia="Times New Roman" w:cstheme="majorBidi"/>
          <w:b/>
          <w:color w:val="1F3763" w:themeColor="accent1" w:themeShade="7F"/>
          <w:sz w:val="24"/>
          <w:szCs w:val="24"/>
        </w:rPr>
      </w:pPr>
      <w:r w:rsidRPr="000A13DE">
        <w:rPr>
          <w:rFonts w:eastAsia="Times New Roman" w:cstheme="majorBidi"/>
          <w:b/>
          <w:color w:val="1F3763" w:themeColor="accent1" w:themeShade="7F"/>
          <w:sz w:val="24"/>
          <w:szCs w:val="24"/>
        </w:rPr>
        <w:t>Procedures</w:t>
      </w:r>
    </w:p>
    <w:p w14:paraId="4F64C8E4" w14:textId="77777777" w:rsidR="003C25DD" w:rsidRPr="000A13DE" w:rsidRDefault="003C25DD" w:rsidP="003C25DD">
      <w:pPr>
        <w:rPr>
          <w:sz w:val="24"/>
        </w:rPr>
      </w:pPr>
      <w:r w:rsidRPr="000A13DE">
        <w:rPr>
          <w:i/>
          <w:iCs/>
          <w:sz w:val="24"/>
        </w:rPr>
        <w:t>Corrective action</w:t>
      </w:r>
      <w:r w:rsidRPr="000A13DE">
        <w:rPr>
          <w:sz w:val="24"/>
        </w:rPr>
        <w:t xml:space="preserve"> is required from a recipient when there is probable cause to believe a violation of the nondiscrimination and equal opportunity requirements of WIOA section 188 has occurred. Corrective actions and sanctions intend to guarantee equal access to all programs, activities, and employment opportunities provided by WIOA financially assisted organizations and to ensure that discrimination does not recur.</w:t>
      </w:r>
    </w:p>
    <w:p w14:paraId="687BB129" w14:textId="77777777" w:rsidR="003C25DD" w:rsidRPr="000A13DE" w:rsidRDefault="003C25DD" w:rsidP="003C25DD">
      <w:pPr>
        <w:rPr>
          <w:sz w:val="24"/>
        </w:rPr>
      </w:pPr>
      <w:r w:rsidRPr="000A13DE">
        <w:rPr>
          <w:sz w:val="24"/>
        </w:rPr>
        <w:t>A WIOA Title I program provider that violates Equal Opportunity requirements is required to submit a corrective action plan in writing within thirty (30) days to DEED. If corrective action plans are not submitted to DEED within that time frame, staff will provide technical assistance. However, if within sixty (60) days, an acceptable plan has not been submitted to the State, or if the corrective action has not been voluntarily completed, DEED will sanction funds.</w:t>
      </w:r>
    </w:p>
    <w:p w14:paraId="6C486608" w14:textId="77777777" w:rsidR="003C25DD" w:rsidRPr="000A13DE" w:rsidRDefault="003C25DD" w:rsidP="003C25DD">
      <w:pPr>
        <w:rPr>
          <w:sz w:val="24"/>
        </w:rPr>
      </w:pPr>
      <w:r w:rsidRPr="000A13DE">
        <w:rPr>
          <w:sz w:val="24"/>
        </w:rPr>
        <w:t>Corrective action requirements:</w:t>
      </w:r>
    </w:p>
    <w:p w14:paraId="307F2F94" w14:textId="77777777" w:rsidR="003C25DD" w:rsidRPr="000A13DE" w:rsidRDefault="003C25DD" w:rsidP="003C25DD">
      <w:pPr>
        <w:numPr>
          <w:ilvl w:val="0"/>
          <w:numId w:val="48"/>
        </w:numPr>
        <w:contextualSpacing/>
        <w:rPr>
          <w:sz w:val="24"/>
        </w:rPr>
      </w:pPr>
      <w:r w:rsidRPr="000A13DE">
        <w:rPr>
          <w:sz w:val="24"/>
        </w:rPr>
        <w:t xml:space="preserve">Must be designed to completely correct each </w:t>
      </w:r>
      <w:proofErr w:type="gramStart"/>
      <w:r w:rsidRPr="000A13DE">
        <w:rPr>
          <w:sz w:val="24"/>
        </w:rPr>
        <w:t>violation;</w:t>
      </w:r>
      <w:proofErr w:type="gramEnd"/>
    </w:p>
    <w:p w14:paraId="1A50FF2F" w14:textId="77777777" w:rsidR="003C25DD" w:rsidRPr="000A13DE" w:rsidRDefault="003C25DD" w:rsidP="003C25DD">
      <w:pPr>
        <w:numPr>
          <w:ilvl w:val="0"/>
          <w:numId w:val="48"/>
        </w:numPr>
        <w:contextualSpacing/>
        <w:rPr>
          <w:sz w:val="24"/>
        </w:rPr>
      </w:pPr>
      <w:r w:rsidRPr="000A13DE">
        <w:rPr>
          <w:sz w:val="24"/>
        </w:rPr>
        <w:lastRenderedPageBreak/>
        <w:t>Should be appropriate and reasonable given the violation(s) that occurred (such as re-issuing the communication in question with a tagline included).</w:t>
      </w:r>
    </w:p>
    <w:p w14:paraId="305A6D51" w14:textId="77777777" w:rsidR="003C25DD" w:rsidRPr="000A13DE" w:rsidRDefault="003C25DD" w:rsidP="003C25DD">
      <w:pPr>
        <w:numPr>
          <w:ilvl w:val="0"/>
          <w:numId w:val="48"/>
        </w:numPr>
        <w:contextualSpacing/>
        <w:rPr>
          <w:sz w:val="24"/>
        </w:rPr>
      </w:pPr>
      <w:r w:rsidRPr="000A13DE">
        <w:rPr>
          <w:sz w:val="24"/>
        </w:rPr>
        <w:t>Establish a time frame that sets the minimum time necessary to completely correct the violation.</w:t>
      </w:r>
    </w:p>
    <w:p w14:paraId="18207B98" w14:textId="77777777" w:rsidR="003C25DD" w:rsidRPr="000A13DE" w:rsidRDefault="003C25DD" w:rsidP="003C25DD">
      <w:pPr>
        <w:numPr>
          <w:ilvl w:val="0"/>
          <w:numId w:val="48"/>
        </w:numPr>
        <w:contextualSpacing/>
        <w:rPr>
          <w:sz w:val="24"/>
        </w:rPr>
      </w:pPr>
      <w:r w:rsidRPr="000A13DE">
        <w:rPr>
          <w:sz w:val="24"/>
        </w:rPr>
        <w:t>Follow-up monitoring procedures to ensure that commitments to take corrective and remedial action are being fulfilled.</w:t>
      </w:r>
    </w:p>
    <w:p w14:paraId="31322E6B" w14:textId="77777777" w:rsidR="003C25DD" w:rsidRPr="000A13DE" w:rsidRDefault="003C25DD" w:rsidP="003C25DD">
      <w:pPr>
        <w:rPr>
          <w:sz w:val="24"/>
        </w:rPr>
      </w:pPr>
      <w:r w:rsidRPr="000A13DE">
        <w:rPr>
          <w:sz w:val="24"/>
        </w:rPr>
        <w:t>To correct a </w:t>
      </w:r>
      <w:r w:rsidRPr="000A13DE">
        <w:rPr>
          <w:i/>
          <w:iCs/>
          <w:sz w:val="24"/>
        </w:rPr>
        <w:t>discrimination violation</w:t>
      </w:r>
      <w:r w:rsidRPr="000A13DE">
        <w:rPr>
          <w:sz w:val="24"/>
        </w:rPr>
        <w:t>, appropriate corrective action may be to provide “make-whole” relief, that is, bringing the person to the condition he or she would be in if the discrimination had not occurred. Such relief might involve retroactive relief (including but not limited to back pay and benefits), and prospective relief (e.g., front pay, training, policy development, communication, or any service discriminately denied).</w:t>
      </w:r>
    </w:p>
    <w:p w14:paraId="6D2B7B30" w14:textId="77777777" w:rsidR="003C25DD" w:rsidRPr="000A13DE" w:rsidRDefault="003C25DD" w:rsidP="003C25DD">
      <w:pPr>
        <w:rPr>
          <w:sz w:val="24"/>
        </w:rPr>
      </w:pPr>
      <w:r w:rsidRPr="000A13DE">
        <w:rPr>
          <w:sz w:val="24"/>
        </w:rPr>
        <w:t>Documentation that corrective actions and prospective relief plans are being implemented and maintained is required. A written agreement or assurance should be provided to document the corrective action taken and the prospective relief that is planned where a technical violation has been (or can be) corrected immediately.</w:t>
      </w:r>
    </w:p>
    <w:p w14:paraId="3821C2BF" w14:textId="77777777" w:rsidR="003C25DD" w:rsidRPr="000A13DE" w:rsidRDefault="003C25DD" w:rsidP="003C25DD">
      <w:pPr>
        <w:rPr>
          <w:sz w:val="24"/>
        </w:rPr>
      </w:pPr>
      <w:r w:rsidRPr="000A13DE">
        <w:rPr>
          <w:sz w:val="24"/>
        </w:rPr>
        <w:t>Retroactive relief: to include but not limited to back pay, front pay, retroactive benefits, training, and any service discriminatorily denied. Note: Any monetary relief cannot be paid from federal funds.</w:t>
      </w:r>
    </w:p>
    <w:p w14:paraId="0238D8DB" w14:textId="77777777" w:rsidR="003C25DD" w:rsidRPr="000A13DE" w:rsidRDefault="003C25DD" w:rsidP="003C25DD">
      <w:pPr>
        <w:rPr>
          <w:sz w:val="24"/>
        </w:rPr>
      </w:pPr>
      <w:r w:rsidRPr="000A13DE">
        <w:rPr>
          <w:sz w:val="24"/>
        </w:rPr>
        <w:t>Prospective relief: curative and preventive steps voluntarily taken to ensure that a violation does not re-occur in the future. It may occur by:</w:t>
      </w:r>
    </w:p>
    <w:p w14:paraId="59E3F743" w14:textId="77777777" w:rsidR="003C25DD" w:rsidRPr="000A13DE" w:rsidRDefault="003C25DD" w:rsidP="003C25DD">
      <w:pPr>
        <w:numPr>
          <w:ilvl w:val="0"/>
          <w:numId w:val="49"/>
        </w:numPr>
        <w:contextualSpacing/>
        <w:rPr>
          <w:sz w:val="24"/>
        </w:rPr>
      </w:pPr>
      <w:r w:rsidRPr="000A13DE">
        <w:rPr>
          <w:sz w:val="24"/>
        </w:rPr>
        <w:t xml:space="preserve">Changing policy, practice, or procedure that allowed for the </w:t>
      </w:r>
      <w:proofErr w:type="gramStart"/>
      <w:r w:rsidRPr="000A13DE">
        <w:rPr>
          <w:sz w:val="24"/>
        </w:rPr>
        <w:t>violation;</w:t>
      </w:r>
      <w:proofErr w:type="gramEnd"/>
    </w:p>
    <w:p w14:paraId="1991BDE8" w14:textId="77777777" w:rsidR="003C25DD" w:rsidRPr="000A13DE" w:rsidRDefault="003C25DD" w:rsidP="003C25DD">
      <w:pPr>
        <w:numPr>
          <w:ilvl w:val="0"/>
          <w:numId w:val="49"/>
        </w:numPr>
        <w:contextualSpacing/>
        <w:rPr>
          <w:sz w:val="24"/>
        </w:rPr>
      </w:pPr>
      <w:r w:rsidRPr="000A13DE">
        <w:rPr>
          <w:sz w:val="24"/>
        </w:rPr>
        <w:t xml:space="preserve">Developing a new </w:t>
      </w:r>
      <w:proofErr w:type="gramStart"/>
      <w:r w:rsidRPr="000A13DE">
        <w:rPr>
          <w:sz w:val="24"/>
        </w:rPr>
        <w:t>policy;</w:t>
      </w:r>
      <w:proofErr w:type="gramEnd"/>
    </w:p>
    <w:p w14:paraId="072F1B5E" w14:textId="77777777" w:rsidR="003C25DD" w:rsidRPr="000A13DE" w:rsidRDefault="003C25DD" w:rsidP="003C25DD">
      <w:pPr>
        <w:numPr>
          <w:ilvl w:val="0"/>
          <w:numId w:val="49"/>
        </w:numPr>
        <w:contextualSpacing/>
        <w:rPr>
          <w:sz w:val="24"/>
        </w:rPr>
      </w:pPr>
      <w:r w:rsidRPr="000A13DE">
        <w:rPr>
          <w:sz w:val="24"/>
        </w:rPr>
        <w:t xml:space="preserve">Communicating a change in </w:t>
      </w:r>
      <w:proofErr w:type="gramStart"/>
      <w:r w:rsidRPr="000A13DE">
        <w:rPr>
          <w:sz w:val="24"/>
        </w:rPr>
        <w:t>policy;</w:t>
      </w:r>
      <w:proofErr w:type="gramEnd"/>
    </w:p>
    <w:p w14:paraId="35398D76" w14:textId="77777777" w:rsidR="003C25DD" w:rsidRPr="000A13DE" w:rsidRDefault="003C25DD" w:rsidP="003C25DD">
      <w:pPr>
        <w:numPr>
          <w:ilvl w:val="0"/>
          <w:numId w:val="49"/>
        </w:numPr>
        <w:contextualSpacing/>
        <w:rPr>
          <w:sz w:val="24"/>
        </w:rPr>
      </w:pPr>
      <w:r w:rsidRPr="000A13DE">
        <w:rPr>
          <w:sz w:val="24"/>
        </w:rPr>
        <w:t xml:space="preserve">Educating/training those responsible for implementing the revised </w:t>
      </w:r>
      <w:proofErr w:type="gramStart"/>
      <w:r w:rsidRPr="000A13DE">
        <w:rPr>
          <w:sz w:val="24"/>
        </w:rPr>
        <w:t>procedures;</w:t>
      </w:r>
      <w:proofErr w:type="gramEnd"/>
    </w:p>
    <w:p w14:paraId="7BF4B710" w14:textId="77777777" w:rsidR="003C25DD" w:rsidRPr="000A13DE" w:rsidRDefault="003C25DD" w:rsidP="003C25DD">
      <w:pPr>
        <w:numPr>
          <w:ilvl w:val="0"/>
          <w:numId w:val="49"/>
        </w:numPr>
        <w:contextualSpacing/>
        <w:rPr>
          <w:sz w:val="24"/>
        </w:rPr>
      </w:pPr>
      <w:r w:rsidRPr="000A13DE">
        <w:rPr>
          <w:sz w:val="24"/>
        </w:rPr>
        <w:t>An explanation that the communication was reissued with the tag lines added.</w:t>
      </w:r>
    </w:p>
    <w:p w14:paraId="761FE0C9" w14:textId="77777777" w:rsidR="003C25DD" w:rsidRPr="000A13DE" w:rsidRDefault="003C25DD" w:rsidP="003C25DD">
      <w:pPr>
        <w:rPr>
          <w:sz w:val="24"/>
        </w:rPr>
      </w:pPr>
      <w:r w:rsidRPr="000A13DE">
        <w:rPr>
          <w:i/>
          <w:iCs/>
          <w:sz w:val="24"/>
        </w:rPr>
        <w:t>Conciliation Agreements</w:t>
      </w:r>
      <w:r w:rsidRPr="000A13DE">
        <w:rPr>
          <w:sz w:val="24"/>
        </w:rPr>
        <w:t>: in the case of a more serious violation, or of a deficiency/violation that cannot be corrected immediately a detailed written assurance, or Conciliation Agreement, is to be negotiated. The agreement must:</w:t>
      </w:r>
    </w:p>
    <w:p w14:paraId="3FFF8883" w14:textId="77777777" w:rsidR="003C25DD" w:rsidRPr="000A13DE" w:rsidRDefault="003C25DD" w:rsidP="003C25DD">
      <w:pPr>
        <w:numPr>
          <w:ilvl w:val="0"/>
          <w:numId w:val="50"/>
        </w:numPr>
        <w:contextualSpacing/>
        <w:rPr>
          <w:sz w:val="24"/>
        </w:rPr>
      </w:pPr>
      <w:r w:rsidRPr="000A13DE">
        <w:rPr>
          <w:sz w:val="24"/>
        </w:rPr>
        <w:t xml:space="preserve">Be in </w:t>
      </w:r>
      <w:proofErr w:type="gramStart"/>
      <w:r w:rsidRPr="000A13DE">
        <w:rPr>
          <w:sz w:val="24"/>
        </w:rPr>
        <w:t>writing;</w:t>
      </w:r>
      <w:proofErr w:type="gramEnd"/>
    </w:p>
    <w:p w14:paraId="4924EF6B" w14:textId="77777777" w:rsidR="003C25DD" w:rsidRPr="000A13DE" w:rsidRDefault="003C25DD" w:rsidP="003C25DD">
      <w:pPr>
        <w:numPr>
          <w:ilvl w:val="0"/>
          <w:numId w:val="50"/>
        </w:numPr>
        <w:contextualSpacing/>
        <w:rPr>
          <w:sz w:val="24"/>
        </w:rPr>
      </w:pPr>
      <w:r w:rsidRPr="000A13DE">
        <w:rPr>
          <w:sz w:val="24"/>
        </w:rPr>
        <w:t xml:space="preserve">Describe each </w:t>
      </w:r>
      <w:proofErr w:type="gramStart"/>
      <w:r w:rsidRPr="000A13DE">
        <w:rPr>
          <w:sz w:val="24"/>
        </w:rPr>
        <w:t>violation;</w:t>
      </w:r>
      <w:proofErr w:type="gramEnd"/>
    </w:p>
    <w:p w14:paraId="2901AFF1" w14:textId="77777777" w:rsidR="003C25DD" w:rsidRPr="000A13DE" w:rsidRDefault="003C25DD" w:rsidP="003C25DD">
      <w:pPr>
        <w:numPr>
          <w:ilvl w:val="0"/>
          <w:numId w:val="50"/>
        </w:numPr>
        <w:contextualSpacing/>
        <w:rPr>
          <w:sz w:val="24"/>
        </w:rPr>
      </w:pPr>
      <w:r w:rsidRPr="000A13DE">
        <w:rPr>
          <w:sz w:val="24"/>
        </w:rPr>
        <w:t xml:space="preserve">Specify the corrective or remedial action needed to come into </w:t>
      </w:r>
      <w:proofErr w:type="gramStart"/>
      <w:r w:rsidRPr="000A13DE">
        <w:rPr>
          <w:sz w:val="24"/>
        </w:rPr>
        <w:t>compliance;</w:t>
      </w:r>
      <w:proofErr w:type="gramEnd"/>
    </w:p>
    <w:p w14:paraId="40C782BF" w14:textId="77777777" w:rsidR="003C25DD" w:rsidRPr="000A13DE" w:rsidRDefault="003C25DD" w:rsidP="003C25DD">
      <w:pPr>
        <w:numPr>
          <w:ilvl w:val="0"/>
          <w:numId w:val="50"/>
        </w:numPr>
        <w:contextualSpacing/>
        <w:rPr>
          <w:sz w:val="24"/>
        </w:rPr>
      </w:pPr>
      <w:r w:rsidRPr="000A13DE">
        <w:rPr>
          <w:sz w:val="24"/>
        </w:rPr>
        <w:t xml:space="preserve">State the time period in which the corrective or remedial action must be </w:t>
      </w:r>
      <w:proofErr w:type="gramStart"/>
      <w:r w:rsidRPr="000A13DE">
        <w:rPr>
          <w:sz w:val="24"/>
        </w:rPr>
        <w:t>completed;</w:t>
      </w:r>
      <w:proofErr w:type="gramEnd"/>
    </w:p>
    <w:p w14:paraId="40EFBD31" w14:textId="77777777" w:rsidR="003C25DD" w:rsidRPr="000A13DE" w:rsidRDefault="003C25DD" w:rsidP="003C25DD">
      <w:pPr>
        <w:numPr>
          <w:ilvl w:val="0"/>
          <w:numId w:val="50"/>
        </w:numPr>
        <w:contextualSpacing/>
        <w:rPr>
          <w:sz w:val="24"/>
        </w:rPr>
      </w:pPr>
      <w:r w:rsidRPr="000A13DE">
        <w:rPr>
          <w:sz w:val="24"/>
        </w:rPr>
        <w:t xml:space="preserve">Be sufficient in scope to ensure that the violation(s) will not </w:t>
      </w:r>
      <w:proofErr w:type="gramStart"/>
      <w:r w:rsidRPr="000A13DE">
        <w:rPr>
          <w:sz w:val="24"/>
        </w:rPr>
        <w:t>recur;</w:t>
      </w:r>
      <w:proofErr w:type="gramEnd"/>
    </w:p>
    <w:p w14:paraId="4839D88B" w14:textId="77777777" w:rsidR="003C25DD" w:rsidRPr="000A13DE" w:rsidRDefault="003C25DD" w:rsidP="003C25DD">
      <w:pPr>
        <w:numPr>
          <w:ilvl w:val="0"/>
          <w:numId w:val="50"/>
        </w:numPr>
        <w:contextualSpacing/>
        <w:rPr>
          <w:sz w:val="24"/>
        </w:rPr>
      </w:pPr>
      <w:r w:rsidRPr="000A13DE">
        <w:rPr>
          <w:sz w:val="24"/>
        </w:rPr>
        <w:t xml:space="preserve">Institute periodic reporting by the recipient on the status of the corrective and remedial </w:t>
      </w:r>
      <w:proofErr w:type="gramStart"/>
      <w:r w:rsidRPr="000A13DE">
        <w:rPr>
          <w:sz w:val="24"/>
        </w:rPr>
        <w:t>action;</w:t>
      </w:r>
      <w:proofErr w:type="gramEnd"/>
    </w:p>
    <w:p w14:paraId="6E351ADE" w14:textId="77777777" w:rsidR="003C25DD" w:rsidRPr="000A13DE" w:rsidRDefault="003C25DD" w:rsidP="003C25DD">
      <w:pPr>
        <w:numPr>
          <w:ilvl w:val="0"/>
          <w:numId w:val="50"/>
        </w:numPr>
        <w:contextualSpacing/>
        <w:rPr>
          <w:sz w:val="24"/>
        </w:rPr>
      </w:pPr>
      <w:r w:rsidRPr="000A13DE">
        <w:rPr>
          <w:sz w:val="24"/>
        </w:rPr>
        <w:t>Institute enforcement procedures to be applied if the agreement is breached.</w:t>
      </w:r>
    </w:p>
    <w:p w14:paraId="0654B6B4" w14:textId="77777777" w:rsidR="003C25DD" w:rsidRPr="000A13DE" w:rsidRDefault="003C25DD" w:rsidP="003C25DD">
      <w:pPr>
        <w:rPr>
          <w:sz w:val="24"/>
        </w:rPr>
      </w:pPr>
      <w:r w:rsidRPr="000A13DE">
        <w:rPr>
          <w:i/>
          <w:iCs/>
          <w:sz w:val="24"/>
        </w:rPr>
        <w:lastRenderedPageBreak/>
        <w:t>Sanctions</w:t>
      </w:r>
      <w:r w:rsidRPr="000A13DE">
        <w:rPr>
          <w:sz w:val="24"/>
        </w:rPr>
        <w:t xml:space="preserve"> must be imposed by the state when all attempts to assist in effective voluntary correction of a violation have failed, or it is apparent that the recipient fails or refuses to correct the violation within the timeframe established. The sanction taken to correct a violation should be appropriate and reasonable given the violation. </w:t>
      </w:r>
    </w:p>
    <w:p w14:paraId="7AF1DB33" w14:textId="77777777" w:rsidR="003C25DD" w:rsidRPr="000A13DE" w:rsidRDefault="003C25DD" w:rsidP="003C25DD">
      <w:pPr>
        <w:rPr>
          <w:sz w:val="24"/>
        </w:rPr>
      </w:pPr>
      <w:r w:rsidRPr="000A13DE">
        <w:rPr>
          <w:sz w:val="24"/>
        </w:rPr>
        <w:t>Sanction procedures must:</w:t>
      </w:r>
    </w:p>
    <w:p w14:paraId="2B731C21" w14:textId="77777777" w:rsidR="003C25DD" w:rsidRPr="000A13DE" w:rsidRDefault="003C25DD" w:rsidP="003C25DD">
      <w:pPr>
        <w:numPr>
          <w:ilvl w:val="0"/>
          <w:numId w:val="51"/>
        </w:numPr>
        <w:contextualSpacing/>
        <w:rPr>
          <w:sz w:val="24"/>
        </w:rPr>
      </w:pPr>
      <w:r w:rsidRPr="000A13DE">
        <w:rPr>
          <w:sz w:val="24"/>
        </w:rPr>
        <w:t xml:space="preserve">List the measures taken to achieve voluntary compliance up through the point when sanctions are </w:t>
      </w:r>
      <w:proofErr w:type="gramStart"/>
      <w:r w:rsidRPr="000A13DE">
        <w:rPr>
          <w:sz w:val="24"/>
        </w:rPr>
        <w:t>imposed;</w:t>
      </w:r>
      <w:proofErr w:type="gramEnd"/>
    </w:p>
    <w:p w14:paraId="7A0AE757" w14:textId="77777777" w:rsidR="003C25DD" w:rsidRPr="000A13DE" w:rsidRDefault="003C25DD" w:rsidP="003C25DD">
      <w:pPr>
        <w:numPr>
          <w:ilvl w:val="0"/>
          <w:numId w:val="51"/>
        </w:numPr>
        <w:contextualSpacing/>
        <w:rPr>
          <w:sz w:val="24"/>
        </w:rPr>
      </w:pPr>
      <w:r w:rsidRPr="000A13DE">
        <w:rPr>
          <w:sz w:val="24"/>
        </w:rPr>
        <w:t xml:space="preserve">Explain that the severity of the noncompliance will determine the sanctions </w:t>
      </w:r>
      <w:proofErr w:type="gramStart"/>
      <w:r w:rsidRPr="000A13DE">
        <w:rPr>
          <w:sz w:val="24"/>
        </w:rPr>
        <w:t>imposed;</w:t>
      </w:r>
      <w:proofErr w:type="gramEnd"/>
    </w:p>
    <w:p w14:paraId="0F59EE24" w14:textId="77777777" w:rsidR="003C25DD" w:rsidRPr="000A13DE" w:rsidRDefault="003C25DD" w:rsidP="003C25DD">
      <w:pPr>
        <w:numPr>
          <w:ilvl w:val="0"/>
          <w:numId w:val="51"/>
        </w:numPr>
        <w:contextualSpacing/>
        <w:rPr>
          <w:sz w:val="24"/>
        </w:rPr>
      </w:pPr>
      <w:r w:rsidRPr="000A13DE">
        <w:rPr>
          <w:sz w:val="24"/>
        </w:rPr>
        <w:t xml:space="preserve">Provide a table or listing of the potential sanctions that may be </w:t>
      </w:r>
      <w:proofErr w:type="gramStart"/>
      <w:r w:rsidRPr="000A13DE">
        <w:rPr>
          <w:sz w:val="24"/>
        </w:rPr>
        <w:t>imposed;</w:t>
      </w:r>
      <w:proofErr w:type="gramEnd"/>
    </w:p>
    <w:p w14:paraId="0811A689" w14:textId="77777777" w:rsidR="003C25DD" w:rsidRPr="000A13DE" w:rsidRDefault="003C25DD" w:rsidP="003C25DD">
      <w:pPr>
        <w:numPr>
          <w:ilvl w:val="0"/>
          <w:numId w:val="51"/>
        </w:numPr>
        <w:contextualSpacing/>
        <w:rPr>
          <w:sz w:val="24"/>
        </w:rPr>
      </w:pPr>
      <w:r w:rsidRPr="000A13DE">
        <w:rPr>
          <w:sz w:val="24"/>
        </w:rPr>
        <w:t xml:space="preserve">Detail the notification process including rights of the respondent, time frames involved, and provisions for a </w:t>
      </w:r>
      <w:proofErr w:type="gramStart"/>
      <w:r w:rsidRPr="000A13DE">
        <w:rPr>
          <w:sz w:val="24"/>
        </w:rPr>
        <w:t>hearing;</w:t>
      </w:r>
      <w:proofErr w:type="gramEnd"/>
    </w:p>
    <w:p w14:paraId="282E85E0" w14:textId="77777777" w:rsidR="003C25DD" w:rsidRPr="000A13DE" w:rsidRDefault="003C25DD" w:rsidP="003C25DD">
      <w:pPr>
        <w:numPr>
          <w:ilvl w:val="0"/>
          <w:numId w:val="51"/>
        </w:numPr>
        <w:contextualSpacing/>
        <w:rPr>
          <w:sz w:val="24"/>
        </w:rPr>
      </w:pPr>
      <w:r w:rsidRPr="000A13DE">
        <w:rPr>
          <w:sz w:val="24"/>
        </w:rPr>
        <w:t>Identify the individuals who have responsibility for carrying out the various steps in the sanctions process and the role of the State-level EO Officer and local EO Officer in this process.</w:t>
      </w:r>
    </w:p>
    <w:p w14:paraId="1BD2AD61" w14:textId="77777777" w:rsidR="003C25DD" w:rsidRPr="000A13DE" w:rsidRDefault="003C25DD" w:rsidP="003C25DD">
      <w:pPr>
        <w:keepNext/>
        <w:keepLines/>
        <w:spacing w:before="40" w:after="0"/>
        <w:outlineLvl w:val="2"/>
        <w:rPr>
          <w:rFonts w:eastAsia="Times New Roman" w:cstheme="majorBidi"/>
          <w:b/>
          <w:color w:val="1F3763" w:themeColor="accent1" w:themeShade="7F"/>
          <w:sz w:val="24"/>
          <w:szCs w:val="24"/>
        </w:rPr>
      </w:pPr>
      <w:r w:rsidRPr="000A13DE">
        <w:rPr>
          <w:rFonts w:eastAsia="Times New Roman" w:cstheme="majorBidi"/>
          <w:b/>
          <w:color w:val="1F3763" w:themeColor="accent1" w:themeShade="7F"/>
          <w:sz w:val="24"/>
          <w:szCs w:val="24"/>
        </w:rPr>
        <w:t>Reporting Allegations of Discrimination</w:t>
      </w:r>
    </w:p>
    <w:p w14:paraId="7C523541" w14:textId="77777777" w:rsidR="003C25DD" w:rsidRPr="000A13DE" w:rsidRDefault="003C25DD" w:rsidP="003C25DD">
      <w:pPr>
        <w:rPr>
          <w:sz w:val="24"/>
        </w:rPr>
      </w:pPr>
      <w:r w:rsidRPr="000A13DE">
        <w:rPr>
          <w:sz w:val="24"/>
        </w:rPr>
        <w:t xml:space="preserve">On the day a WIOA Title I Program Provider is informed of the filing of an allegation or lawsuit charging discrimination that in any way involves a WIOA Title I </w:t>
      </w:r>
      <w:proofErr w:type="gramStart"/>
      <w:r w:rsidRPr="000A13DE">
        <w:rPr>
          <w:sz w:val="24"/>
        </w:rPr>
        <w:t>program</w:t>
      </w:r>
      <w:proofErr w:type="gramEnd"/>
      <w:r w:rsidRPr="000A13DE">
        <w:rPr>
          <w:sz w:val="24"/>
        </w:rPr>
        <w:t xml:space="preserve"> or personnel funded by WIOA Title I in any municipal, county, or district court, or with a local or State Human Rights Unit, a telephone report giving the details available must be made to the WIOA State-level EO Officer at 651.259.7097. This phone call must be followed with an immediate written report including a copy of the official documents of the case as soon as they come into the possession of the WIOA Title I Program Provider. The WIOA State-level EO Officer will immediately notify the Department of Labor (DOL), and the Civil Rights Center (CRC), of the complaint of discrimination.</w:t>
      </w:r>
    </w:p>
    <w:p w14:paraId="78D208B4" w14:textId="77777777" w:rsidR="003C25DD" w:rsidRPr="000A13DE" w:rsidRDefault="003C25DD" w:rsidP="003C25DD">
      <w:pPr>
        <w:rPr>
          <w:sz w:val="24"/>
        </w:rPr>
      </w:pPr>
      <w:r w:rsidRPr="000A13DE">
        <w:rPr>
          <w:sz w:val="24"/>
        </w:rPr>
        <w:t>Full available details must be immediately forwarded to the:</w:t>
      </w:r>
    </w:p>
    <w:p w14:paraId="2CA4D89A" w14:textId="77777777" w:rsidR="003C25DD" w:rsidRPr="000A13DE" w:rsidRDefault="003C25DD" w:rsidP="003C25DD">
      <w:pPr>
        <w:numPr>
          <w:ilvl w:val="0"/>
          <w:numId w:val="52"/>
        </w:numPr>
        <w:contextualSpacing/>
        <w:rPr>
          <w:sz w:val="24"/>
        </w:rPr>
      </w:pPr>
      <w:r w:rsidRPr="000A13DE">
        <w:rPr>
          <w:sz w:val="24"/>
        </w:rPr>
        <w:t>Director, Office of Civil Rights, U.S. Department of Labor, Room N4123, 200 Constitution Avenue NW, Washington DC 20210</w:t>
      </w:r>
    </w:p>
    <w:p w14:paraId="4B16657C" w14:textId="77777777" w:rsidR="003C25DD" w:rsidRPr="000A13DE" w:rsidRDefault="003C25DD" w:rsidP="003C25DD">
      <w:pPr>
        <w:rPr>
          <w:sz w:val="24"/>
        </w:rPr>
      </w:pPr>
      <w:r w:rsidRPr="000A13DE">
        <w:rPr>
          <w:sz w:val="24"/>
        </w:rPr>
        <w:t>Further reports must be made to DOL as the case develops and/or is concluded.</w:t>
      </w:r>
    </w:p>
    <w:p w14:paraId="35402236" w14:textId="77777777" w:rsidR="003C25DD" w:rsidRPr="000A13DE" w:rsidRDefault="003C25DD" w:rsidP="003C25DD">
      <w:pPr>
        <w:numPr>
          <w:ilvl w:val="0"/>
          <w:numId w:val="52"/>
        </w:numPr>
        <w:contextualSpacing/>
        <w:rPr>
          <w:sz w:val="24"/>
        </w:rPr>
      </w:pPr>
      <w:r w:rsidRPr="000A13DE">
        <w:rPr>
          <w:sz w:val="24"/>
        </w:rPr>
        <w:t>Office of Diversity and Equal Opportunity, State-level EO Officer, Minnesota Department of Employment and Economic Development, Great Northern Building, 180 East Fifth Street, 12th Floor, St. Paul, MN 55101.</w:t>
      </w:r>
    </w:p>
    <w:p w14:paraId="786D3520" w14:textId="77777777" w:rsidR="003C25DD" w:rsidRPr="000A13DE" w:rsidRDefault="003C25DD" w:rsidP="003C25DD">
      <w:pPr>
        <w:shd w:val="clear" w:color="auto" w:fill="FFFFFF" w:themeFill="background1"/>
        <w:spacing w:before="100" w:beforeAutospacing="1" w:after="100" w:afterAutospacing="1" w:line="270" w:lineRule="atLeast"/>
        <w:textAlignment w:val="top"/>
        <w:rPr>
          <w:sz w:val="24"/>
        </w:rPr>
      </w:pPr>
    </w:p>
    <w:bookmarkEnd w:id="0"/>
    <w:p w14:paraId="109BFFB8" w14:textId="5205AE50" w:rsidR="003C25DD" w:rsidRDefault="003C25DD" w:rsidP="003C25DD">
      <w:pPr>
        <w:shd w:val="clear" w:color="auto" w:fill="FFFFFF" w:themeFill="background1"/>
        <w:spacing w:beforeAutospacing="1" w:afterAutospacing="1" w:line="270" w:lineRule="atLeast"/>
        <w:jc w:val="center"/>
        <w:rPr>
          <w:rFonts w:eastAsia="Times New Roman"/>
          <w:color w:val="0000FF"/>
          <w:u w:val="single"/>
        </w:rPr>
      </w:pPr>
      <w:r w:rsidRPr="000A13DE">
        <w:rPr>
          <w:rFonts w:eastAsia="Times New Roman"/>
        </w:rPr>
        <w:t xml:space="preserve">Alternate formats are available to individuals with disabilities by calling 651-259-7094 or by emailing </w:t>
      </w:r>
      <w:hyperlink r:id="rId13" w:history="1">
        <w:r w:rsidRPr="000A13DE">
          <w:rPr>
            <w:rFonts w:eastAsia="Times New Roman"/>
            <w:color w:val="0000FF"/>
            <w:u w:val="single"/>
          </w:rPr>
          <w:t>DEED.ODEO@state.mn.us</w:t>
        </w:r>
      </w:hyperlink>
    </w:p>
    <w:sectPr w:rsidR="003C25DD">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61CB6" w14:textId="77777777" w:rsidR="003C25DD" w:rsidRDefault="003C25DD" w:rsidP="003C25DD">
      <w:pPr>
        <w:spacing w:after="0" w:line="240" w:lineRule="auto"/>
      </w:pPr>
      <w:r>
        <w:separator/>
      </w:r>
    </w:p>
  </w:endnote>
  <w:endnote w:type="continuationSeparator" w:id="0">
    <w:p w14:paraId="139725E0" w14:textId="77777777" w:rsidR="003C25DD" w:rsidRDefault="003C25DD" w:rsidP="003C2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221538"/>
      <w:docPartObj>
        <w:docPartGallery w:val="Page Numbers (Bottom of Page)"/>
        <w:docPartUnique/>
      </w:docPartObj>
    </w:sdtPr>
    <w:sdtEndPr>
      <w:rPr>
        <w:noProof/>
      </w:rPr>
    </w:sdtEndPr>
    <w:sdtContent>
      <w:p w14:paraId="1B5F1F62" w14:textId="2E1E2F91" w:rsidR="003C25DD" w:rsidRDefault="003C25D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EF94CE" w14:textId="77777777" w:rsidR="003C25DD" w:rsidRDefault="003C25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E65E8" w14:textId="77777777" w:rsidR="003C25DD" w:rsidRDefault="003C25DD" w:rsidP="003C25DD">
      <w:pPr>
        <w:spacing w:after="0" w:line="240" w:lineRule="auto"/>
      </w:pPr>
      <w:r>
        <w:separator/>
      </w:r>
    </w:p>
  </w:footnote>
  <w:footnote w:type="continuationSeparator" w:id="0">
    <w:p w14:paraId="7165D6D6" w14:textId="77777777" w:rsidR="003C25DD" w:rsidRDefault="003C25DD" w:rsidP="003C25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4A11D" w14:textId="0E44F9FE" w:rsidR="003C25DD" w:rsidRDefault="003C25DD" w:rsidP="003C25DD">
    <w:pPr>
      <w:pStyle w:val="Header"/>
      <w:tabs>
        <w:tab w:val="clear" w:pos="4680"/>
        <w:tab w:val="clear" w:pos="9360"/>
        <w:tab w:val="left" w:pos="153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638B"/>
    <w:multiLevelType w:val="multilevel"/>
    <w:tmpl w:val="208CE6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B2109E"/>
    <w:multiLevelType w:val="hybridMultilevel"/>
    <w:tmpl w:val="54BE6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97333"/>
    <w:multiLevelType w:val="hybridMultilevel"/>
    <w:tmpl w:val="9EE40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B7C7B"/>
    <w:multiLevelType w:val="multilevel"/>
    <w:tmpl w:val="8F8448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D1210E"/>
    <w:multiLevelType w:val="hybridMultilevel"/>
    <w:tmpl w:val="AD8E9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661F2F"/>
    <w:multiLevelType w:val="multilevel"/>
    <w:tmpl w:val="14CC2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C05EC1"/>
    <w:multiLevelType w:val="multilevel"/>
    <w:tmpl w:val="AC803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150E7F"/>
    <w:multiLevelType w:val="multilevel"/>
    <w:tmpl w:val="C2A271F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4D759D"/>
    <w:multiLevelType w:val="multilevel"/>
    <w:tmpl w:val="CB2273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604B52"/>
    <w:multiLevelType w:val="hybridMultilevel"/>
    <w:tmpl w:val="86109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D150AD"/>
    <w:multiLevelType w:val="hybridMultilevel"/>
    <w:tmpl w:val="28F6C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F4229"/>
    <w:multiLevelType w:val="multilevel"/>
    <w:tmpl w:val="B2BC89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FF6F30"/>
    <w:multiLevelType w:val="hybridMultilevel"/>
    <w:tmpl w:val="BF862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7B79DE"/>
    <w:multiLevelType w:val="multilevel"/>
    <w:tmpl w:val="9314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1C0138"/>
    <w:multiLevelType w:val="multilevel"/>
    <w:tmpl w:val="DF06A4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58B3A0F"/>
    <w:multiLevelType w:val="hybridMultilevel"/>
    <w:tmpl w:val="28CEB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9052DA"/>
    <w:multiLevelType w:val="hybridMultilevel"/>
    <w:tmpl w:val="89620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04285E"/>
    <w:multiLevelType w:val="hybridMultilevel"/>
    <w:tmpl w:val="CEECC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517FAB"/>
    <w:multiLevelType w:val="multilevel"/>
    <w:tmpl w:val="540E2D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1ABA1747"/>
    <w:multiLevelType w:val="multilevel"/>
    <w:tmpl w:val="77685A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C47636"/>
    <w:multiLevelType w:val="multilevel"/>
    <w:tmpl w:val="A2B6A4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1CBE69FF"/>
    <w:multiLevelType w:val="hybridMultilevel"/>
    <w:tmpl w:val="54BC0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CCC64A7"/>
    <w:multiLevelType w:val="hybridMultilevel"/>
    <w:tmpl w:val="4BDA4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D7C56DF"/>
    <w:multiLevelType w:val="multilevel"/>
    <w:tmpl w:val="CACA1C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DB908DF"/>
    <w:multiLevelType w:val="hybridMultilevel"/>
    <w:tmpl w:val="08AC0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EF900B9"/>
    <w:multiLevelType w:val="hybridMultilevel"/>
    <w:tmpl w:val="D11EE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14F10B1"/>
    <w:multiLevelType w:val="multilevel"/>
    <w:tmpl w:val="31588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15E46D2"/>
    <w:multiLevelType w:val="multilevel"/>
    <w:tmpl w:val="6A76B03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1CA720A"/>
    <w:multiLevelType w:val="multilevel"/>
    <w:tmpl w:val="6FA0CB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4877700"/>
    <w:multiLevelType w:val="multilevel"/>
    <w:tmpl w:val="F79EF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4A0387D"/>
    <w:multiLevelType w:val="multilevel"/>
    <w:tmpl w:val="8E827E9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4C603D5"/>
    <w:multiLevelType w:val="hybridMultilevel"/>
    <w:tmpl w:val="50040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564370A"/>
    <w:multiLevelType w:val="multilevel"/>
    <w:tmpl w:val="6D54A7F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5AF598B"/>
    <w:multiLevelType w:val="multilevel"/>
    <w:tmpl w:val="C0B8FC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5D92A97"/>
    <w:multiLevelType w:val="hybridMultilevel"/>
    <w:tmpl w:val="57222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B146A9C"/>
    <w:multiLevelType w:val="multilevel"/>
    <w:tmpl w:val="6ED2E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C1D20E7"/>
    <w:multiLevelType w:val="multilevel"/>
    <w:tmpl w:val="F76A45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E541945"/>
    <w:multiLevelType w:val="multilevel"/>
    <w:tmpl w:val="4CF26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E971CA4"/>
    <w:multiLevelType w:val="hybridMultilevel"/>
    <w:tmpl w:val="0D20E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FB31C45"/>
    <w:multiLevelType w:val="multilevel"/>
    <w:tmpl w:val="4F2CD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00C6FB0"/>
    <w:multiLevelType w:val="hybridMultilevel"/>
    <w:tmpl w:val="EAA45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2535C0D"/>
    <w:multiLevelType w:val="hybridMultilevel"/>
    <w:tmpl w:val="4A0C3C30"/>
    <w:lvl w:ilvl="0" w:tplc="5D4A4D64">
      <w:start w:val="1"/>
      <w:numFmt w:val="decimal"/>
      <w:lvlText w:val="%1."/>
      <w:lvlJc w:val="left"/>
      <w:pPr>
        <w:ind w:left="840" w:hanging="360"/>
        <w:jc w:val="left"/>
      </w:pPr>
      <w:rPr>
        <w:rFonts w:ascii="Calibri" w:eastAsia="Calibri" w:hAnsi="Calibri" w:cs="Calibri" w:hint="default"/>
        <w:b w:val="0"/>
        <w:bCs w:val="0"/>
        <w:i w:val="0"/>
        <w:iCs w:val="0"/>
        <w:spacing w:val="-1"/>
        <w:w w:val="100"/>
        <w:sz w:val="24"/>
        <w:szCs w:val="24"/>
        <w:lang w:val="en-US" w:eastAsia="en-US" w:bidi="ar-SA"/>
      </w:rPr>
    </w:lvl>
    <w:lvl w:ilvl="1" w:tplc="53822166">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2" w:tplc="8E6C3266">
      <w:numFmt w:val="bullet"/>
      <w:lvlText w:val="•"/>
      <w:lvlJc w:val="left"/>
      <w:pPr>
        <w:ind w:left="2588" w:hanging="360"/>
      </w:pPr>
      <w:rPr>
        <w:rFonts w:hint="default"/>
        <w:lang w:val="en-US" w:eastAsia="en-US" w:bidi="ar-SA"/>
      </w:rPr>
    </w:lvl>
    <w:lvl w:ilvl="3" w:tplc="C5B2F2C8">
      <w:numFmt w:val="bullet"/>
      <w:lvlText w:val="•"/>
      <w:lvlJc w:val="left"/>
      <w:pPr>
        <w:ind w:left="3462" w:hanging="360"/>
      </w:pPr>
      <w:rPr>
        <w:rFonts w:hint="default"/>
        <w:lang w:val="en-US" w:eastAsia="en-US" w:bidi="ar-SA"/>
      </w:rPr>
    </w:lvl>
    <w:lvl w:ilvl="4" w:tplc="A4586C72">
      <w:numFmt w:val="bullet"/>
      <w:lvlText w:val="•"/>
      <w:lvlJc w:val="left"/>
      <w:pPr>
        <w:ind w:left="4336" w:hanging="360"/>
      </w:pPr>
      <w:rPr>
        <w:rFonts w:hint="default"/>
        <w:lang w:val="en-US" w:eastAsia="en-US" w:bidi="ar-SA"/>
      </w:rPr>
    </w:lvl>
    <w:lvl w:ilvl="5" w:tplc="B2364AA4">
      <w:numFmt w:val="bullet"/>
      <w:lvlText w:val="•"/>
      <w:lvlJc w:val="left"/>
      <w:pPr>
        <w:ind w:left="5210" w:hanging="360"/>
      </w:pPr>
      <w:rPr>
        <w:rFonts w:hint="default"/>
        <w:lang w:val="en-US" w:eastAsia="en-US" w:bidi="ar-SA"/>
      </w:rPr>
    </w:lvl>
    <w:lvl w:ilvl="6" w:tplc="E9AAB512">
      <w:numFmt w:val="bullet"/>
      <w:lvlText w:val="•"/>
      <w:lvlJc w:val="left"/>
      <w:pPr>
        <w:ind w:left="6084" w:hanging="360"/>
      </w:pPr>
      <w:rPr>
        <w:rFonts w:hint="default"/>
        <w:lang w:val="en-US" w:eastAsia="en-US" w:bidi="ar-SA"/>
      </w:rPr>
    </w:lvl>
    <w:lvl w:ilvl="7" w:tplc="E53822F2">
      <w:numFmt w:val="bullet"/>
      <w:lvlText w:val="•"/>
      <w:lvlJc w:val="left"/>
      <w:pPr>
        <w:ind w:left="6958" w:hanging="360"/>
      </w:pPr>
      <w:rPr>
        <w:rFonts w:hint="default"/>
        <w:lang w:val="en-US" w:eastAsia="en-US" w:bidi="ar-SA"/>
      </w:rPr>
    </w:lvl>
    <w:lvl w:ilvl="8" w:tplc="E3ACF8F6">
      <w:numFmt w:val="bullet"/>
      <w:lvlText w:val="•"/>
      <w:lvlJc w:val="left"/>
      <w:pPr>
        <w:ind w:left="7832" w:hanging="360"/>
      </w:pPr>
      <w:rPr>
        <w:rFonts w:hint="default"/>
        <w:lang w:val="en-US" w:eastAsia="en-US" w:bidi="ar-SA"/>
      </w:rPr>
    </w:lvl>
  </w:abstractNum>
  <w:abstractNum w:abstractNumId="42" w15:restartNumberingAfterBreak="0">
    <w:nsid w:val="32F64B21"/>
    <w:multiLevelType w:val="multilevel"/>
    <w:tmpl w:val="C9E602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44B633C"/>
    <w:multiLevelType w:val="multilevel"/>
    <w:tmpl w:val="9314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4A566F5"/>
    <w:multiLevelType w:val="multilevel"/>
    <w:tmpl w:val="05F4D1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94D73F5"/>
    <w:multiLevelType w:val="multilevel"/>
    <w:tmpl w:val="8200D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C2E6CCB"/>
    <w:multiLevelType w:val="hybridMultilevel"/>
    <w:tmpl w:val="CBCA8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FB55736"/>
    <w:multiLevelType w:val="hybridMultilevel"/>
    <w:tmpl w:val="F7DEB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0DD2AD8"/>
    <w:multiLevelType w:val="multilevel"/>
    <w:tmpl w:val="9314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13B2826"/>
    <w:multiLevelType w:val="multilevel"/>
    <w:tmpl w:val="9314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1EC4151"/>
    <w:multiLevelType w:val="multilevel"/>
    <w:tmpl w:val="023055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29A576E"/>
    <w:multiLevelType w:val="multilevel"/>
    <w:tmpl w:val="DE4CB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41D4509"/>
    <w:multiLevelType w:val="multilevel"/>
    <w:tmpl w:val="7FB23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4C63504"/>
    <w:multiLevelType w:val="multilevel"/>
    <w:tmpl w:val="53BA75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6B83896"/>
    <w:multiLevelType w:val="multilevel"/>
    <w:tmpl w:val="472AAB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94C2074"/>
    <w:multiLevelType w:val="multilevel"/>
    <w:tmpl w:val="9814AC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B500EC2"/>
    <w:multiLevelType w:val="hybridMultilevel"/>
    <w:tmpl w:val="9466B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F9C654E"/>
    <w:multiLevelType w:val="multilevel"/>
    <w:tmpl w:val="5BCE4E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8" w15:restartNumberingAfterBreak="0">
    <w:nsid w:val="52420644"/>
    <w:multiLevelType w:val="multilevel"/>
    <w:tmpl w:val="257EBD6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3BB0565"/>
    <w:multiLevelType w:val="multilevel"/>
    <w:tmpl w:val="382C57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5C663AA"/>
    <w:multiLevelType w:val="hybridMultilevel"/>
    <w:tmpl w:val="9D36A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5CC298D"/>
    <w:multiLevelType w:val="multilevel"/>
    <w:tmpl w:val="7AFA31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6391CB9"/>
    <w:multiLevelType w:val="multilevel"/>
    <w:tmpl w:val="9314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64272E4"/>
    <w:multiLevelType w:val="multilevel"/>
    <w:tmpl w:val="9314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68151A9"/>
    <w:multiLevelType w:val="multilevel"/>
    <w:tmpl w:val="045CA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74402F5"/>
    <w:multiLevelType w:val="multilevel"/>
    <w:tmpl w:val="1A6CF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78B2CFC"/>
    <w:multiLevelType w:val="hybridMultilevel"/>
    <w:tmpl w:val="E3D4D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58F04737"/>
    <w:multiLevelType w:val="multilevel"/>
    <w:tmpl w:val="AEA46A9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9875E3B"/>
    <w:multiLevelType w:val="multilevel"/>
    <w:tmpl w:val="7C3A3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9A85D46"/>
    <w:multiLevelType w:val="multilevel"/>
    <w:tmpl w:val="338E5EB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9CB0A86"/>
    <w:multiLevelType w:val="hybridMultilevel"/>
    <w:tmpl w:val="55E227AA"/>
    <w:lvl w:ilvl="0" w:tplc="0BA29D78">
      <w:start w:val="1"/>
      <w:numFmt w:val="bullet"/>
      <w:lvlText w:val=""/>
      <w:lvlJc w:val="left"/>
      <w:pPr>
        <w:ind w:left="630" w:hanging="360"/>
      </w:pPr>
      <w:rPr>
        <w:rFonts w:ascii="Symbol" w:hAnsi="Symbol" w:hint="default"/>
        <w:sz w:val="28"/>
        <w:szCs w:val="24"/>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1" w15:restartNumberingAfterBreak="0">
    <w:nsid w:val="5AE12DC4"/>
    <w:multiLevelType w:val="hybridMultilevel"/>
    <w:tmpl w:val="F5D6C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BCB3F81"/>
    <w:multiLevelType w:val="multilevel"/>
    <w:tmpl w:val="DCB822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BF80520"/>
    <w:multiLevelType w:val="multilevel"/>
    <w:tmpl w:val="790C1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5CD75B1F"/>
    <w:multiLevelType w:val="multilevel"/>
    <w:tmpl w:val="9314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E0E1189"/>
    <w:multiLevelType w:val="hybridMultilevel"/>
    <w:tmpl w:val="D9F0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E7F0936"/>
    <w:multiLevelType w:val="multilevel"/>
    <w:tmpl w:val="9314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EA475FC"/>
    <w:multiLevelType w:val="multilevel"/>
    <w:tmpl w:val="30E06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EE8476E"/>
    <w:multiLevelType w:val="multilevel"/>
    <w:tmpl w:val="1C9E30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0601725"/>
    <w:multiLevelType w:val="multilevel"/>
    <w:tmpl w:val="1B40D11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0D64E04"/>
    <w:multiLevelType w:val="multilevel"/>
    <w:tmpl w:val="495EE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61C467C5"/>
    <w:multiLevelType w:val="hybridMultilevel"/>
    <w:tmpl w:val="739471BA"/>
    <w:lvl w:ilvl="0" w:tplc="52F030CA">
      <w:numFmt w:val="bullet"/>
      <w:lvlText w:val=""/>
      <w:lvlJc w:val="left"/>
      <w:pPr>
        <w:ind w:left="840" w:hanging="360"/>
      </w:pPr>
      <w:rPr>
        <w:rFonts w:ascii="Symbol" w:eastAsia="Symbol" w:hAnsi="Symbol" w:cs="Symbol" w:hint="default"/>
        <w:w w:val="100"/>
        <w:lang w:val="en-US" w:eastAsia="en-US" w:bidi="ar-SA"/>
      </w:rPr>
    </w:lvl>
    <w:lvl w:ilvl="1" w:tplc="24A8B0C2">
      <w:numFmt w:val="bullet"/>
      <w:lvlText w:val="•"/>
      <w:lvlJc w:val="left"/>
      <w:pPr>
        <w:ind w:left="1714" w:hanging="360"/>
      </w:pPr>
      <w:rPr>
        <w:rFonts w:hint="default"/>
        <w:lang w:val="en-US" w:eastAsia="en-US" w:bidi="ar-SA"/>
      </w:rPr>
    </w:lvl>
    <w:lvl w:ilvl="2" w:tplc="7A626CB8">
      <w:numFmt w:val="bullet"/>
      <w:lvlText w:val="•"/>
      <w:lvlJc w:val="left"/>
      <w:pPr>
        <w:ind w:left="2588" w:hanging="360"/>
      </w:pPr>
      <w:rPr>
        <w:rFonts w:hint="default"/>
        <w:lang w:val="en-US" w:eastAsia="en-US" w:bidi="ar-SA"/>
      </w:rPr>
    </w:lvl>
    <w:lvl w:ilvl="3" w:tplc="2A486260">
      <w:numFmt w:val="bullet"/>
      <w:lvlText w:val="•"/>
      <w:lvlJc w:val="left"/>
      <w:pPr>
        <w:ind w:left="3462" w:hanging="360"/>
      </w:pPr>
      <w:rPr>
        <w:rFonts w:hint="default"/>
        <w:lang w:val="en-US" w:eastAsia="en-US" w:bidi="ar-SA"/>
      </w:rPr>
    </w:lvl>
    <w:lvl w:ilvl="4" w:tplc="919ED6DA">
      <w:numFmt w:val="bullet"/>
      <w:lvlText w:val="•"/>
      <w:lvlJc w:val="left"/>
      <w:pPr>
        <w:ind w:left="4336" w:hanging="360"/>
      </w:pPr>
      <w:rPr>
        <w:rFonts w:hint="default"/>
        <w:lang w:val="en-US" w:eastAsia="en-US" w:bidi="ar-SA"/>
      </w:rPr>
    </w:lvl>
    <w:lvl w:ilvl="5" w:tplc="E8046EF2">
      <w:numFmt w:val="bullet"/>
      <w:lvlText w:val="•"/>
      <w:lvlJc w:val="left"/>
      <w:pPr>
        <w:ind w:left="5210" w:hanging="360"/>
      </w:pPr>
      <w:rPr>
        <w:rFonts w:hint="default"/>
        <w:lang w:val="en-US" w:eastAsia="en-US" w:bidi="ar-SA"/>
      </w:rPr>
    </w:lvl>
    <w:lvl w:ilvl="6" w:tplc="931C3612">
      <w:numFmt w:val="bullet"/>
      <w:lvlText w:val="•"/>
      <w:lvlJc w:val="left"/>
      <w:pPr>
        <w:ind w:left="6084" w:hanging="360"/>
      </w:pPr>
      <w:rPr>
        <w:rFonts w:hint="default"/>
        <w:lang w:val="en-US" w:eastAsia="en-US" w:bidi="ar-SA"/>
      </w:rPr>
    </w:lvl>
    <w:lvl w:ilvl="7" w:tplc="DD467A8A">
      <w:numFmt w:val="bullet"/>
      <w:lvlText w:val="•"/>
      <w:lvlJc w:val="left"/>
      <w:pPr>
        <w:ind w:left="6958" w:hanging="360"/>
      </w:pPr>
      <w:rPr>
        <w:rFonts w:hint="default"/>
        <w:lang w:val="en-US" w:eastAsia="en-US" w:bidi="ar-SA"/>
      </w:rPr>
    </w:lvl>
    <w:lvl w:ilvl="8" w:tplc="805A6BB8">
      <w:numFmt w:val="bullet"/>
      <w:lvlText w:val="•"/>
      <w:lvlJc w:val="left"/>
      <w:pPr>
        <w:ind w:left="7832" w:hanging="360"/>
      </w:pPr>
      <w:rPr>
        <w:rFonts w:hint="default"/>
        <w:lang w:val="en-US" w:eastAsia="en-US" w:bidi="ar-SA"/>
      </w:rPr>
    </w:lvl>
  </w:abstractNum>
  <w:abstractNum w:abstractNumId="82" w15:restartNumberingAfterBreak="0">
    <w:nsid w:val="631559ED"/>
    <w:multiLevelType w:val="multilevel"/>
    <w:tmpl w:val="687CD0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48749C1"/>
    <w:multiLevelType w:val="multilevel"/>
    <w:tmpl w:val="7C4029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4B95462"/>
    <w:multiLevelType w:val="multilevel"/>
    <w:tmpl w:val="11F8AB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55372DF"/>
    <w:multiLevelType w:val="multilevel"/>
    <w:tmpl w:val="3BD4ACE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7DE0E49"/>
    <w:multiLevelType w:val="multilevel"/>
    <w:tmpl w:val="6D04A6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9BF1B15"/>
    <w:multiLevelType w:val="multilevel"/>
    <w:tmpl w:val="48623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D88424C"/>
    <w:multiLevelType w:val="hybridMultilevel"/>
    <w:tmpl w:val="3AFA1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EF6336A"/>
    <w:multiLevelType w:val="hybridMultilevel"/>
    <w:tmpl w:val="6F00E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F6E1543"/>
    <w:multiLevelType w:val="hybridMultilevel"/>
    <w:tmpl w:val="D6B0D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0EB3E78"/>
    <w:multiLevelType w:val="multilevel"/>
    <w:tmpl w:val="A9F83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1BC0318"/>
    <w:multiLevelType w:val="multilevel"/>
    <w:tmpl w:val="E3D86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2A97D74"/>
    <w:multiLevelType w:val="multilevel"/>
    <w:tmpl w:val="2760DF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33D4AB2"/>
    <w:multiLevelType w:val="multilevel"/>
    <w:tmpl w:val="93140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4301396"/>
    <w:multiLevelType w:val="multilevel"/>
    <w:tmpl w:val="498E4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57B4B1D"/>
    <w:multiLevelType w:val="hybridMultilevel"/>
    <w:tmpl w:val="0AA232F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5DF3BD4"/>
    <w:multiLevelType w:val="multilevel"/>
    <w:tmpl w:val="C84ECB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67C4D06"/>
    <w:multiLevelType w:val="multilevel"/>
    <w:tmpl w:val="561828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7414C94"/>
    <w:multiLevelType w:val="multilevel"/>
    <w:tmpl w:val="1FD4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77E54ECE"/>
    <w:multiLevelType w:val="hybridMultilevel"/>
    <w:tmpl w:val="1774F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A056E3B"/>
    <w:multiLevelType w:val="hybridMultilevel"/>
    <w:tmpl w:val="37BA6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B1944DD"/>
    <w:multiLevelType w:val="multilevel"/>
    <w:tmpl w:val="3D3A3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41938110">
    <w:abstractNumId w:val="31"/>
  </w:num>
  <w:num w:numId="2" w16cid:durableId="1545827165">
    <w:abstractNumId w:val="82"/>
  </w:num>
  <w:num w:numId="3" w16cid:durableId="180583169">
    <w:abstractNumId w:val="87"/>
  </w:num>
  <w:num w:numId="4" w16cid:durableId="512914347">
    <w:abstractNumId w:val="78"/>
  </w:num>
  <w:num w:numId="5" w16cid:durableId="896361621">
    <w:abstractNumId w:val="54"/>
  </w:num>
  <w:num w:numId="6" w16cid:durableId="1875003302">
    <w:abstractNumId w:val="53"/>
  </w:num>
  <w:num w:numId="7" w16cid:durableId="2132430387">
    <w:abstractNumId w:val="3"/>
  </w:num>
  <w:num w:numId="8" w16cid:durableId="946081697">
    <w:abstractNumId w:val="72"/>
  </w:num>
  <w:num w:numId="9" w16cid:durableId="1161504253">
    <w:abstractNumId w:val="30"/>
  </w:num>
  <w:num w:numId="10" w16cid:durableId="477460330">
    <w:abstractNumId w:val="79"/>
  </w:num>
  <w:num w:numId="11" w16cid:durableId="1679695057">
    <w:abstractNumId w:val="69"/>
  </w:num>
  <w:num w:numId="12" w16cid:durableId="857086958">
    <w:abstractNumId w:val="7"/>
  </w:num>
  <w:num w:numId="13" w16cid:durableId="904413358">
    <w:abstractNumId w:val="58"/>
  </w:num>
  <w:num w:numId="14" w16cid:durableId="505897590">
    <w:abstractNumId w:val="85"/>
  </w:num>
  <w:num w:numId="15" w16cid:durableId="88358800">
    <w:abstractNumId w:val="68"/>
  </w:num>
  <w:num w:numId="16" w16cid:durableId="1292516991">
    <w:abstractNumId w:val="10"/>
  </w:num>
  <w:num w:numId="17" w16cid:durableId="1132165509">
    <w:abstractNumId w:val="71"/>
  </w:num>
  <w:num w:numId="18" w16cid:durableId="1567450597">
    <w:abstractNumId w:val="70"/>
  </w:num>
  <w:num w:numId="19" w16cid:durableId="1245143489">
    <w:abstractNumId w:val="26"/>
  </w:num>
  <w:num w:numId="20" w16cid:durableId="2133937189">
    <w:abstractNumId w:val="44"/>
  </w:num>
  <w:num w:numId="21" w16cid:durableId="2100056156">
    <w:abstractNumId w:val="61"/>
  </w:num>
  <w:num w:numId="22" w16cid:durableId="358164367">
    <w:abstractNumId w:val="55"/>
  </w:num>
  <w:num w:numId="23" w16cid:durableId="1312253485">
    <w:abstractNumId w:val="11"/>
  </w:num>
  <w:num w:numId="24" w16cid:durableId="698747840">
    <w:abstractNumId w:val="42"/>
  </w:num>
  <w:num w:numId="25" w16cid:durableId="1787384271">
    <w:abstractNumId w:val="0"/>
  </w:num>
  <w:num w:numId="26" w16cid:durableId="739446563">
    <w:abstractNumId w:val="27"/>
  </w:num>
  <w:num w:numId="27" w16cid:durableId="1532955492">
    <w:abstractNumId w:val="67"/>
  </w:num>
  <w:num w:numId="28" w16cid:durableId="510222682">
    <w:abstractNumId w:val="32"/>
  </w:num>
  <w:num w:numId="29" w16cid:durableId="1962149968">
    <w:abstractNumId w:val="29"/>
  </w:num>
  <w:num w:numId="30" w16cid:durableId="313410995">
    <w:abstractNumId w:val="77"/>
  </w:num>
  <w:num w:numId="31" w16cid:durableId="854920822">
    <w:abstractNumId w:val="93"/>
  </w:num>
  <w:num w:numId="32" w16cid:durableId="1989506697">
    <w:abstractNumId w:val="8"/>
  </w:num>
  <w:num w:numId="33" w16cid:durableId="1126658222">
    <w:abstractNumId w:val="41"/>
  </w:num>
  <w:num w:numId="34" w16cid:durableId="383650414">
    <w:abstractNumId w:val="81"/>
  </w:num>
  <w:num w:numId="35" w16cid:durableId="114839032">
    <w:abstractNumId w:val="80"/>
  </w:num>
  <w:num w:numId="36" w16cid:durableId="1964381410">
    <w:abstractNumId w:val="60"/>
  </w:num>
  <w:num w:numId="37" w16cid:durableId="1731423875">
    <w:abstractNumId w:val="4"/>
  </w:num>
  <w:num w:numId="38" w16cid:durableId="1617180281">
    <w:abstractNumId w:val="66"/>
  </w:num>
  <w:num w:numId="39" w16cid:durableId="2117167342">
    <w:abstractNumId w:val="89"/>
  </w:num>
  <w:num w:numId="40" w16cid:durableId="1214460539">
    <w:abstractNumId w:val="16"/>
  </w:num>
  <w:num w:numId="41" w16cid:durableId="1368871213">
    <w:abstractNumId w:val="45"/>
  </w:num>
  <w:num w:numId="42" w16cid:durableId="1957248674">
    <w:abstractNumId w:val="73"/>
  </w:num>
  <w:num w:numId="43" w16cid:durableId="424111623">
    <w:abstractNumId w:val="102"/>
  </w:num>
  <w:num w:numId="44" w16cid:durableId="1206914215">
    <w:abstractNumId w:val="99"/>
  </w:num>
  <w:num w:numId="45" w16cid:durableId="1352681954">
    <w:abstractNumId w:val="56"/>
  </w:num>
  <w:num w:numId="46" w16cid:durableId="872496601">
    <w:abstractNumId w:val="100"/>
  </w:num>
  <w:num w:numId="47" w16cid:durableId="1668098197">
    <w:abstractNumId w:val="75"/>
  </w:num>
  <w:num w:numId="48" w16cid:durableId="529802924">
    <w:abstractNumId w:val="24"/>
  </w:num>
  <w:num w:numId="49" w16cid:durableId="1062018440">
    <w:abstractNumId w:val="15"/>
  </w:num>
  <w:num w:numId="50" w16cid:durableId="431365219">
    <w:abstractNumId w:val="38"/>
  </w:num>
  <w:num w:numId="51" w16cid:durableId="716902979">
    <w:abstractNumId w:val="88"/>
  </w:num>
  <w:num w:numId="52" w16cid:durableId="1449009060">
    <w:abstractNumId w:val="101"/>
  </w:num>
  <w:num w:numId="53" w16cid:durableId="398403113">
    <w:abstractNumId w:val="1"/>
  </w:num>
  <w:num w:numId="54" w16cid:durableId="443696768">
    <w:abstractNumId w:val="2"/>
  </w:num>
  <w:num w:numId="55" w16cid:durableId="1450977572">
    <w:abstractNumId w:val="9"/>
  </w:num>
  <w:num w:numId="56" w16cid:durableId="2050258456">
    <w:abstractNumId w:val="47"/>
  </w:num>
  <w:num w:numId="57" w16cid:durableId="1309625319">
    <w:abstractNumId w:val="25"/>
  </w:num>
  <w:num w:numId="58" w16cid:durableId="745957429">
    <w:abstractNumId w:val="12"/>
  </w:num>
  <w:num w:numId="59" w16cid:durableId="84233672">
    <w:abstractNumId w:val="90"/>
  </w:num>
  <w:num w:numId="60" w16cid:durableId="904604933">
    <w:abstractNumId w:val="46"/>
  </w:num>
  <w:num w:numId="61" w16cid:durableId="1407847318">
    <w:abstractNumId w:val="22"/>
  </w:num>
  <w:num w:numId="62" w16cid:durableId="588582386">
    <w:abstractNumId w:val="96"/>
  </w:num>
  <w:num w:numId="63" w16cid:durableId="776290926">
    <w:abstractNumId w:val="40"/>
  </w:num>
  <w:num w:numId="64" w16cid:durableId="845750298">
    <w:abstractNumId w:val="94"/>
  </w:num>
  <w:num w:numId="65" w16cid:durableId="923151644">
    <w:abstractNumId w:val="63"/>
  </w:num>
  <w:num w:numId="66" w16cid:durableId="1267884923">
    <w:abstractNumId w:val="48"/>
  </w:num>
  <w:num w:numId="67" w16cid:durableId="1093015259">
    <w:abstractNumId w:val="49"/>
  </w:num>
  <w:num w:numId="68" w16cid:durableId="156269176">
    <w:abstractNumId w:val="43"/>
  </w:num>
  <w:num w:numId="69" w16cid:durableId="633872834">
    <w:abstractNumId w:val="62"/>
  </w:num>
  <w:num w:numId="70" w16cid:durableId="1439445548">
    <w:abstractNumId w:val="34"/>
  </w:num>
  <w:num w:numId="71" w16cid:durableId="229078659">
    <w:abstractNumId w:val="76"/>
  </w:num>
  <w:num w:numId="72" w16cid:durableId="1411973146">
    <w:abstractNumId w:val="74"/>
  </w:num>
  <w:num w:numId="73" w16cid:durableId="169832399">
    <w:abstractNumId w:val="13"/>
  </w:num>
  <w:num w:numId="74" w16cid:durableId="608657961">
    <w:abstractNumId w:val="21"/>
  </w:num>
  <w:num w:numId="75" w16cid:durableId="309214112">
    <w:abstractNumId w:val="17"/>
  </w:num>
  <w:num w:numId="76" w16cid:durableId="1138305424">
    <w:abstractNumId w:val="64"/>
  </w:num>
  <w:num w:numId="77" w16cid:durableId="938559901">
    <w:abstractNumId w:val="50"/>
  </w:num>
  <w:num w:numId="78" w16cid:durableId="1303851290">
    <w:abstractNumId w:val="86"/>
  </w:num>
  <w:num w:numId="79" w16cid:durableId="1660428829">
    <w:abstractNumId w:val="37"/>
  </w:num>
  <w:num w:numId="80" w16cid:durableId="1979646195">
    <w:abstractNumId w:val="5"/>
  </w:num>
  <w:num w:numId="81" w16cid:durableId="160194102">
    <w:abstractNumId w:val="84"/>
  </w:num>
  <w:num w:numId="82" w16cid:durableId="2059862963">
    <w:abstractNumId w:val="14"/>
  </w:num>
  <w:num w:numId="83" w16cid:durableId="541478510">
    <w:abstractNumId w:val="35"/>
  </w:num>
  <w:num w:numId="84" w16cid:durableId="161504602">
    <w:abstractNumId w:val="33"/>
  </w:num>
  <w:num w:numId="85" w16cid:durableId="2140612218">
    <w:abstractNumId w:val="23"/>
  </w:num>
  <w:num w:numId="86" w16cid:durableId="1429229971">
    <w:abstractNumId w:val="92"/>
  </w:num>
  <w:num w:numId="87" w16cid:durableId="798719314">
    <w:abstractNumId w:val="97"/>
  </w:num>
  <w:num w:numId="88" w16cid:durableId="2111778256">
    <w:abstractNumId w:val="6"/>
  </w:num>
  <w:num w:numId="89" w16cid:durableId="1142696637">
    <w:abstractNumId w:val="65"/>
  </w:num>
  <w:num w:numId="90" w16cid:durableId="1296447736">
    <w:abstractNumId w:val="18"/>
  </w:num>
  <w:num w:numId="91" w16cid:durableId="1295714248">
    <w:abstractNumId w:val="51"/>
  </w:num>
  <w:num w:numId="92" w16cid:durableId="1054043409">
    <w:abstractNumId w:val="20"/>
  </w:num>
  <w:num w:numId="93" w16cid:durableId="16587677">
    <w:abstractNumId w:val="57"/>
  </w:num>
  <w:num w:numId="94" w16cid:durableId="2101636858">
    <w:abstractNumId w:val="95"/>
  </w:num>
  <w:num w:numId="95" w16cid:durableId="1103720055">
    <w:abstractNumId w:val="36"/>
  </w:num>
  <w:num w:numId="96" w16cid:durableId="343359424">
    <w:abstractNumId w:val="39"/>
  </w:num>
  <w:num w:numId="97" w16cid:durableId="1799765269">
    <w:abstractNumId w:val="52"/>
  </w:num>
  <w:num w:numId="98" w16cid:durableId="541747655">
    <w:abstractNumId w:val="28"/>
  </w:num>
  <w:num w:numId="99" w16cid:durableId="871189648">
    <w:abstractNumId w:val="83"/>
  </w:num>
  <w:num w:numId="100" w16cid:durableId="1909654247">
    <w:abstractNumId w:val="91"/>
  </w:num>
  <w:num w:numId="101" w16cid:durableId="427847537">
    <w:abstractNumId w:val="19"/>
  </w:num>
  <w:num w:numId="102" w16cid:durableId="466775534">
    <w:abstractNumId w:val="59"/>
  </w:num>
  <w:num w:numId="103" w16cid:durableId="8068884">
    <w:abstractNumId w:val="98"/>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a0sDQ0MrY0MDE3sDBS0lEKTi0uzszPAykwqgUAWXsDDiwAAAA="/>
  </w:docVars>
  <w:rsids>
    <w:rsidRoot w:val="00626F1A"/>
    <w:rsid w:val="002448A0"/>
    <w:rsid w:val="003C25DD"/>
    <w:rsid w:val="00430C1F"/>
    <w:rsid w:val="00626F1A"/>
    <w:rsid w:val="006D3779"/>
    <w:rsid w:val="00731B35"/>
    <w:rsid w:val="00A30E4B"/>
    <w:rsid w:val="00B07DDD"/>
    <w:rsid w:val="00B2276E"/>
    <w:rsid w:val="00C837CD"/>
    <w:rsid w:val="00D6421E"/>
    <w:rsid w:val="00D6489E"/>
    <w:rsid w:val="00D73834"/>
    <w:rsid w:val="00F74171"/>
    <w:rsid w:val="00F85E23"/>
    <w:rsid w:val="00FE5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F37E69"/>
  <w15:chartTrackingRefBased/>
  <w15:docId w15:val="{C07DC2E4-F4D9-4ED7-84E2-413347801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25DD"/>
    <w:pPr>
      <w:keepNext/>
      <w:keepLines/>
      <w:spacing w:before="240" w:after="0"/>
      <w:outlineLvl w:val="0"/>
    </w:pPr>
    <w:rPr>
      <w:rFonts w:asciiTheme="majorHAnsi" w:eastAsiaTheme="majorEastAsia" w:hAnsiTheme="majorHAnsi" w:cstheme="majorBidi"/>
      <w:b/>
      <w:color w:val="002060"/>
      <w:sz w:val="36"/>
      <w:szCs w:val="32"/>
    </w:rPr>
  </w:style>
  <w:style w:type="paragraph" w:styleId="Heading2">
    <w:name w:val="heading 2"/>
    <w:basedOn w:val="Normal"/>
    <w:next w:val="Normal"/>
    <w:link w:val="Heading2Char"/>
    <w:uiPriority w:val="9"/>
    <w:unhideWhenUsed/>
    <w:qFormat/>
    <w:rsid w:val="003C25DD"/>
    <w:pPr>
      <w:keepNext/>
      <w:keepLines/>
      <w:spacing w:before="40" w:after="0"/>
      <w:outlineLvl w:val="1"/>
    </w:pPr>
    <w:rPr>
      <w:rFonts w:asciiTheme="majorHAnsi" w:eastAsiaTheme="majorEastAsia" w:hAnsiTheme="majorHAnsi" w:cstheme="majorBidi"/>
      <w:b/>
      <w:color w:val="002060"/>
      <w:sz w:val="24"/>
      <w:szCs w:val="26"/>
    </w:rPr>
  </w:style>
  <w:style w:type="paragraph" w:styleId="Heading3">
    <w:name w:val="heading 3"/>
    <w:basedOn w:val="Normal"/>
    <w:next w:val="Normal"/>
    <w:link w:val="Heading3Char"/>
    <w:uiPriority w:val="9"/>
    <w:semiHidden/>
    <w:unhideWhenUsed/>
    <w:qFormat/>
    <w:rsid w:val="00731B3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5DD"/>
    <w:rPr>
      <w:rFonts w:asciiTheme="majorHAnsi" w:eastAsiaTheme="majorEastAsia" w:hAnsiTheme="majorHAnsi" w:cstheme="majorBidi"/>
      <w:b/>
      <w:color w:val="002060"/>
      <w:sz w:val="36"/>
      <w:szCs w:val="32"/>
    </w:rPr>
  </w:style>
  <w:style w:type="character" w:styleId="Hyperlink">
    <w:name w:val="Hyperlink"/>
    <w:basedOn w:val="DefaultParagraphFont"/>
    <w:uiPriority w:val="99"/>
    <w:unhideWhenUsed/>
    <w:rsid w:val="00626F1A"/>
    <w:rPr>
      <w:color w:val="0563C1" w:themeColor="hyperlink"/>
      <w:u w:val="single"/>
    </w:rPr>
  </w:style>
  <w:style w:type="character" w:styleId="UnresolvedMention">
    <w:name w:val="Unresolved Mention"/>
    <w:basedOn w:val="DefaultParagraphFont"/>
    <w:uiPriority w:val="99"/>
    <w:semiHidden/>
    <w:unhideWhenUsed/>
    <w:rsid w:val="00626F1A"/>
    <w:rPr>
      <w:color w:val="605E5C"/>
      <w:shd w:val="clear" w:color="auto" w:fill="E1DFDD"/>
    </w:rPr>
  </w:style>
  <w:style w:type="character" w:customStyle="1" w:styleId="Heading2Char">
    <w:name w:val="Heading 2 Char"/>
    <w:basedOn w:val="DefaultParagraphFont"/>
    <w:link w:val="Heading2"/>
    <w:uiPriority w:val="9"/>
    <w:rsid w:val="003C25DD"/>
    <w:rPr>
      <w:rFonts w:asciiTheme="majorHAnsi" w:eastAsiaTheme="majorEastAsia" w:hAnsiTheme="majorHAnsi" w:cstheme="majorBidi"/>
      <w:b/>
      <w:color w:val="002060"/>
      <w:sz w:val="24"/>
      <w:szCs w:val="26"/>
    </w:rPr>
  </w:style>
  <w:style w:type="character" w:customStyle="1" w:styleId="Heading3Char">
    <w:name w:val="Heading 3 Char"/>
    <w:basedOn w:val="DefaultParagraphFont"/>
    <w:link w:val="Heading3"/>
    <w:uiPriority w:val="9"/>
    <w:semiHidden/>
    <w:rsid w:val="00731B35"/>
    <w:rPr>
      <w:rFonts w:asciiTheme="majorHAnsi" w:eastAsiaTheme="majorEastAsia" w:hAnsiTheme="majorHAnsi" w:cstheme="majorBidi"/>
      <w:color w:val="1F3763" w:themeColor="accent1" w:themeShade="7F"/>
      <w:sz w:val="24"/>
      <w:szCs w:val="24"/>
    </w:rPr>
  </w:style>
  <w:style w:type="paragraph" w:customStyle="1" w:styleId="paragraph">
    <w:name w:val="paragraph"/>
    <w:basedOn w:val="Normal"/>
    <w:rsid w:val="00731B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31B35"/>
  </w:style>
  <w:style w:type="character" w:customStyle="1" w:styleId="eop">
    <w:name w:val="eop"/>
    <w:basedOn w:val="DefaultParagraphFont"/>
    <w:rsid w:val="00731B35"/>
  </w:style>
  <w:style w:type="character" w:customStyle="1" w:styleId="scxw265612105">
    <w:name w:val="scxw265612105"/>
    <w:basedOn w:val="DefaultParagraphFont"/>
    <w:rsid w:val="00731B35"/>
  </w:style>
  <w:style w:type="paragraph" w:styleId="BodyText">
    <w:name w:val="Body Text"/>
    <w:basedOn w:val="Normal"/>
    <w:link w:val="BodyTextChar"/>
    <w:uiPriority w:val="1"/>
    <w:qFormat/>
    <w:rsid w:val="00731B35"/>
    <w:pPr>
      <w:widowControl w:val="0"/>
      <w:autoSpaceDE w:val="0"/>
      <w:autoSpaceDN w:val="0"/>
      <w:spacing w:after="0" w:line="240" w:lineRule="auto"/>
      <w:ind w:left="840"/>
    </w:pPr>
    <w:rPr>
      <w:rFonts w:ascii="Calibri" w:eastAsia="Calibri" w:hAnsi="Calibri" w:cs="Calibri"/>
      <w:sz w:val="24"/>
      <w:szCs w:val="24"/>
    </w:rPr>
  </w:style>
  <w:style w:type="character" w:customStyle="1" w:styleId="BodyTextChar">
    <w:name w:val="Body Text Char"/>
    <w:basedOn w:val="DefaultParagraphFont"/>
    <w:link w:val="BodyText"/>
    <w:uiPriority w:val="1"/>
    <w:rsid w:val="00731B35"/>
    <w:rPr>
      <w:rFonts w:ascii="Calibri" w:eastAsia="Calibri" w:hAnsi="Calibri" w:cs="Calibri"/>
      <w:sz w:val="24"/>
      <w:szCs w:val="24"/>
    </w:rPr>
  </w:style>
  <w:style w:type="paragraph" w:styleId="Title">
    <w:name w:val="Title"/>
    <w:basedOn w:val="Normal"/>
    <w:link w:val="TitleChar"/>
    <w:uiPriority w:val="10"/>
    <w:qFormat/>
    <w:rsid w:val="00731B35"/>
    <w:pPr>
      <w:widowControl w:val="0"/>
      <w:autoSpaceDE w:val="0"/>
      <w:autoSpaceDN w:val="0"/>
      <w:spacing w:before="1" w:after="0" w:line="240" w:lineRule="auto"/>
      <w:ind w:left="120"/>
    </w:pPr>
    <w:rPr>
      <w:rFonts w:ascii="Calibri Light" w:eastAsia="Calibri Light" w:hAnsi="Calibri Light" w:cs="Calibri Light"/>
      <w:sz w:val="36"/>
      <w:szCs w:val="36"/>
    </w:rPr>
  </w:style>
  <w:style w:type="character" w:customStyle="1" w:styleId="TitleChar">
    <w:name w:val="Title Char"/>
    <w:basedOn w:val="DefaultParagraphFont"/>
    <w:link w:val="Title"/>
    <w:uiPriority w:val="10"/>
    <w:rsid w:val="00731B35"/>
    <w:rPr>
      <w:rFonts w:ascii="Calibri Light" w:eastAsia="Calibri Light" w:hAnsi="Calibri Light" w:cs="Calibri Light"/>
      <w:sz w:val="36"/>
      <w:szCs w:val="36"/>
    </w:rPr>
  </w:style>
  <w:style w:type="paragraph" w:styleId="ListParagraph">
    <w:name w:val="List Paragraph"/>
    <w:basedOn w:val="Normal"/>
    <w:uiPriority w:val="1"/>
    <w:qFormat/>
    <w:rsid w:val="00731B35"/>
    <w:pPr>
      <w:widowControl w:val="0"/>
      <w:autoSpaceDE w:val="0"/>
      <w:autoSpaceDN w:val="0"/>
      <w:spacing w:after="0" w:line="240" w:lineRule="auto"/>
      <w:ind w:left="840" w:hanging="360"/>
    </w:pPr>
    <w:rPr>
      <w:rFonts w:ascii="Calibri" w:eastAsia="Calibri" w:hAnsi="Calibri" w:cs="Calibri"/>
    </w:rPr>
  </w:style>
  <w:style w:type="paragraph" w:customStyle="1" w:styleId="TableParagraph">
    <w:name w:val="Table Paragraph"/>
    <w:basedOn w:val="Normal"/>
    <w:uiPriority w:val="1"/>
    <w:qFormat/>
    <w:rsid w:val="00731B35"/>
    <w:pPr>
      <w:widowControl w:val="0"/>
      <w:autoSpaceDE w:val="0"/>
      <w:autoSpaceDN w:val="0"/>
      <w:spacing w:after="0" w:line="240" w:lineRule="auto"/>
    </w:pPr>
    <w:rPr>
      <w:rFonts w:ascii="Calibri" w:eastAsia="Calibri" w:hAnsi="Calibri" w:cs="Calibri"/>
    </w:rPr>
  </w:style>
  <w:style w:type="character" w:customStyle="1" w:styleId="scxw218559234">
    <w:name w:val="scxw218559234"/>
    <w:basedOn w:val="DefaultParagraphFont"/>
    <w:rsid w:val="00731B35"/>
  </w:style>
  <w:style w:type="character" w:customStyle="1" w:styleId="contextualspellingandgrammarerror">
    <w:name w:val="contextualspellingandgrammarerror"/>
    <w:basedOn w:val="DefaultParagraphFont"/>
    <w:rsid w:val="00731B35"/>
  </w:style>
  <w:style w:type="character" w:customStyle="1" w:styleId="scxw233454306">
    <w:name w:val="scxw233454306"/>
    <w:basedOn w:val="DefaultParagraphFont"/>
    <w:rsid w:val="003C25DD"/>
  </w:style>
  <w:style w:type="character" w:customStyle="1" w:styleId="spellingerror">
    <w:name w:val="spellingerror"/>
    <w:basedOn w:val="DefaultParagraphFont"/>
    <w:rsid w:val="003C25DD"/>
  </w:style>
  <w:style w:type="character" w:customStyle="1" w:styleId="advancedproofingissue">
    <w:name w:val="advancedproofingissue"/>
    <w:basedOn w:val="DefaultParagraphFont"/>
    <w:rsid w:val="003C25DD"/>
  </w:style>
  <w:style w:type="paragraph" w:styleId="TOCHeading">
    <w:name w:val="TOC Heading"/>
    <w:basedOn w:val="Heading1"/>
    <w:next w:val="Normal"/>
    <w:uiPriority w:val="39"/>
    <w:unhideWhenUsed/>
    <w:qFormat/>
    <w:rsid w:val="003C25DD"/>
    <w:pPr>
      <w:outlineLvl w:val="9"/>
    </w:pPr>
    <w:rPr>
      <w:b w:val="0"/>
      <w:color w:val="2F5496" w:themeColor="accent1" w:themeShade="BF"/>
      <w:sz w:val="32"/>
    </w:rPr>
  </w:style>
  <w:style w:type="paragraph" w:styleId="TOC1">
    <w:name w:val="toc 1"/>
    <w:basedOn w:val="Normal"/>
    <w:next w:val="Normal"/>
    <w:autoRedefine/>
    <w:uiPriority w:val="39"/>
    <w:unhideWhenUsed/>
    <w:rsid w:val="003C25DD"/>
    <w:pPr>
      <w:spacing w:after="100"/>
    </w:pPr>
  </w:style>
  <w:style w:type="paragraph" w:styleId="TOC2">
    <w:name w:val="toc 2"/>
    <w:basedOn w:val="Normal"/>
    <w:next w:val="Normal"/>
    <w:autoRedefine/>
    <w:uiPriority w:val="39"/>
    <w:unhideWhenUsed/>
    <w:rsid w:val="003C25DD"/>
    <w:pPr>
      <w:spacing w:after="100"/>
      <w:ind w:left="220"/>
    </w:pPr>
  </w:style>
  <w:style w:type="paragraph" w:styleId="TOC3">
    <w:name w:val="toc 3"/>
    <w:basedOn w:val="Normal"/>
    <w:next w:val="Normal"/>
    <w:autoRedefine/>
    <w:uiPriority w:val="39"/>
    <w:unhideWhenUsed/>
    <w:rsid w:val="003C25DD"/>
    <w:pPr>
      <w:spacing w:after="100"/>
      <w:ind w:left="440"/>
    </w:pPr>
  </w:style>
  <w:style w:type="paragraph" w:styleId="Header">
    <w:name w:val="header"/>
    <w:basedOn w:val="Normal"/>
    <w:link w:val="HeaderChar"/>
    <w:uiPriority w:val="99"/>
    <w:unhideWhenUsed/>
    <w:rsid w:val="003C25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5DD"/>
  </w:style>
  <w:style w:type="paragraph" w:styleId="Footer">
    <w:name w:val="footer"/>
    <w:basedOn w:val="Normal"/>
    <w:link w:val="FooterChar"/>
    <w:uiPriority w:val="99"/>
    <w:unhideWhenUsed/>
    <w:rsid w:val="003C2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ED.ODEO@state.mn.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ather.Stein@state.mn.u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po.gov/fdsys/pkg/FR-2016-12-02/pdf/2016-27737.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92F27-A45E-4926-8AE9-5CE33C80B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2ED5412-BB3F-4F95-A25E-EB5A7BAA0A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E03A10-9EC9-4C07-BE1E-951151C62406}">
  <ds:schemaRefs>
    <ds:schemaRef ds:uri="http://schemas.microsoft.com/sharepoint/v3/contenttype/forms"/>
  </ds:schemaRefs>
</ds:datastoreItem>
</file>

<file path=customXml/itemProps4.xml><?xml version="1.0" encoding="utf-8"?>
<ds:datastoreItem xmlns:ds="http://schemas.openxmlformats.org/officeDocument/2006/customXml" ds:itemID="{10BB5B79-9AE4-48D8-B6CC-3311377FF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1405</Words>
  <Characters>8012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Lilledahl, Karen (DEED)</dc:creator>
  <cp:keywords/>
  <dc:description/>
  <cp:lastModifiedBy>White, Deanne (DEED)</cp:lastModifiedBy>
  <cp:revision>3</cp:revision>
  <dcterms:created xsi:type="dcterms:W3CDTF">2023-04-07T14:03:00Z</dcterms:created>
  <dcterms:modified xsi:type="dcterms:W3CDTF">2023-04-07T14:22:00Z</dcterms:modified>
</cp:coreProperties>
</file>