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974F" w14:textId="77777777" w:rsidR="00731B35" w:rsidRPr="004A3008" w:rsidRDefault="00731B35" w:rsidP="00731B35">
      <w:pPr>
        <w:keepNext/>
        <w:keepLines/>
        <w:spacing w:before="40" w:after="0"/>
        <w:outlineLvl w:val="1"/>
        <w:rPr>
          <w:rFonts w:asciiTheme="majorHAnsi" w:eastAsia="Times New Roman" w:hAnsiTheme="majorHAnsi" w:cstheme="majorBidi"/>
          <w:b/>
          <w:color w:val="002060"/>
          <w:sz w:val="24"/>
          <w:szCs w:val="26"/>
        </w:rPr>
      </w:pPr>
      <w:r w:rsidRPr="004A3008">
        <w:rPr>
          <w:rFonts w:asciiTheme="majorHAnsi" w:eastAsia="Times New Roman" w:hAnsiTheme="majorHAnsi" w:cstheme="majorBidi"/>
          <w:b/>
          <w:color w:val="002060"/>
          <w:sz w:val="24"/>
          <w:szCs w:val="26"/>
        </w:rPr>
        <w:t>EQUAL OPPORTUNITY</w:t>
      </w:r>
    </w:p>
    <w:p w14:paraId="3B609428" w14:textId="77777777" w:rsidR="00731B35" w:rsidRPr="004A3008" w:rsidRDefault="00731B35" w:rsidP="00731B35">
      <w:pPr>
        <w:keepNext/>
        <w:keepLines/>
        <w:tabs>
          <w:tab w:val="left" w:pos="3345"/>
        </w:tabs>
        <w:spacing w:before="240" w:after="120" w:line="271" w:lineRule="auto"/>
        <w:outlineLvl w:val="0"/>
        <w:rPr>
          <w:rFonts w:asciiTheme="majorHAnsi" w:hAnsiTheme="majorHAnsi"/>
          <w:b/>
          <w:color w:val="003865"/>
          <w:sz w:val="36"/>
          <w:szCs w:val="48"/>
        </w:rPr>
      </w:pPr>
      <w:r w:rsidRPr="004A3008">
        <w:rPr>
          <w:rFonts w:asciiTheme="majorHAnsi" w:hAnsiTheme="majorHAnsi"/>
          <w:b/>
          <w:color w:val="003865"/>
          <w:sz w:val="36"/>
          <w:szCs w:val="48"/>
        </w:rPr>
        <w:t>Chapter 4: Data Information Collection and Maintenance (29 CFR 38.41 - 38.45)</w:t>
      </w:r>
    </w:p>
    <w:p w14:paraId="03208FF0" w14:textId="77777777" w:rsidR="00731B35" w:rsidRPr="004A3008" w:rsidRDefault="00731B35" w:rsidP="00731B35">
      <w:pPr>
        <w:spacing w:before="100" w:beforeAutospacing="1" w:after="100" w:afterAutospacing="1" w:line="270" w:lineRule="atLeast"/>
        <w:rPr>
          <w:rFonts w:eastAsiaTheme="majorEastAsia" w:cstheme="majorBidi"/>
          <w:b/>
          <w:color w:val="1F3763" w:themeColor="accent1" w:themeShade="7F"/>
          <w:sz w:val="24"/>
          <w:szCs w:val="24"/>
        </w:rPr>
      </w:pPr>
      <w:r w:rsidRPr="004A3008">
        <w:rPr>
          <w:rFonts w:eastAsiaTheme="majorEastAsia" w:cstheme="majorBidi"/>
          <w:b/>
          <w:color w:val="1F3763" w:themeColor="accent1" w:themeShade="7F"/>
          <w:sz w:val="24"/>
          <w:szCs w:val="24"/>
        </w:rPr>
        <w:t>Summary</w:t>
      </w:r>
      <w:r w:rsidRPr="004A3008">
        <w:rPr>
          <w:sz w:val="24"/>
        </w:rPr>
        <w:br/>
        <w:t>This chapter identifies DEED’s compliance with Element 4 of the Nondiscrimination Plan which requires that recipients of Workforce Innovation and Opportunity Act (WIOA) Title I funds collect certain WIOA Title I and other related activity and equal opportunity data for program evaluation. It is the Governor’s responsibility to ensure that the State is collecting and maintaining records in a manner that is consistent with the requirements under this provision</w:t>
      </w:r>
      <w:r w:rsidRPr="004A3008">
        <w:rPr>
          <w:rFonts w:eastAsiaTheme="majorEastAsia" w:cstheme="majorBidi"/>
          <w:b/>
          <w:color w:val="1F3763" w:themeColor="accent1" w:themeShade="7F"/>
          <w:sz w:val="24"/>
          <w:szCs w:val="24"/>
        </w:rPr>
        <w:t>.</w:t>
      </w:r>
    </w:p>
    <w:p w14:paraId="133E8FA8" w14:textId="77777777" w:rsidR="00731B35" w:rsidRPr="004A3008" w:rsidRDefault="00731B35" w:rsidP="00731B35">
      <w:pPr>
        <w:spacing w:before="100" w:beforeAutospacing="1" w:after="100" w:afterAutospacing="1" w:line="270" w:lineRule="atLeast"/>
        <w:rPr>
          <w:rFonts w:eastAsiaTheme="majorEastAsia" w:cstheme="majorBidi"/>
          <w:b/>
          <w:color w:val="1F3763" w:themeColor="accent1" w:themeShade="7F"/>
          <w:sz w:val="24"/>
          <w:szCs w:val="24"/>
        </w:rPr>
      </w:pPr>
      <w:r w:rsidRPr="004A3008">
        <w:rPr>
          <w:rFonts w:eastAsiaTheme="majorEastAsia" w:cstheme="majorBidi"/>
          <w:b/>
          <w:color w:val="1F3763" w:themeColor="accent1" w:themeShade="7F"/>
          <w:sz w:val="24"/>
          <w:szCs w:val="24"/>
        </w:rPr>
        <w:t>Relevant Laws, Rules, or Policies</w:t>
      </w:r>
      <w:r w:rsidRPr="004A3008">
        <w:rPr>
          <w:sz w:val="24"/>
        </w:rPr>
        <w:br/>
      </w:r>
      <w:hyperlink r:id="rId11">
        <w:r w:rsidRPr="00BE2F67">
          <w:rPr>
            <w:color w:val="0000FF"/>
            <w:sz w:val="24"/>
            <w:u w:val="single"/>
          </w:rPr>
          <w:t>WIOA, Final Rules, 20 CFR, Part 603, 651, 652 et al</w:t>
        </w:r>
        <w:r w:rsidRPr="00BE2F67">
          <w:rPr>
            <w:color w:val="0000FF"/>
            <w:sz w:val="24"/>
          </w:rPr>
          <w:br/>
        </w:r>
      </w:hyperlink>
      <w:hyperlink r:id="rId12" w:tgtFrame="_blank" w:tooltip="Minn. Stat. Chapter 13" w:history="1">
        <w:r w:rsidRPr="00BE2F67">
          <w:rPr>
            <w:color w:val="0000FF"/>
            <w:sz w:val="24"/>
            <w:u w:val="single"/>
          </w:rPr>
          <w:t>Minnesota Statute Chapter 13</w:t>
        </w:r>
      </w:hyperlink>
    </w:p>
    <w:p w14:paraId="6219CC9D" w14:textId="77777777" w:rsidR="00731B35" w:rsidRPr="004A3008" w:rsidRDefault="00731B35" w:rsidP="00731B35">
      <w:pPr>
        <w:spacing w:before="100" w:beforeAutospacing="1" w:after="100" w:afterAutospacing="1" w:line="270" w:lineRule="atLeast"/>
        <w:rPr>
          <w:rFonts w:eastAsiaTheme="majorEastAsia" w:cstheme="majorBidi"/>
          <w:b/>
          <w:color w:val="1F3763" w:themeColor="accent1" w:themeShade="7F"/>
          <w:sz w:val="24"/>
          <w:szCs w:val="24"/>
        </w:rPr>
      </w:pPr>
      <w:r w:rsidRPr="004A3008">
        <w:rPr>
          <w:rFonts w:eastAsiaTheme="majorEastAsia" w:cstheme="majorBidi"/>
          <w:b/>
          <w:color w:val="1F3763" w:themeColor="accent1" w:themeShade="7F"/>
          <w:sz w:val="24"/>
          <w:szCs w:val="24"/>
        </w:rPr>
        <w:t>Effective Date</w:t>
      </w:r>
      <w:r w:rsidRPr="004A3008">
        <w:rPr>
          <w:sz w:val="24"/>
        </w:rPr>
        <w:br/>
        <w:t xml:space="preserve">January 2, 2017 </w:t>
      </w:r>
    </w:p>
    <w:p w14:paraId="12CB96CD" w14:textId="77777777" w:rsidR="00731B35" w:rsidRPr="004A3008" w:rsidRDefault="00731B35" w:rsidP="00731B35">
      <w:pPr>
        <w:spacing w:before="100" w:beforeAutospacing="1" w:after="100" w:afterAutospacing="1" w:line="270" w:lineRule="atLeast"/>
        <w:rPr>
          <w:rFonts w:eastAsiaTheme="majorEastAsia" w:cstheme="majorBidi"/>
          <w:b/>
          <w:color w:val="1F3763" w:themeColor="accent1" w:themeShade="7F"/>
          <w:sz w:val="24"/>
          <w:szCs w:val="24"/>
        </w:rPr>
      </w:pPr>
      <w:r w:rsidRPr="004A3008">
        <w:rPr>
          <w:rFonts w:eastAsiaTheme="majorEastAsia" w:cstheme="majorBidi"/>
          <w:b/>
          <w:color w:val="1F3763" w:themeColor="accent1" w:themeShade="7F"/>
          <w:sz w:val="24"/>
          <w:szCs w:val="24"/>
        </w:rPr>
        <w:t>Last Updated</w:t>
      </w:r>
      <w:r w:rsidRPr="004A3008">
        <w:rPr>
          <w:sz w:val="24"/>
        </w:rPr>
        <w:br/>
        <w:t>November 1, 2022</w:t>
      </w:r>
    </w:p>
    <w:p w14:paraId="2765024D" w14:textId="77777777" w:rsidR="00731B35" w:rsidRPr="004A3008" w:rsidRDefault="00731B35" w:rsidP="00731B35">
      <w:pPr>
        <w:spacing w:before="100" w:beforeAutospacing="1" w:after="100" w:afterAutospacing="1" w:line="270" w:lineRule="atLeast"/>
        <w:rPr>
          <w:sz w:val="24"/>
        </w:rPr>
      </w:pPr>
      <w:r w:rsidRPr="004A3008">
        <w:rPr>
          <w:rFonts w:eastAsiaTheme="majorEastAsia" w:cstheme="majorBidi"/>
          <w:b/>
          <w:color w:val="1F3763" w:themeColor="accent1" w:themeShade="7F"/>
          <w:sz w:val="24"/>
          <w:szCs w:val="24"/>
        </w:rPr>
        <w:t>Contact</w:t>
      </w:r>
      <w:r w:rsidRPr="004A3008">
        <w:rPr>
          <w:sz w:val="24"/>
        </w:rPr>
        <w:br/>
        <w:t>Heather Stein, </w:t>
      </w:r>
      <w:hyperlink r:id="rId13">
        <w:r w:rsidRPr="004A3008">
          <w:rPr>
            <w:sz w:val="24"/>
          </w:rPr>
          <w:t>heather.stein@state.mn.us</w:t>
        </w:r>
        <w:r w:rsidRPr="004A3008">
          <w:rPr>
            <w:sz w:val="24"/>
          </w:rPr>
          <w:br/>
        </w:r>
      </w:hyperlink>
      <w:r w:rsidRPr="004A3008">
        <w:rPr>
          <w:sz w:val="24"/>
        </w:rPr>
        <w:t>Tel 651.259.7097</w:t>
      </w:r>
      <w:r w:rsidRPr="004A3008">
        <w:rPr>
          <w:sz w:val="24"/>
        </w:rPr>
        <w:br/>
        <w:t>Fax 651.297.5343</w:t>
      </w:r>
    </w:p>
    <w:p w14:paraId="691616EB" w14:textId="77777777" w:rsidR="00731B35" w:rsidRPr="004A3008" w:rsidRDefault="00731B35" w:rsidP="00731B35">
      <w:pPr>
        <w:keepNext/>
        <w:keepLines/>
        <w:spacing w:before="40" w:after="0"/>
        <w:outlineLvl w:val="2"/>
        <w:rPr>
          <w:rFonts w:eastAsia="Times New Roman" w:cstheme="majorBidi"/>
          <w:b/>
          <w:color w:val="1F3763" w:themeColor="accent1" w:themeShade="7F"/>
          <w:sz w:val="24"/>
          <w:szCs w:val="24"/>
        </w:rPr>
      </w:pPr>
      <w:r w:rsidRPr="004A3008">
        <w:rPr>
          <w:rFonts w:eastAsia="Times New Roman" w:cstheme="majorBidi"/>
          <w:b/>
          <w:color w:val="1F3763" w:themeColor="accent1" w:themeShade="7F"/>
          <w:sz w:val="24"/>
          <w:szCs w:val="24"/>
        </w:rPr>
        <w:t>Policy</w:t>
      </w:r>
    </w:p>
    <w:p w14:paraId="0F7A1223" w14:textId="77777777" w:rsidR="00731B35" w:rsidRPr="004A3008" w:rsidRDefault="00731B35" w:rsidP="00731B35">
      <w:pPr>
        <w:rPr>
          <w:sz w:val="24"/>
        </w:rPr>
      </w:pPr>
      <w:r w:rsidRPr="004A3008">
        <w:rPr>
          <w:sz w:val="24"/>
        </w:rPr>
        <w:t>Recipients of Workforce Innovation and Opportunity Act (WIOA) Title I funds are required to collect demographic and other certain data for program evaluation and to determine if recipients are complying with the nondiscrimination regulations.   </w:t>
      </w:r>
    </w:p>
    <w:p w14:paraId="5916773E" w14:textId="77777777" w:rsidR="00731B35" w:rsidRPr="004A3008" w:rsidRDefault="00731B35" w:rsidP="00731B35">
      <w:pPr>
        <w:rPr>
          <w:sz w:val="24"/>
        </w:rPr>
      </w:pPr>
      <w:r w:rsidRPr="004A3008">
        <w:rPr>
          <w:sz w:val="24"/>
        </w:rPr>
        <w:t>It is the policy of the State of Minnesota and DEED that all WIOA Title I and related services program providers follow the policies and procedures outlined in the Workforce One (WF1) system.  Recipients are also required to ensure the confidentiality of customer demographics.  When WIOA customers are asked to provide private or confidential data about themselves, program providers must provide the customer a "Tennessen Warning Notice/Use of Data Statement.” The usage of this "Tennessen Warning Notice/Use of Data Statement” complies with the Minnesota Government Data Practices Act (M.S. 13) to give notice each time new or additional private or confidential information is requested of an individual.</w:t>
      </w:r>
    </w:p>
    <w:p w14:paraId="4DE97E02" w14:textId="77777777" w:rsidR="00731B35" w:rsidRPr="004A3008" w:rsidRDefault="00731B35" w:rsidP="00731B35">
      <w:pPr>
        <w:keepNext/>
        <w:keepLines/>
        <w:spacing w:before="40" w:after="0"/>
        <w:outlineLvl w:val="2"/>
        <w:rPr>
          <w:rFonts w:eastAsia="Times New Roman" w:cstheme="majorBidi"/>
          <w:b/>
          <w:color w:val="1F3763" w:themeColor="accent1" w:themeShade="7F"/>
          <w:sz w:val="24"/>
          <w:szCs w:val="24"/>
        </w:rPr>
      </w:pPr>
      <w:r w:rsidRPr="004A3008">
        <w:rPr>
          <w:rFonts w:eastAsia="Times New Roman" w:cstheme="majorBidi"/>
          <w:b/>
          <w:color w:val="1F3763" w:themeColor="accent1" w:themeShade="7F"/>
          <w:sz w:val="24"/>
          <w:szCs w:val="24"/>
        </w:rPr>
        <w:lastRenderedPageBreak/>
        <w:t>Standards</w:t>
      </w:r>
    </w:p>
    <w:p w14:paraId="1193EF91" w14:textId="77777777" w:rsidR="00731B35" w:rsidRPr="004A3008" w:rsidRDefault="00731B35" w:rsidP="00731B35">
      <w:pPr>
        <w:rPr>
          <w:sz w:val="24"/>
        </w:rPr>
      </w:pPr>
      <w:r w:rsidRPr="004A3008">
        <w:rPr>
          <w:sz w:val="24"/>
        </w:rPr>
        <w:t>The data collection system that is used must, at a minimum, collect and maintain information on the quality and quantity of services provided to applicants, registrants, eligible applicants/registrants, participants, employees, and applicants for employment.  For each person in these categories, the system must record demographic information including race/ethnicity, sex, age, and disability status, where known, the preferred language of the individual, and if they have limited English proficiency.</w:t>
      </w:r>
    </w:p>
    <w:p w14:paraId="735A432C" w14:textId="77777777" w:rsidR="00731B35" w:rsidRPr="004A3008" w:rsidRDefault="00731B35" w:rsidP="00731B35">
      <w:pPr>
        <w:rPr>
          <w:sz w:val="24"/>
        </w:rPr>
      </w:pPr>
      <w:r w:rsidRPr="004A3008">
        <w:rPr>
          <w:sz w:val="24"/>
        </w:rPr>
        <w:t>Asserted considerations of privacy or confidentiality are not a basis for withholding information from the Department of Labor Civil Rights Center (CRC) and will not bar CRC from evaluating or seeking to enforce compliance with the nondiscrimination and equal opportunity provisions of WIOA Title I and 29 CFR Part 38.</w:t>
      </w:r>
    </w:p>
    <w:p w14:paraId="68CFE359" w14:textId="77777777" w:rsidR="00731B35" w:rsidRPr="004A3008" w:rsidRDefault="00731B35" w:rsidP="00731B35">
      <w:pPr>
        <w:keepNext/>
        <w:keepLines/>
        <w:spacing w:before="40" w:after="0"/>
        <w:outlineLvl w:val="2"/>
        <w:rPr>
          <w:rFonts w:eastAsia="Times New Roman" w:cstheme="majorBidi"/>
          <w:b/>
          <w:color w:val="1F3763" w:themeColor="accent1" w:themeShade="7F"/>
          <w:sz w:val="24"/>
          <w:szCs w:val="24"/>
        </w:rPr>
      </w:pPr>
      <w:r w:rsidRPr="004A3008">
        <w:rPr>
          <w:rFonts w:eastAsia="Times New Roman" w:cstheme="majorBidi"/>
          <w:b/>
          <w:color w:val="1F3763" w:themeColor="accent1" w:themeShade="7F"/>
          <w:sz w:val="24"/>
          <w:szCs w:val="24"/>
        </w:rPr>
        <w:t>Recipient Responsibilities</w:t>
      </w:r>
    </w:p>
    <w:p w14:paraId="0A51AA9F" w14:textId="77777777" w:rsidR="00731B35" w:rsidRPr="004A3008" w:rsidRDefault="00731B35" w:rsidP="00731B35">
      <w:pPr>
        <w:rPr>
          <w:sz w:val="24"/>
        </w:rPr>
      </w:pPr>
      <w:r w:rsidRPr="004A3008">
        <w:rPr>
          <w:sz w:val="24"/>
        </w:rPr>
        <w:t>Recipients will comply with the policies and procedures outlined in WF1 to ensure the collection of customer demographic data in WIOA Title I-financially assisted programs.</w:t>
      </w:r>
    </w:p>
    <w:p w14:paraId="7A0B4EB4" w14:textId="77777777" w:rsidR="00731B35" w:rsidRPr="004A3008" w:rsidRDefault="00731B35" w:rsidP="00731B35">
      <w:pPr>
        <w:rPr>
          <w:sz w:val="24"/>
        </w:rPr>
      </w:pPr>
      <w:r w:rsidRPr="004A3008">
        <w:rPr>
          <w:sz w:val="24"/>
        </w:rPr>
        <w:t>The recipient must notify and inform each WIOA customer of his or her rights relative to collecting their private data before collecting data from the WIOA customer.  A “Tennessen Warning Notice” is used for this notification.  The “Tennessen Warning Notice” should be in writing and staff must have the customer sign and date it.  The recipient should make a copy for the customer to keep and must file the original. </w:t>
      </w:r>
    </w:p>
    <w:p w14:paraId="1ED75165" w14:textId="77777777" w:rsidR="00731B35" w:rsidRPr="004A3008" w:rsidRDefault="00731B35" w:rsidP="00731B35">
      <w:pPr>
        <w:rPr>
          <w:sz w:val="24"/>
        </w:rPr>
      </w:pPr>
      <w:r w:rsidRPr="004A3008">
        <w:rPr>
          <w:sz w:val="24"/>
        </w:rPr>
        <w:t>WIOA customer signed/dated "Tennessen Warning Notice/Use of Data Statements" must be maintained, whether they exist in electronic form (including email) or hard copy, for not less than three (3) years from the close of the applicable program year. </w:t>
      </w:r>
    </w:p>
    <w:p w14:paraId="455A48DD" w14:textId="77777777" w:rsidR="00731B35" w:rsidRPr="004A3008" w:rsidRDefault="00731B35" w:rsidP="00731B35">
      <w:pPr>
        <w:rPr>
          <w:sz w:val="24"/>
        </w:rPr>
      </w:pPr>
      <w:r w:rsidRPr="004A3008">
        <w:rPr>
          <w:sz w:val="24"/>
        </w:rPr>
        <w:t>Ensure that the Tennessen Warning/Use of Data Statement appropriately covers any sharing of information with other providers or agencies mentioned on the form; and if not, recipients provide an expanded version of the Tennessen and receive authorization from the customer to share their private data. </w:t>
      </w:r>
    </w:p>
    <w:p w14:paraId="33AA1077" w14:textId="77777777" w:rsidR="00731B35" w:rsidRPr="004A3008" w:rsidRDefault="00731B35" w:rsidP="00731B35">
      <w:pPr>
        <w:rPr>
          <w:sz w:val="24"/>
        </w:rPr>
      </w:pPr>
      <w:r w:rsidRPr="004A3008">
        <w:rPr>
          <w:sz w:val="24"/>
        </w:rPr>
        <w:t>Each recipient must maintain, and submit to CRC upon request, a log of complaints filed with the recipient that allege discrimination on the bases of race, color, religion, sex (including pregnancy, childbirth, and related medical conditions, transgender status, and gender identity), national origin, age, disability, political affiliation or belief, citizenship, and/or participation in a WIOA Title I-financially assisted program or activity.</w:t>
      </w:r>
    </w:p>
    <w:p w14:paraId="1E467854" w14:textId="77777777" w:rsidR="00731B35" w:rsidRPr="004A3008" w:rsidRDefault="00731B35" w:rsidP="00731B35">
      <w:pPr>
        <w:rPr>
          <w:sz w:val="24"/>
        </w:rPr>
      </w:pPr>
      <w:r w:rsidRPr="004A3008">
        <w:rPr>
          <w:sz w:val="24"/>
        </w:rPr>
        <w:t>The complaint log must include the name and address of the complainant; the basis of the complaint; a description of the complaint; the date the complaint was filed; the disposition and date of disposition of the complaint; and other pertinent information. Information that could lead to the identification of a particular individual as having filed a complaint must be kept confidential.</w:t>
      </w:r>
    </w:p>
    <w:p w14:paraId="1082F2DA" w14:textId="77777777" w:rsidR="00731B35" w:rsidRPr="004A3008" w:rsidRDefault="00731B35" w:rsidP="00731B35">
      <w:pPr>
        <w:keepNext/>
        <w:keepLines/>
        <w:spacing w:before="40" w:after="0"/>
        <w:outlineLvl w:val="2"/>
        <w:rPr>
          <w:rFonts w:eastAsia="Times New Roman" w:cstheme="majorBidi"/>
          <w:b/>
          <w:color w:val="1F3763" w:themeColor="accent1" w:themeShade="7F"/>
          <w:sz w:val="24"/>
          <w:szCs w:val="24"/>
        </w:rPr>
      </w:pPr>
      <w:r w:rsidRPr="004A3008">
        <w:rPr>
          <w:rFonts w:eastAsia="Times New Roman" w:cstheme="majorBidi"/>
          <w:b/>
          <w:color w:val="1F3763" w:themeColor="accent1" w:themeShade="7F"/>
          <w:sz w:val="24"/>
          <w:szCs w:val="24"/>
        </w:rPr>
        <w:lastRenderedPageBreak/>
        <w:t>State’s Responsibilities</w:t>
      </w:r>
    </w:p>
    <w:p w14:paraId="0AAB61DA" w14:textId="77777777" w:rsidR="00731B35" w:rsidRPr="004A3008" w:rsidRDefault="00731B35" w:rsidP="00731B35">
      <w:pPr>
        <w:rPr>
          <w:sz w:val="24"/>
        </w:rPr>
      </w:pPr>
      <w:r w:rsidRPr="004A3008">
        <w:rPr>
          <w:sz w:val="24"/>
        </w:rPr>
        <w:t>The State of Minnesota and the Minnesota Department of Employment and Economic Development (DEED) are responsible for using Department of Labor (DOL) approved data management and data collection techniques.  The State is also responsible for:</w:t>
      </w:r>
    </w:p>
    <w:p w14:paraId="6BD594B3" w14:textId="77777777" w:rsidR="00731B35" w:rsidRPr="004A3008" w:rsidRDefault="00731B35" w:rsidP="00731B35">
      <w:pPr>
        <w:numPr>
          <w:ilvl w:val="0"/>
          <w:numId w:val="18"/>
        </w:numPr>
        <w:contextualSpacing/>
        <w:rPr>
          <w:sz w:val="24"/>
        </w:rPr>
      </w:pPr>
      <w:r w:rsidRPr="004A3008">
        <w:rPr>
          <w:sz w:val="24"/>
        </w:rPr>
        <w:t>Operating, maintaining, and overseeing the administration of WF1, the State’s management information system (MIS) where WIOA Title I data is maintained.</w:t>
      </w:r>
    </w:p>
    <w:p w14:paraId="7BB6932E" w14:textId="77777777" w:rsidR="00731B35" w:rsidRPr="004A3008" w:rsidRDefault="00731B35" w:rsidP="00731B35">
      <w:pPr>
        <w:numPr>
          <w:ilvl w:val="0"/>
          <w:numId w:val="18"/>
        </w:numPr>
        <w:contextualSpacing/>
        <w:rPr>
          <w:sz w:val="24"/>
        </w:rPr>
      </w:pPr>
      <w:r w:rsidRPr="004A3008">
        <w:rPr>
          <w:sz w:val="24"/>
        </w:rPr>
        <w:t>Maintaining the security of the system in coordination with MNIT.</w:t>
      </w:r>
    </w:p>
    <w:p w14:paraId="26394B2A" w14:textId="77777777" w:rsidR="00731B35" w:rsidRPr="004A3008" w:rsidRDefault="00731B35" w:rsidP="00731B35">
      <w:pPr>
        <w:numPr>
          <w:ilvl w:val="0"/>
          <w:numId w:val="18"/>
        </w:numPr>
        <w:contextualSpacing/>
        <w:rPr>
          <w:sz w:val="24"/>
        </w:rPr>
      </w:pPr>
      <w:r w:rsidRPr="004A3008">
        <w:rPr>
          <w:sz w:val="24"/>
        </w:rPr>
        <w:t>Updating the WF1 system as necessary to maintain compliance with applicable laws and requirements.</w:t>
      </w:r>
    </w:p>
    <w:p w14:paraId="7F05630B" w14:textId="77777777" w:rsidR="00731B35" w:rsidRPr="004A3008" w:rsidRDefault="00731B35" w:rsidP="00731B35">
      <w:pPr>
        <w:numPr>
          <w:ilvl w:val="0"/>
          <w:numId w:val="18"/>
        </w:numPr>
        <w:contextualSpacing/>
        <w:rPr>
          <w:sz w:val="24"/>
        </w:rPr>
      </w:pPr>
      <w:r w:rsidRPr="004A3008">
        <w:rPr>
          <w:sz w:val="24"/>
        </w:rPr>
        <w:t>Providing reports from WF1. </w:t>
      </w:r>
    </w:p>
    <w:p w14:paraId="0CB5A691" w14:textId="77777777" w:rsidR="00731B35" w:rsidRPr="004A3008" w:rsidRDefault="00731B35" w:rsidP="00731B35">
      <w:pPr>
        <w:numPr>
          <w:ilvl w:val="0"/>
          <w:numId w:val="18"/>
        </w:numPr>
        <w:contextualSpacing/>
        <w:rPr>
          <w:rFonts w:ascii="Arial" w:eastAsia="Times New Roman" w:hAnsi="Arial" w:cs="Arial"/>
          <w:color w:val="505175"/>
          <w:sz w:val="18"/>
          <w:szCs w:val="18"/>
        </w:rPr>
      </w:pPr>
      <w:r w:rsidRPr="004A3008">
        <w:rPr>
          <w:sz w:val="24"/>
        </w:rPr>
        <w:t>Monitoring recipients to ensure compliance with this provision.</w:t>
      </w:r>
    </w:p>
    <w:p w14:paraId="2FC3CF09" w14:textId="77777777" w:rsidR="00731B35" w:rsidRDefault="00731B35" w:rsidP="00731B35">
      <w:pPr>
        <w:spacing w:after="0" w:line="270" w:lineRule="atLeast"/>
        <w:rPr>
          <w:rFonts w:eastAsiaTheme="majorEastAsia" w:cstheme="majorBidi"/>
          <w:b/>
          <w:color w:val="1F3763" w:themeColor="accent1" w:themeShade="7F"/>
          <w:sz w:val="24"/>
          <w:szCs w:val="24"/>
        </w:rPr>
      </w:pPr>
    </w:p>
    <w:p w14:paraId="05EA5541" w14:textId="77777777" w:rsidR="00731B35" w:rsidRPr="004A3008" w:rsidRDefault="00731B35" w:rsidP="00731B35">
      <w:pPr>
        <w:spacing w:after="0" w:line="270" w:lineRule="atLeast"/>
        <w:rPr>
          <w:rFonts w:ascii="Arial" w:eastAsia="Times New Roman" w:hAnsi="Arial" w:cs="Arial"/>
          <w:color w:val="505175"/>
        </w:rPr>
      </w:pPr>
      <w:r w:rsidRPr="004A3008">
        <w:rPr>
          <w:rFonts w:eastAsiaTheme="majorEastAsia" w:cstheme="majorBidi"/>
          <w:b/>
          <w:color w:val="1F3763" w:themeColor="accent1" w:themeShade="7F"/>
          <w:sz w:val="24"/>
          <w:szCs w:val="24"/>
        </w:rPr>
        <w:t>Related</w:t>
      </w:r>
      <w:r w:rsidRPr="004A3008">
        <w:rPr>
          <w:sz w:val="24"/>
        </w:rPr>
        <w:t xml:space="preserve"> </w:t>
      </w:r>
      <w:r w:rsidRPr="004A3008">
        <w:rPr>
          <w:sz w:val="24"/>
        </w:rPr>
        <w:br/>
      </w:r>
      <w:r w:rsidRPr="004A3008">
        <w:rPr>
          <w:sz w:val="24"/>
          <w:szCs w:val="24"/>
        </w:rPr>
        <w:t xml:space="preserve">See Chapter 3: Notice and Communication for Tennessen warnings (Data Privacy Notice) </w:t>
      </w:r>
    </w:p>
    <w:p w14:paraId="09D54EF2" w14:textId="77777777" w:rsidR="00731B35" w:rsidRPr="004A3008" w:rsidRDefault="00731B35" w:rsidP="00731B35">
      <w:pPr>
        <w:spacing w:before="100" w:beforeAutospacing="1" w:after="100" w:afterAutospacing="1" w:line="270" w:lineRule="atLeast"/>
        <w:jc w:val="center"/>
        <w:rPr>
          <w:rFonts w:ascii="Arial" w:eastAsia="Times New Roman" w:hAnsi="Arial" w:cs="Arial"/>
          <w:color w:val="505175"/>
          <w:sz w:val="18"/>
          <w:szCs w:val="18"/>
        </w:rPr>
      </w:pPr>
    </w:p>
    <w:p w14:paraId="57425375" w14:textId="1F2105F4" w:rsidR="00731B35" w:rsidRDefault="00731B35" w:rsidP="00731B35">
      <w:pPr>
        <w:spacing w:beforeAutospacing="1" w:afterAutospacing="1" w:line="270" w:lineRule="atLeast"/>
        <w:jc w:val="center"/>
        <w:rPr>
          <w:rFonts w:eastAsia="Times New Roman"/>
          <w:color w:val="0000FF"/>
          <w:u w:val="single"/>
        </w:rPr>
      </w:pPr>
      <w:r w:rsidRPr="004A3008">
        <w:rPr>
          <w:rFonts w:eastAsia="Times New Roman"/>
        </w:rPr>
        <w:t xml:space="preserve">Alternate formats are available to individuals with disabilities by calling 651-259-7094 or by emailing </w:t>
      </w:r>
      <w:hyperlink r:id="rId14" w:history="1">
        <w:r w:rsidRPr="00BE2F67">
          <w:rPr>
            <w:rFonts w:eastAsia="Times New Roman"/>
            <w:color w:val="0000FF"/>
            <w:u w:val="single"/>
          </w:rPr>
          <w:t>DEED.ODEO@state.mn.us</w:t>
        </w:r>
      </w:hyperlink>
    </w:p>
    <w:sectPr w:rsidR="00731B3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1CB6" w14:textId="77777777" w:rsidR="003C25DD" w:rsidRDefault="003C25DD" w:rsidP="003C25DD">
      <w:pPr>
        <w:spacing w:after="0" w:line="240" w:lineRule="auto"/>
      </w:pPr>
      <w:r>
        <w:separator/>
      </w:r>
    </w:p>
  </w:endnote>
  <w:endnote w:type="continuationSeparator" w:id="0">
    <w:p w14:paraId="139725E0" w14:textId="77777777" w:rsidR="003C25DD" w:rsidRDefault="003C25DD" w:rsidP="003C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221538"/>
      <w:docPartObj>
        <w:docPartGallery w:val="Page Numbers (Bottom of Page)"/>
        <w:docPartUnique/>
      </w:docPartObj>
    </w:sdtPr>
    <w:sdtEndPr>
      <w:rPr>
        <w:noProof/>
      </w:rPr>
    </w:sdtEndPr>
    <w:sdtContent>
      <w:p w14:paraId="1B5F1F62" w14:textId="2E1E2F91" w:rsidR="003C25DD" w:rsidRDefault="003C25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EF94CE" w14:textId="77777777" w:rsidR="003C25DD" w:rsidRDefault="003C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65E8" w14:textId="77777777" w:rsidR="003C25DD" w:rsidRDefault="003C25DD" w:rsidP="003C25DD">
      <w:pPr>
        <w:spacing w:after="0" w:line="240" w:lineRule="auto"/>
      </w:pPr>
      <w:r>
        <w:separator/>
      </w:r>
    </w:p>
  </w:footnote>
  <w:footnote w:type="continuationSeparator" w:id="0">
    <w:p w14:paraId="7165D6D6" w14:textId="77777777" w:rsidR="003C25DD" w:rsidRDefault="003C25DD" w:rsidP="003C2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A11D" w14:textId="0E44F9FE" w:rsidR="003C25DD" w:rsidRDefault="003C25DD" w:rsidP="003C25DD">
    <w:pPr>
      <w:pStyle w:val="Header"/>
      <w:tabs>
        <w:tab w:val="clear" w:pos="4680"/>
        <w:tab w:val="clear" w:pos="9360"/>
        <w:tab w:val="left" w:pos="1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8B"/>
    <w:multiLevelType w:val="multilevel"/>
    <w:tmpl w:val="208CE6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2109E"/>
    <w:multiLevelType w:val="hybridMultilevel"/>
    <w:tmpl w:val="54BE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7333"/>
    <w:multiLevelType w:val="hybridMultilevel"/>
    <w:tmpl w:val="9EE4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B7C7B"/>
    <w:multiLevelType w:val="multilevel"/>
    <w:tmpl w:val="8F844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1210E"/>
    <w:multiLevelType w:val="hybridMultilevel"/>
    <w:tmpl w:val="AD8E9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61F2F"/>
    <w:multiLevelType w:val="multilevel"/>
    <w:tmpl w:val="14CC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05EC1"/>
    <w:multiLevelType w:val="multilevel"/>
    <w:tmpl w:val="AC8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50E7F"/>
    <w:multiLevelType w:val="multilevel"/>
    <w:tmpl w:val="C2A271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D759D"/>
    <w:multiLevelType w:val="multilevel"/>
    <w:tmpl w:val="CB2273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604B52"/>
    <w:multiLevelType w:val="hybridMultilevel"/>
    <w:tmpl w:val="86109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150AD"/>
    <w:multiLevelType w:val="hybridMultilevel"/>
    <w:tmpl w:val="28F6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F4229"/>
    <w:multiLevelType w:val="multilevel"/>
    <w:tmpl w:val="B2BC8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FF6F30"/>
    <w:multiLevelType w:val="hybridMultilevel"/>
    <w:tmpl w:val="BF86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B79DE"/>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C0138"/>
    <w:multiLevelType w:val="multilevel"/>
    <w:tmpl w:val="DF06A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8B3A0F"/>
    <w:multiLevelType w:val="hybridMultilevel"/>
    <w:tmpl w:val="28CE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9052DA"/>
    <w:multiLevelType w:val="hybridMultilevel"/>
    <w:tmpl w:val="8962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04285E"/>
    <w:multiLevelType w:val="hybridMultilevel"/>
    <w:tmpl w:val="CEECC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517FAB"/>
    <w:multiLevelType w:val="multilevel"/>
    <w:tmpl w:val="540E2D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ABA1747"/>
    <w:multiLevelType w:val="multilevel"/>
    <w:tmpl w:val="77685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C47636"/>
    <w:multiLevelType w:val="multilevel"/>
    <w:tmpl w:val="A2B6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CBE69FF"/>
    <w:multiLevelType w:val="hybridMultilevel"/>
    <w:tmpl w:val="54BC0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CC64A7"/>
    <w:multiLevelType w:val="hybridMultilevel"/>
    <w:tmpl w:val="4BDA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7C56DF"/>
    <w:multiLevelType w:val="multilevel"/>
    <w:tmpl w:val="CACA1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B908DF"/>
    <w:multiLevelType w:val="hybridMultilevel"/>
    <w:tmpl w:val="08AC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F900B9"/>
    <w:multiLevelType w:val="hybridMultilevel"/>
    <w:tmpl w:val="D11E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4F10B1"/>
    <w:multiLevelType w:val="multilevel"/>
    <w:tmpl w:val="31588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5E46D2"/>
    <w:multiLevelType w:val="multilevel"/>
    <w:tmpl w:val="6A76B0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CA720A"/>
    <w:multiLevelType w:val="multilevel"/>
    <w:tmpl w:val="6FA0C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877700"/>
    <w:multiLevelType w:val="multilevel"/>
    <w:tmpl w:val="F79E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A0387D"/>
    <w:multiLevelType w:val="multilevel"/>
    <w:tmpl w:val="8E827E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C603D5"/>
    <w:multiLevelType w:val="hybridMultilevel"/>
    <w:tmpl w:val="5004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64370A"/>
    <w:multiLevelType w:val="multilevel"/>
    <w:tmpl w:val="6D54A7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AF598B"/>
    <w:multiLevelType w:val="multilevel"/>
    <w:tmpl w:val="C0B8F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D92A97"/>
    <w:multiLevelType w:val="hybridMultilevel"/>
    <w:tmpl w:val="57222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146A9C"/>
    <w:multiLevelType w:val="multilevel"/>
    <w:tmpl w:val="6ED2E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1D20E7"/>
    <w:multiLevelType w:val="multilevel"/>
    <w:tmpl w:val="F76A4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541945"/>
    <w:multiLevelType w:val="multilevel"/>
    <w:tmpl w:val="4CF2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971CA4"/>
    <w:multiLevelType w:val="hybridMultilevel"/>
    <w:tmpl w:val="0D20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31C45"/>
    <w:multiLevelType w:val="multilevel"/>
    <w:tmpl w:val="4F2CD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0C6FB0"/>
    <w:multiLevelType w:val="hybridMultilevel"/>
    <w:tmpl w:val="EAA4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535C0D"/>
    <w:multiLevelType w:val="hybridMultilevel"/>
    <w:tmpl w:val="4A0C3C30"/>
    <w:lvl w:ilvl="0" w:tplc="5D4A4D64">
      <w:start w:val="1"/>
      <w:numFmt w:val="decimal"/>
      <w:lvlText w:val="%1."/>
      <w:lvlJc w:val="left"/>
      <w:pPr>
        <w:ind w:left="840" w:hanging="360"/>
        <w:jc w:val="left"/>
      </w:pPr>
      <w:rPr>
        <w:rFonts w:ascii="Calibri" w:eastAsia="Calibri" w:hAnsi="Calibri" w:cs="Calibri" w:hint="default"/>
        <w:b w:val="0"/>
        <w:bCs w:val="0"/>
        <w:i w:val="0"/>
        <w:iCs w:val="0"/>
        <w:spacing w:val="-1"/>
        <w:w w:val="100"/>
        <w:sz w:val="24"/>
        <w:szCs w:val="24"/>
        <w:lang w:val="en-US" w:eastAsia="en-US" w:bidi="ar-SA"/>
      </w:rPr>
    </w:lvl>
    <w:lvl w:ilvl="1" w:tplc="53822166">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8E6C3266">
      <w:numFmt w:val="bullet"/>
      <w:lvlText w:val="•"/>
      <w:lvlJc w:val="left"/>
      <w:pPr>
        <w:ind w:left="2588" w:hanging="360"/>
      </w:pPr>
      <w:rPr>
        <w:rFonts w:hint="default"/>
        <w:lang w:val="en-US" w:eastAsia="en-US" w:bidi="ar-SA"/>
      </w:rPr>
    </w:lvl>
    <w:lvl w:ilvl="3" w:tplc="C5B2F2C8">
      <w:numFmt w:val="bullet"/>
      <w:lvlText w:val="•"/>
      <w:lvlJc w:val="left"/>
      <w:pPr>
        <w:ind w:left="3462" w:hanging="360"/>
      </w:pPr>
      <w:rPr>
        <w:rFonts w:hint="default"/>
        <w:lang w:val="en-US" w:eastAsia="en-US" w:bidi="ar-SA"/>
      </w:rPr>
    </w:lvl>
    <w:lvl w:ilvl="4" w:tplc="A4586C72">
      <w:numFmt w:val="bullet"/>
      <w:lvlText w:val="•"/>
      <w:lvlJc w:val="left"/>
      <w:pPr>
        <w:ind w:left="4336" w:hanging="360"/>
      </w:pPr>
      <w:rPr>
        <w:rFonts w:hint="default"/>
        <w:lang w:val="en-US" w:eastAsia="en-US" w:bidi="ar-SA"/>
      </w:rPr>
    </w:lvl>
    <w:lvl w:ilvl="5" w:tplc="B2364AA4">
      <w:numFmt w:val="bullet"/>
      <w:lvlText w:val="•"/>
      <w:lvlJc w:val="left"/>
      <w:pPr>
        <w:ind w:left="5210" w:hanging="360"/>
      </w:pPr>
      <w:rPr>
        <w:rFonts w:hint="default"/>
        <w:lang w:val="en-US" w:eastAsia="en-US" w:bidi="ar-SA"/>
      </w:rPr>
    </w:lvl>
    <w:lvl w:ilvl="6" w:tplc="E9AAB512">
      <w:numFmt w:val="bullet"/>
      <w:lvlText w:val="•"/>
      <w:lvlJc w:val="left"/>
      <w:pPr>
        <w:ind w:left="6084" w:hanging="360"/>
      </w:pPr>
      <w:rPr>
        <w:rFonts w:hint="default"/>
        <w:lang w:val="en-US" w:eastAsia="en-US" w:bidi="ar-SA"/>
      </w:rPr>
    </w:lvl>
    <w:lvl w:ilvl="7" w:tplc="E53822F2">
      <w:numFmt w:val="bullet"/>
      <w:lvlText w:val="•"/>
      <w:lvlJc w:val="left"/>
      <w:pPr>
        <w:ind w:left="6958" w:hanging="360"/>
      </w:pPr>
      <w:rPr>
        <w:rFonts w:hint="default"/>
        <w:lang w:val="en-US" w:eastAsia="en-US" w:bidi="ar-SA"/>
      </w:rPr>
    </w:lvl>
    <w:lvl w:ilvl="8" w:tplc="E3ACF8F6">
      <w:numFmt w:val="bullet"/>
      <w:lvlText w:val="•"/>
      <w:lvlJc w:val="left"/>
      <w:pPr>
        <w:ind w:left="7832" w:hanging="360"/>
      </w:pPr>
      <w:rPr>
        <w:rFonts w:hint="default"/>
        <w:lang w:val="en-US" w:eastAsia="en-US" w:bidi="ar-SA"/>
      </w:rPr>
    </w:lvl>
  </w:abstractNum>
  <w:abstractNum w:abstractNumId="42" w15:restartNumberingAfterBreak="0">
    <w:nsid w:val="32F64B21"/>
    <w:multiLevelType w:val="multilevel"/>
    <w:tmpl w:val="C9E60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4B633C"/>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A566F5"/>
    <w:multiLevelType w:val="multilevel"/>
    <w:tmpl w:val="05F4D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4D73F5"/>
    <w:multiLevelType w:val="multilevel"/>
    <w:tmpl w:val="8200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2E6CCB"/>
    <w:multiLevelType w:val="hybridMultilevel"/>
    <w:tmpl w:val="CBCA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B55736"/>
    <w:multiLevelType w:val="hybridMultilevel"/>
    <w:tmpl w:val="F7DEB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DD2AD8"/>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3B2826"/>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EC4151"/>
    <w:multiLevelType w:val="multilevel"/>
    <w:tmpl w:val="02305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29A576E"/>
    <w:multiLevelType w:val="multilevel"/>
    <w:tmpl w:val="DE4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41D4509"/>
    <w:multiLevelType w:val="multilevel"/>
    <w:tmpl w:val="7FB23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4C63504"/>
    <w:multiLevelType w:val="multilevel"/>
    <w:tmpl w:val="53BA7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B83896"/>
    <w:multiLevelType w:val="multilevel"/>
    <w:tmpl w:val="472AAB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4C2074"/>
    <w:multiLevelType w:val="multilevel"/>
    <w:tmpl w:val="9814A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B500EC2"/>
    <w:multiLevelType w:val="hybridMultilevel"/>
    <w:tmpl w:val="9466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9C654E"/>
    <w:multiLevelType w:val="multilevel"/>
    <w:tmpl w:val="5BCE4E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2420644"/>
    <w:multiLevelType w:val="multilevel"/>
    <w:tmpl w:val="257EBD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BB0565"/>
    <w:multiLevelType w:val="multilevel"/>
    <w:tmpl w:val="382C5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C663AA"/>
    <w:multiLevelType w:val="hybridMultilevel"/>
    <w:tmpl w:val="9D36A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CC298D"/>
    <w:multiLevelType w:val="multilevel"/>
    <w:tmpl w:val="7AFA31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6391CB9"/>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4272E4"/>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8151A9"/>
    <w:multiLevelType w:val="multilevel"/>
    <w:tmpl w:val="045CA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74402F5"/>
    <w:multiLevelType w:val="multilevel"/>
    <w:tmpl w:val="1A6C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78B2CFC"/>
    <w:multiLevelType w:val="hybridMultilevel"/>
    <w:tmpl w:val="E3D4D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8F04737"/>
    <w:multiLevelType w:val="multilevel"/>
    <w:tmpl w:val="AEA46A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875E3B"/>
    <w:multiLevelType w:val="multilevel"/>
    <w:tmpl w:val="7C3A3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9A85D46"/>
    <w:multiLevelType w:val="multilevel"/>
    <w:tmpl w:val="338E5E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CB0A86"/>
    <w:multiLevelType w:val="hybridMultilevel"/>
    <w:tmpl w:val="55E227AA"/>
    <w:lvl w:ilvl="0" w:tplc="0BA29D78">
      <w:start w:val="1"/>
      <w:numFmt w:val="bullet"/>
      <w:lvlText w:val=""/>
      <w:lvlJc w:val="left"/>
      <w:pPr>
        <w:ind w:left="630" w:hanging="360"/>
      </w:pPr>
      <w:rPr>
        <w:rFonts w:ascii="Symbol" w:hAnsi="Symbol" w:hint="default"/>
        <w:sz w:val="28"/>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1" w15:restartNumberingAfterBreak="0">
    <w:nsid w:val="5AE12DC4"/>
    <w:multiLevelType w:val="hybridMultilevel"/>
    <w:tmpl w:val="F5D6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CB3F81"/>
    <w:multiLevelType w:val="multilevel"/>
    <w:tmpl w:val="DCB822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F80520"/>
    <w:multiLevelType w:val="multilevel"/>
    <w:tmpl w:val="790C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CD75B1F"/>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0E1189"/>
    <w:multiLevelType w:val="hybridMultilevel"/>
    <w:tmpl w:val="D9F0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E7F0936"/>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A475FC"/>
    <w:multiLevelType w:val="multilevel"/>
    <w:tmpl w:val="30E06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EE8476E"/>
    <w:multiLevelType w:val="multilevel"/>
    <w:tmpl w:val="1C9E3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0601725"/>
    <w:multiLevelType w:val="multilevel"/>
    <w:tmpl w:val="1B40D1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0D64E04"/>
    <w:multiLevelType w:val="multilevel"/>
    <w:tmpl w:val="495E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1C467C5"/>
    <w:multiLevelType w:val="hybridMultilevel"/>
    <w:tmpl w:val="739471BA"/>
    <w:lvl w:ilvl="0" w:tplc="52F030CA">
      <w:numFmt w:val="bullet"/>
      <w:lvlText w:val=""/>
      <w:lvlJc w:val="left"/>
      <w:pPr>
        <w:ind w:left="840" w:hanging="360"/>
      </w:pPr>
      <w:rPr>
        <w:rFonts w:ascii="Symbol" w:eastAsia="Symbol" w:hAnsi="Symbol" w:cs="Symbol" w:hint="default"/>
        <w:w w:val="100"/>
        <w:lang w:val="en-US" w:eastAsia="en-US" w:bidi="ar-SA"/>
      </w:rPr>
    </w:lvl>
    <w:lvl w:ilvl="1" w:tplc="24A8B0C2">
      <w:numFmt w:val="bullet"/>
      <w:lvlText w:val="•"/>
      <w:lvlJc w:val="left"/>
      <w:pPr>
        <w:ind w:left="1714" w:hanging="360"/>
      </w:pPr>
      <w:rPr>
        <w:rFonts w:hint="default"/>
        <w:lang w:val="en-US" w:eastAsia="en-US" w:bidi="ar-SA"/>
      </w:rPr>
    </w:lvl>
    <w:lvl w:ilvl="2" w:tplc="7A626CB8">
      <w:numFmt w:val="bullet"/>
      <w:lvlText w:val="•"/>
      <w:lvlJc w:val="left"/>
      <w:pPr>
        <w:ind w:left="2588" w:hanging="360"/>
      </w:pPr>
      <w:rPr>
        <w:rFonts w:hint="default"/>
        <w:lang w:val="en-US" w:eastAsia="en-US" w:bidi="ar-SA"/>
      </w:rPr>
    </w:lvl>
    <w:lvl w:ilvl="3" w:tplc="2A486260">
      <w:numFmt w:val="bullet"/>
      <w:lvlText w:val="•"/>
      <w:lvlJc w:val="left"/>
      <w:pPr>
        <w:ind w:left="3462" w:hanging="360"/>
      </w:pPr>
      <w:rPr>
        <w:rFonts w:hint="default"/>
        <w:lang w:val="en-US" w:eastAsia="en-US" w:bidi="ar-SA"/>
      </w:rPr>
    </w:lvl>
    <w:lvl w:ilvl="4" w:tplc="919ED6DA">
      <w:numFmt w:val="bullet"/>
      <w:lvlText w:val="•"/>
      <w:lvlJc w:val="left"/>
      <w:pPr>
        <w:ind w:left="4336" w:hanging="360"/>
      </w:pPr>
      <w:rPr>
        <w:rFonts w:hint="default"/>
        <w:lang w:val="en-US" w:eastAsia="en-US" w:bidi="ar-SA"/>
      </w:rPr>
    </w:lvl>
    <w:lvl w:ilvl="5" w:tplc="E8046EF2">
      <w:numFmt w:val="bullet"/>
      <w:lvlText w:val="•"/>
      <w:lvlJc w:val="left"/>
      <w:pPr>
        <w:ind w:left="5210" w:hanging="360"/>
      </w:pPr>
      <w:rPr>
        <w:rFonts w:hint="default"/>
        <w:lang w:val="en-US" w:eastAsia="en-US" w:bidi="ar-SA"/>
      </w:rPr>
    </w:lvl>
    <w:lvl w:ilvl="6" w:tplc="931C3612">
      <w:numFmt w:val="bullet"/>
      <w:lvlText w:val="•"/>
      <w:lvlJc w:val="left"/>
      <w:pPr>
        <w:ind w:left="6084" w:hanging="360"/>
      </w:pPr>
      <w:rPr>
        <w:rFonts w:hint="default"/>
        <w:lang w:val="en-US" w:eastAsia="en-US" w:bidi="ar-SA"/>
      </w:rPr>
    </w:lvl>
    <w:lvl w:ilvl="7" w:tplc="DD467A8A">
      <w:numFmt w:val="bullet"/>
      <w:lvlText w:val="•"/>
      <w:lvlJc w:val="left"/>
      <w:pPr>
        <w:ind w:left="6958" w:hanging="360"/>
      </w:pPr>
      <w:rPr>
        <w:rFonts w:hint="default"/>
        <w:lang w:val="en-US" w:eastAsia="en-US" w:bidi="ar-SA"/>
      </w:rPr>
    </w:lvl>
    <w:lvl w:ilvl="8" w:tplc="805A6BB8">
      <w:numFmt w:val="bullet"/>
      <w:lvlText w:val="•"/>
      <w:lvlJc w:val="left"/>
      <w:pPr>
        <w:ind w:left="7832" w:hanging="360"/>
      </w:pPr>
      <w:rPr>
        <w:rFonts w:hint="default"/>
        <w:lang w:val="en-US" w:eastAsia="en-US" w:bidi="ar-SA"/>
      </w:rPr>
    </w:lvl>
  </w:abstractNum>
  <w:abstractNum w:abstractNumId="82" w15:restartNumberingAfterBreak="0">
    <w:nsid w:val="631559ED"/>
    <w:multiLevelType w:val="multilevel"/>
    <w:tmpl w:val="687CD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48749C1"/>
    <w:multiLevelType w:val="multilevel"/>
    <w:tmpl w:val="7C4029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B95462"/>
    <w:multiLevelType w:val="multilevel"/>
    <w:tmpl w:val="11F8A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55372DF"/>
    <w:multiLevelType w:val="multilevel"/>
    <w:tmpl w:val="3BD4AC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7DE0E49"/>
    <w:multiLevelType w:val="multilevel"/>
    <w:tmpl w:val="6D04A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9BF1B15"/>
    <w:multiLevelType w:val="multilevel"/>
    <w:tmpl w:val="48623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88424C"/>
    <w:multiLevelType w:val="hybridMultilevel"/>
    <w:tmpl w:val="3AFA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EF6336A"/>
    <w:multiLevelType w:val="hybridMultilevel"/>
    <w:tmpl w:val="6F00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F6E1543"/>
    <w:multiLevelType w:val="hybridMultilevel"/>
    <w:tmpl w:val="D6B0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0EB3E78"/>
    <w:multiLevelType w:val="multilevel"/>
    <w:tmpl w:val="A9F8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1BC0318"/>
    <w:multiLevelType w:val="multilevel"/>
    <w:tmpl w:val="E3D8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2A97D74"/>
    <w:multiLevelType w:val="multilevel"/>
    <w:tmpl w:val="2760D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3D4AB2"/>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4301396"/>
    <w:multiLevelType w:val="multilevel"/>
    <w:tmpl w:val="498E4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57B4B1D"/>
    <w:multiLevelType w:val="hybridMultilevel"/>
    <w:tmpl w:val="0AA232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DF3BD4"/>
    <w:multiLevelType w:val="multilevel"/>
    <w:tmpl w:val="C84EC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67C4D06"/>
    <w:multiLevelType w:val="multilevel"/>
    <w:tmpl w:val="561828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7414C94"/>
    <w:multiLevelType w:val="multilevel"/>
    <w:tmpl w:val="1FD4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7E54ECE"/>
    <w:multiLevelType w:val="hybridMultilevel"/>
    <w:tmpl w:val="1774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056E3B"/>
    <w:multiLevelType w:val="hybridMultilevel"/>
    <w:tmpl w:val="37BA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1944DD"/>
    <w:multiLevelType w:val="multilevel"/>
    <w:tmpl w:val="3D3A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1938110">
    <w:abstractNumId w:val="31"/>
  </w:num>
  <w:num w:numId="2" w16cid:durableId="1545827165">
    <w:abstractNumId w:val="82"/>
  </w:num>
  <w:num w:numId="3" w16cid:durableId="180583169">
    <w:abstractNumId w:val="87"/>
  </w:num>
  <w:num w:numId="4" w16cid:durableId="512914347">
    <w:abstractNumId w:val="78"/>
  </w:num>
  <w:num w:numId="5" w16cid:durableId="896361621">
    <w:abstractNumId w:val="54"/>
  </w:num>
  <w:num w:numId="6" w16cid:durableId="1875003302">
    <w:abstractNumId w:val="53"/>
  </w:num>
  <w:num w:numId="7" w16cid:durableId="2132430387">
    <w:abstractNumId w:val="3"/>
  </w:num>
  <w:num w:numId="8" w16cid:durableId="946081697">
    <w:abstractNumId w:val="72"/>
  </w:num>
  <w:num w:numId="9" w16cid:durableId="1161504253">
    <w:abstractNumId w:val="30"/>
  </w:num>
  <w:num w:numId="10" w16cid:durableId="477460330">
    <w:abstractNumId w:val="79"/>
  </w:num>
  <w:num w:numId="11" w16cid:durableId="1679695057">
    <w:abstractNumId w:val="69"/>
  </w:num>
  <w:num w:numId="12" w16cid:durableId="857086958">
    <w:abstractNumId w:val="7"/>
  </w:num>
  <w:num w:numId="13" w16cid:durableId="904413358">
    <w:abstractNumId w:val="58"/>
  </w:num>
  <w:num w:numId="14" w16cid:durableId="505897590">
    <w:abstractNumId w:val="85"/>
  </w:num>
  <w:num w:numId="15" w16cid:durableId="88358800">
    <w:abstractNumId w:val="68"/>
  </w:num>
  <w:num w:numId="16" w16cid:durableId="1292516991">
    <w:abstractNumId w:val="10"/>
  </w:num>
  <w:num w:numId="17" w16cid:durableId="1132165509">
    <w:abstractNumId w:val="71"/>
  </w:num>
  <w:num w:numId="18" w16cid:durableId="1567450597">
    <w:abstractNumId w:val="70"/>
  </w:num>
  <w:num w:numId="19" w16cid:durableId="1245143489">
    <w:abstractNumId w:val="26"/>
  </w:num>
  <w:num w:numId="20" w16cid:durableId="2133937189">
    <w:abstractNumId w:val="44"/>
  </w:num>
  <w:num w:numId="21" w16cid:durableId="2100056156">
    <w:abstractNumId w:val="61"/>
  </w:num>
  <w:num w:numId="22" w16cid:durableId="358164367">
    <w:abstractNumId w:val="55"/>
  </w:num>
  <w:num w:numId="23" w16cid:durableId="1312253485">
    <w:abstractNumId w:val="11"/>
  </w:num>
  <w:num w:numId="24" w16cid:durableId="698747840">
    <w:abstractNumId w:val="42"/>
  </w:num>
  <w:num w:numId="25" w16cid:durableId="1787384271">
    <w:abstractNumId w:val="0"/>
  </w:num>
  <w:num w:numId="26" w16cid:durableId="739446563">
    <w:abstractNumId w:val="27"/>
  </w:num>
  <w:num w:numId="27" w16cid:durableId="1532955492">
    <w:abstractNumId w:val="67"/>
  </w:num>
  <w:num w:numId="28" w16cid:durableId="510222682">
    <w:abstractNumId w:val="32"/>
  </w:num>
  <w:num w:numId="29" w16cid:durableId="1962149968">
    <w:abstractNumId w:val="29"/>
  </w:num>
  <w:num w:numId="30" w16cid:durableId="313410995">
    <w:abstractNumId w:val="77"/>
  </w:num>
  <w:num w:numId="31" w16cid:durableId="854920822">
    <w:abstractNumId w:val="93"/>
  </w:num>
  <w:num w:numId="32" w16cid:durableId="1989506697">
    <w:abstractNumId w:val="8"/>
  </w:num>
  <w:num w:numId="33" w16cid:durableId="1126658222">
    <w:abstractNumId w:val="41"/>
  </w:num>
  <w:num w:numId="34" w16cid:durableId="383650414">
    <w:abstractNumId w:val="81"/>
  </w:num>
  <w:num w:numId="35" w16cid:durableId="114839032">
    <w:abstractNumId w:val="80"/>
  </w:num>
  <w:num w:numId="36" w16cid:durableId="1964381410">
    <w:abstractNumId w:val="60"/>
  </w:num>
  <w:num w:numId="37" w16cid:durableId="1731423875">
    <w:abstractNumId w:val="4"/>
  </w:num>
  <w:num w:numId="38" w16cid:durableId="1617180281">
    <w:abstractNumId w:val="66"/>
  </w:num>
  <w:num w:numId="39" w16cid:durableId="2117167342">
    <w:abstractNumId w:val="89"/>
  </w:num>
  <w:num w:numId="40" w16cid:durableId="1214460539">
    <w:abstractNumId w:val="16"/>
  </w:num>
  <w:num w:numId="41" w16cid:durableId="1368871213">
    <w:abstractNumId w:val="45"/>
  </w:num>
  <w:num w:numId="42" w16cid:durableId="1957248674">
    <w:abstractNumId w:val="73"/>
  </w:num>
  <w:num w:numId="43" w16cid:durableId="424111623">
    <w:abstractNumId w:val="102"/>
  </w:num>
  <w:num w:numId="44" w16cid:durableId="1206914215">
    <w:abstractNumId w:val="99"/>
  </w:num>
  <w:num w:numId="45" w16cid:durableId="1352681954">
    <w:abstractNumId w:val="56"/>
  </w:num>
  <w:num w:numId="46" w16cid:durableId="872496601">
    <w:abstractNumId w:val="100"/>
  </w:num>
  <w:num w:numId="47" w16cid:durableId="1668098197">
    <w:abstractNumId w:val="75"/>
  </w:num>
  <w:num w:numId="48" w16cid:durableId="529802924">
    <w:abstractNumId w:val="24"/>
  </w:num>
  <w:num w:numId="49" w16cid:durableId="1062018440">
    <w:abstractNumId w:val="15"/>
  </w:num>
  <w:num w:numId="50" w16cid:durableId="431365219">
    <w:abstractNumId w:val="38"/>
  </w:num>
  <w:num w:numId="51" w16cid:durableId="716902979">
    <w:abstractNumId w:val="88"/>
  </w:num>
  <w:num w:numId="52" w16cid:durableId="1449009060">
    <w:abstractNumId w:val="101"/>
  </w:num>
  <w:num w:numId="53" w16cid:durableId="398403113">
    <w:abstractNumId w:val="1"/>
  </w:num>
  <w:num w:numId="54" w16cid:durableId="443696768">
    <w:abstractNumId w:val="2"/>
  </w:num>
  <w:num w:numId="55" w16cid:durableId="1450977572">
    <w:abstractNumId w:val="9"/>
  </w:num>
  <w:num w:numId="56" w16cid:durableId="2050258456">
    <w:abstractNumId w:val="47"/>
  </w:num>
  <w:num w:numId="57" w16cid:durableId="1309625319">
    <w:abstractNumId w:val="25"/>
  </w:num>
  <w:num w:numId="58" w16cid:durableId="745957429">
    <w:abstractNumId w:val="12"/>
  </w:num>
  <w:num w:numId="59" w16cid:durableId="84233672">
    <w:abstractNumId w:val="90"/>
  </w:num>
  <w:num w:numId="60" w16cid:durableId="904604933">
    <w:abstractNumId w:val="46"/>
  </w:num>
  <w:num w:numId="61" w16cid:durableId="1407847318">
    <w:abstractNumId w:val="22"/>
  </w:num>
  <w:num w:numId="62" w16cid:durableId="588582386">
    <w:abstractNumId w:val="96"/>
  </w:num>
  <w:num w:numId="63" w16cid:durableId="776290926">
    <w:abstractNumId w:val="40"/>
  </w:num>
  <w:num w:numId="64" w16cid:durableId="845750298">
    <w:abstractNumId w:val="94"/>
  </w:num>
  <w:num w:numId="65" w16cid:durableId="923151644">
    <w:abstractNumId w:val="63"/>
  </w:num>
  <w:num w:numId="66" w16cid:durableId="1267884923">
    <w:abstractNumId w:val="48"/>
  </w:num>
  <w:num w:numId="67" w16cid:durableId="1093015259">
    <w:abstractNumId w:val="49"/>
  </w:num>
  <w:num w:numId="68" w16cid:durableId="156269176">
    <w:abstractNumId w:val="43"/>
  </w:num>
  <w:num w:numId="69" w16cid:durableId="633872834">
    <w:abstractNumId w:val="62"/>
  </w:num>
  <w:num w:numId="70" w16cid:durableId="1439445548">
    <w:abstractNumId w:val="34"/>
  </w:num>
  <w:num w:numId="71" w16cid:durableId="229078659">
    <w:abstractNumId w:val="76"/>
  </w:num>
  <w:num w:numId="72" w16cid:durableId="1411973146">
    <w:abstractNumId w:val="74"/>
  </w:num>
  <w:num w:numId="73" w16cid:durableId="169832399">
    <w:abstractNumId w:val="13"/>
  </w:num>
  <w:num w:numId="74" w16cid:durableId="608657961">
    <w:abstractNumId w:val="21"/>
  </w:num>
  <w:num w:numId="75" w16cid:durableId="309214112">
    <w:abstractNumId w:val="17"/>
  </w:num>
  <w:num w:numId="76" w16cid:durableId="1138305424">
    <w:abstractNumId w:val="64"/>
  </w:num>
  <w:num w:numId="77" w16cid:durableId="938559901">
    <w:abstractNumId w:val="50"/>
  </w:num>
  <w:num w:numId="78" w16cid:durableId="1303851290">
    <w:abstractNumId w:val="86"/>
  </w:num>
  <w:num w:numId="79" w16cid:durableId="1660428829">
    <w:abstractNumId w:val="37"/>
  </w:num>
  <w:num w:numId="80" w16cid:durableId="1979646195">
    <w:abstractNumId w:val="5"/>
  </w:num>
  <w:num w:numId="81" w16cid:durableId="160194102">
    <w:abstractNumId w:val="84"/>
  </w:num>
  <w:num w:numId="82" w16cid:durableId="2059862963">
    <w:abstractNumId w:val="14"/>
  </w:num>
  <w:num w:numId="83" w16cid:durableId="541478510">
    <w:abstractNumId w:val="35"/>
  </w:num>
  <w:num w:numId="84" w16cid:durableId="161504602">
    <w:abstractNumId w:val="33"/>
  </w:num>
  <w:num w:numId="85" w16cid:durableId="2140612218">
    <w:abstractNumId w:val="23"/>
  </w:num>
  <w:num w:numId="86" w16cid:durableId="1429229971">
    <w:abstractNumId w:val="92"/>
  </w:num>
  <w:num w:numId="87" w16cid:durableId="798719314">
    <w:abstractNumId w:val="97"/>
  </w:num>
  <w:num w:numId="88" w16cid:durableId="2111778256">
    <w:abstractNumId w:val="6"/>
  </w:num>
  <w:num w:numId="89" w16cid:durableId="1142696637">
    <w:abstractNumId w:val="65"/>
  </w:num>
  <w:num w:numId="90" w16cid:durableId="1296447736">
    <w:abstractNumId w:val="18"/>
  </w:num>
  <w:num w:numId="91" w16cid:durableId="1295714248">
    <w:abstractNumId w:val="51"/>
  </w:num>
  <w:num w:numId="92" w16cid:durableId="1054043409">
    <w:abstractNumId w:val="20"/>
  </w:num>
  <w:num w:numId="93" w16cid:durableId="16587677">
    <w:abstractNumId w:val="57"/>
  </w:num>
  <w:num w:numId="94" w16cid:durableId="2101636858">
    <w:abstractNumId w:val="95"/>
  </w:num>
  <w:num w:numId="95" w16cid:durableId="1103720055">
    <w:abstractNumId w:val="36"/>
  </w:num>
  <w:num w:numId="96" w16cid:durableId="343359424">
    <w:abstractNumId w:val="39"/>
  </w:num>
  <w:num w:numId="97" w16cid:durableId="1799765269">
    <w:abstractNumId w:val="52"/>
  </w:num>
  <w:num w:numId="98" w16cid:durableId="541747655">
    <w:abstractNumId w:val="28"/>
  </w:num>
  <w:num w:numId="99" w16cid:durableId="871189648">
    <w:abstractNumId w:val="83"/>
  </w:num>
  <w:num w:numId="100" w16cid:durableId="1909654247">
    <w:abstractNumId w:val="91"/>
  </w:num>
  <w:num w:numId="101" w16cid:durableId="427847537">
    <w:abstractNumId w:val="19"/>
  </w:num>
  <w:num w:numId="102" w16cid:durableId="466775534">
    <w:abstractNumId w:val="59"/>
  </w:num>
  <w:num w:numId="103" w16cid:durableId="8068884">
    <w:abstractNumId w:val="9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sDQ0MrY0MDE3sDBS0lEKTi0uzszPAykwqgUAWXsDDiwAAAA="/>
  </w:docVars>
  <w:rsids>
    <w:rsidRoot w:val="00626F1A"/>
    <w:rsid w:val="003C25DD"/>
    <w:rsid w:val="00430C1F"/>
    <w:rsid w:val="00626F1A"/>
    <w:rsid w:val="00731B35"/>
    <w:rsid w:val="00A30E4B"/>
    <w:rsid w:val="00C14DA6"/>
    <w:rsid w:val="00D6421E"/>
    <w:rsid w:val="00D6489E"/>
    <w:rsid w:val="00D73834"/>
    <w:rsid w:val="00F74171"/>
    <w:rsid w:val="00F8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37E69"/>
  <w15:chartTrackingRefBased/>
  <w15:docId w15:val="{C07DC2E4-F4D9-4ED7-84E2-41334780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5DD"/>
    <w:pPr>
      <w:keepNext/>
      <w:keepLines/>
      <w:spacing w:before="240" w:after="0"/>
      <w:outlineLvl w:val="0"/>
    </w:pPr>
    <w:rPr>
      <w:rFonts w:asciiTheme="majorHAnsi" w:eastAsiaTheme="majorEastAsia" w:hAnsiTheme="majorHAnsi" w:cstheme="majorBidi"/>
      <w:b/>
      <w:color w:val="002060"/>
      <w:sz w:val="36"/>
      <w:szCs w:val="32"/>
    </w:rPr>
  </w:style>
  <w:style w:type="paragraph" w:styleId="Heading2">
    <w:name w:val="heading 2"/>
    <w:basedOn w:val="Normal"/>
    <w:next w:val="Normal"/>
    <w:link w:val="Heading2Char"/>
    <w:uiPriority w:val="9"/>
    <w:unhideWhenUsed/>
    <w:qFormat/>
    <w:rsid w:val="003C25DD"/>
    <w:pPr>
      <w:keepNext/>
      <w:keepLines/>
      <w:spacing w:before="40" w:after="0"/>
      <w:outlineLvl w:val="1"/>
    </w:pPr>
    <w:rPr>
      <w:rFonts w:asciiTheme="majorHAnsi" w:eastAsiaTheme="majorEastAsia" w:hAnsiTheme="majorHAnsi" w:cstheme="majorBidi"/>
      <w:b/>
      <w:color w:val="002060"/>
      <w:sz w:val="24"/>
      <w:szCs w:val="26"/>
    </w:rPr>
  </w:style>
  <w:style w:type="paragraph" w:styleId="Heading3">
    <w:name w:val="heading 3"/>
    <w:basedOn w:val="Normal"/>
    <w:next w:val="Normal"/>
    <w:link w:val="Heading3Char"/>
    <w:uiPriority w:val="9"/>
    <w:semiHidden/>
    <w:unhideWhenUsed/>
    <w:qFormat/>
    <w:rsid w:val="00731B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DD"/>
    <w:rPr>
      <w:rFonts w:asciiTheme="majorHAnsi" w:eastAsiaTheme="majorEastAsia" w:hAnsiTheme="majorHAnsi" w:cstheme="majorBidi"/>
      <w:b/>
      <w:color w:val="002060"/>
      <w:sz w:val="36"/>
      <w:szCs w:val="32"/>
    </w:rPr>
  </w:style>
  <w:style w:type="character" w:styleId="Hyperlink">
    <w:name w:val="Hyperlink"/>
    <w:basedOn w:val="DefaultParagraphFont"/>
    <w:uiPriority w:val="99"/>
    <w:unhideWhenUsed/>
    <w:rsid w:val="00626F1A"/>
    <w:rPr>
      <w:color w:val="0563C1" w:themeColor="hyperlink"/>
      <w:u w:val="single"/>
    </w:rPr>
  </w:style>
  <w:style w:type="character" w:styleId="UnresolvedMention">
    <w:name w:val="Unresolved Mention"/>
    <w:basedOn w:val="DefaultParagraphFont"/>
    <w:uiPriority w:val="99"/>
    <w:semiHidden/>
    <w:unhideWhenUsed/>
    <w:rsid w:val="00626F1A"/>
    <w:rPr>
      <w:color w:val="605E5C"/>
      <w:shd w:val="clear" w:color="auto" w:fill="E1DFDD"/>
    </w:rPr>
  </w:style>
  <w:style w:type="character" w:customStyle="1" w:styleId="Heading2Char">
    <w:name w:val="Heading 2 Char"/>
    <w:basedOn w:val="DefaultParagraphFont"/>
    <w:link w:val="Heading2"/>
    <w:uiPriority w:val="9"/>
    <w:rsid w:val="003C25DD"/>
    <w:rPr>
      <w:rFonts w:asciiTheme="majorHAnsi" w:eastAsiaTheme="majorEastAsia" w:hAnsiTheme="majorHAnsi" w:cstheme="majorBidi"/>
      <w:b/>
      <w:color w:val="002060"/>
      <w:sz w:val="24"/>
      <w:szCs w:val="26"/>
    </w:rPr>
  </w:style>
  <w:style w:type="character" w:customStyle="1" w:styleId="Heading3Char">
    <w:name w:val="Heading 3 Char"/>
    <w:basedOn w:val="DefaultParagraphFont"/>
    <w:link w:val="Heading3"/>
    <w:uiPriority w:val="9"/>
    <w:semiHidden/>
    <w:rsid w:val="00731B35"/>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731B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B35"/>
  </w:style>
  <w:style w:type="character" w:customStyle="1" w:styleId="eop">
    <w:name w:val="eop"/>
    <w:basedOn w:val="DefaultParagraphFont"/>
    <w:rsid w:val="00731B35"/>
  </w:style>
  <w:style w:type="character" w:customStyle="1" w:styleId="scxw265612105">
    <w:name w:val="scxw265612105"/>
    <w:basedOn w:val="DefaultParagraphFont"/>
    <w:rsid w:val="00731B35"/>
  </w:style>
  <w:style w:type="paragraph" w:styleId="BodyText">
    <w:name w:val="Body Text"/>
    <w:basedOn w:val="Normal"/>
    <w:link w:val="BodyTextChar"/>
    <w:uiPriority w:val="1"/>
    <w:qFormat/>
    <w:rsid w:val="00731B35"/>
    <w:pPr>
      <w:widowControl w:val="0"/>
      <w:autoSpaceDE w:val="0"/>
      <w:autoSpaceDN w:val="0"/>
      <w:spacing w:after="0" w:line="240" w:lineRule="auto"/>
      <w:ind w:left="840"/>
    </w:pPr>
    <w:rPr>
      <w:rFonts w:ascii="Calibri" w:eastAsia="Calibri" w:hAnsi="Calibri" w:cs="Calibri"/>
      <w:sz w:val="24"/>
      <w:szCs w:val="24"/>
    </w:rPr>
  </w:style>
  <w:style w:type="character" w:customStyle="1" w:styleId="BodyTextChar">
    <w:name w:val="Body Text Char"/>
    <w:basedOn w:val="DefaultParagraphFont"/>
    <w:link w:val="BodyText"/>
    <w:uiPriority w:val="1"/>
    <w:rsid w:val="00731B35"/>
    <w:rPr>
      <w:rFonts w:ascii="Calibri" w:eastAsia="Calibri" w:hAnsi="Calibri" w:cs="Calibri"/>
      <w:sz w:val="24"/>
      <w:szCs w:val="24"/>
    </w:rPr>
  </w:style>
  <w:style w:type="paragraph" w:styleId="Title">
    <w:name w:val="Title"/>
    <w:basedOn w:val="Normal"/>
    <w:link w:val="TitleChar"/>
    <w:uiPriority w:val="10"/>
    <w:qFormat/>
    <w:rsid w:val="00731B35"/>
    <w:pPr>
      <w:widowControl w:val="0"/>
      <w:autoSpaceDE w:val="0"/>
      <w:autoSpaceDN w:val="0"/>
      <w:spacing w:before="1" w:after="0" w:line="240" w:lineRule="auto"/>
      <w:ind w:left="120"/>
    </w:pPr>
    <w:rPr>
      <w:rFonts w:ascii="Calibri Light" w:eastAsia="Calibri Light" w:hAnsi="Calibri Light" w:cs="Calibri Light"/>
      <w:sz w:val="36"/>
      <w:szCs w:val="36"/>
    </w:rPr>
  </w:style>
  <w:style w:type="character" w:customStyle="1" w:styleId="TitleChar">
    <w:name w:val="Title Char"/>
    <w:basedOn w:val="DefaultParagraphFont"/>
    <w:link w:val="Title"/>
    <w:uiPriority w:val="10"/>
    <w:rsid w:val="00731B35"/>
    <w:rPr>
      <w:rFonts w:ascii="Calibri Light" w:eastAsia="Calibri Light" w:hAnsi="Calibri Light" w:cs="Calibri Light"/>
      <w:sz w:val="36"/>
      <w:szCs w:val="36"/>
    </w:rPr>
  </w:style>
  <w:style w:type="paragraph" w:styleId="ListParagraph">
    <w:name w:val="List Paragraph"/>
    <w:basedOn w:val="Normal"/>
    <w:uiPriority w:val="1"/>
    <w:qFormat/>
    <w:rsid w:val="00731B35"/>
    <w:pPr>
      <w:widowControl w:val="0"/>
      <w:autoSpaceDE w:val="0"/>
      <w:autoSpaceDN w:val="0"/>
      <w:spacing w:after="0" w:line="240" w:lineRule="auto"/>
      <w:ind w:left="840" w:hanging="360"/>
    </w:pPr>
    <w:rPr>
      <w:rFonts w:ascii="Calibri" w:eastAsia="Calibri" w:hAnsi="Calibri" w:cs="Calibri"/>
    </w:rPr>
  </w:style>
  <w:style w:type="paragraph" w:customStyle="1" w:styleId="TableParagraph">
    <w:name w:val="Table Paragraph"/>
    <w:basedOn w:val="Normal"/>
    <w:uiPriority w:val="1"/>
    <w:qFormat/>
    <w:rsid w:val="00731B35"/>
    <w:pPr>
      <w:widowControl w:val="0"/>
      <w:autoSpaceDE w:val="0"/>
      <w:autoSpaceDN w:val="0"/>
      <w:spacing w:after="0" w:line="240" w:lineRule="auto"/>
    </w:pPr>
    <w:rPr>
      <w:rFonts w:ascii="Calibri" w:eastAsia="Calibri" w:hAnsi="Calibri" w:cs="Calibri"/>
    </w:rPr>
  </w:style>
  <w:style w:type="character" w:customStyle="1" w:styleId="scxw218559234">
    <w:name w:val="scxw218559234"/>
    <w:basedOn w:val="DefaultParagraphFont"/>
    <w:rsid w:val="00731B35"/>
  </w:style>
  <w:style w:type="character" w:customStyle="1" w:styleId="contextualspellingandgrammarerror">
    <w:name w:val="contextualspellingandgrammarerror"/>
    <w:basedOn w:val="DefaultParagraphFont"/>
    <w:rsid w:val="00731B35"/>
  </w:style>
  <w:style w:type="character" w:customStyle="1" w:styleId="scxw233454306">
    <w:name w:val="scxw233454306"/>
    <w:basedOn w:val="DefaultParagraphFont"/>
    <w:rsid w:val="003C25DD"/>
  </w:style>
  <w:style w:type="character" w:customStyle="1" w:styleId="spellingerror">
    <w:name w:val="spellingerror"/>
    <w:basedOn w:val="DefaultParagraphFont"/>
    <w:rsid w:val="003C25DD"/>
  </w:style>
  <w:style w:type="character" w:customStyle="1" w:styleId="advancedproofingissue">
    <w:name w:val="advancedproofingissue"/>
    <w:basedOn w:val="DefaultParagraphFont"/>
    <w:rsid w:val="003C25DD"/>
  </w:style>
  <w:style w:type="paragraph" w:styleId="TOCHeading">
    <w:name w:val="TOC Heading"/>
    <w:basedOn w:val="Heading1"/>
    <w:next w:val="Normal"/>
    <w:uiPriority w:val="39"/>
    <w:unhideWhenUsed/>
    <w:qFormat/>
    <w:rsid w:val="003C25DD"/>
    <w:pPr>
      <w:outlineLvl w:val="9"/>
    </w:pPr>
    <w:rPr>
      <w:b w:val="0"/>
      <w:color w:val="2F5496" w:themeColor="accent1" w:themeShade="BF"/>
      <w:sz w:val="32"/>
    </w:rPr>
  </w:style>
  <w:style w:type="paragraph" w:styleId="TOC1">
    <w:name w:val="toc 1"/>
    <w:basedOn w:val="Normal"/>
    <w:next w:val="Normal"/>
    <w:autoRedefine/>
    <w:uiPriority w:val="39"/>
    <w:unhideWhenUsed/>
    <w:rsid w:val="003C25DD"/>
    <w:pPr>
      <w:spacing w:after="100"/>
    </w:pPr>
  </w:style>
  <w:style w:type="paragraph" w:styleId="TOC2">
    <w:name w:val="toc 2"/>
    <w:basedOn w:val="Normal"/>
    <w:next w:val="Normal"/>
    <w:autoRedefine/>
    <w:uiPriority w:val="39"/>
    <w:unhideWhenUsed/>
    <w:rsid w:val="003C25DD"/>
    <w:pPr>
      <w:spacing w:after="100"/>
      <w:ind w:left="220"/>
    </w:pPr>
  </w:style>
  <w:style w:type="paragraph" w:styleId="TOC3">
    <w:name w:val="toc 3"/>
    <w:basedOn w:val="Normal"/>
    <w:next w:val="Normal"/>
    <w:autoRedefine/>
    <w:uiPriority w:val="39"/>
    <w:unhideWhenUsed/>
    <w:rsid w:val="003C25DD"/>
    <w:pPr>
      <w:spacing w:after="100"/>
      <w:ind w:left="440"/>
    </w:pPr>
  </w:style>
  <w:style w:type="paragraph" w:styleId="Header">
    <w:name w:val="header"/>
    <w:basedOn w:val="Normal"/>
    <w:link w:val="HeaderChar"/>
    <w:uiPriority w:val="99"/>
    <w:unhideWhenUsed/>
    <w:rsid w:val="003C2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5DD"/>
  </w:style>
  <w:style w:type="paragraph" w:styleId="Footer">
    <w:name w:val="footer"/>
    <w:basedOn w:val="Normal"/>
    <w:link w:val="FooterChar"/>
    <w:uiPriority w:val="99"/>
    <w:unhideWhenUsed/>
    <w:rsid w:val="003C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ther.stein@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statutes/cite/1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16-08-19/pdf/2016-1597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ED.ODEO@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92F27-A45E-4926-8AE9-5CE33C80B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ED5412-BB3F-4F95-A25E-EB5A7BAA0A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E03A10-9EC9-4C07-BE1E-951151C62406}">
  <ds:schemaRefs>
    <ds:schemaRef ds:uri="http://schemas.microsoft.com/sharepoint/v3/contenttype/forms"/>
  </ds:schemaRefs>
</ds:datastoreItem>
</file>

<file path=customXml/itemProps4.xml><?xml version="1.0" encoding="utf-8"?>
<ds:datastoreItem xmlns:ds="http://schemas.openxmlformats.org/officeDocument/2006/customXml" ds:itemID="{10BB5B79-9AE4-48D8-B6CC-3311377F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Lilledahl, Karen (DEED)</dc:creator>
  <cp:keywords/>
  <dc:description/>
  <cp:lastModifiedBy>White, Deanne (DEED)</cp:lastModifiedBy>
  <cp:revision>3</cp:revision>
  <dcterms:created xsi:type="dcterms:W3CDTF">2023-04-07T14:01:00Z</dcterms:created>
  <dcterms:modified xsi:type="dcterms:W3CDTF">2023-04-07T14:26:00Z</dcterms:modified>
</cp:coreProperties>
</file>