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6797" w14:textId="2D9AEDBC" w:rsidR="000D758F" w:rsidRPr="000D758F" w:rsidRDefault="000D758F" w:rsidP="007D313E">
      <w:pPr>
        <w:tabs>
          <w:tab w:val="left" w:pos="6144"/>
        </w:tabs>
        <w:spacing w:before="120" w:after="60"/>
        <w:rPr>
          <w:b/>
          <w:bCs/>
          <w:sz w:val="24"/>
          <w:szCs w:val="24"/>
        </w:rPr>
      </w:pPr>
      <w:bookmarkStart w:id="0" w:name="_Hlk192838021"/>
      <w:bookmarkStart w:id="1" w:name="_Hlk192766106"/>
      <w:r w:rsidRPr="000D758F">
        <w:rPr>
          <w:b/>
          <w:bCs/>
          <w:sz w:val="24"/>
          <w:szCs w:val="24"/>
          <w:u w:val="single"/>
        </w:rPr>
        <w:t>Technical Assistance Topic One</w:t>
      </w:r>
      <w:r w:rsidRPr="000D758F">
        <w:rPr>
          <w:b/>
          <w:bCs/>
          <w:sz w:val="24"/>
          <w:szCs w:val="24"/>
        </w:rPr>
        <w:t>:</w:t>
      </w:r>
      <w:r>
        <w:rPr>
          <w:b/>
          <w:bCs/>
          <w:sz w:val="24"/>
          <w:szCs w:val="24"/>
        </w:rPr>
        <w:t xml:space="preserve"> </w:t>
      </w:r>
      <w:r w:rsidRPr="000D758F">
        <w:rPr>
          <w:sz w:val="24"/>
          <w:szCs w:val="24"/>
        </w:rPr>
        <w:t xml:space="preserve">by </w:t>
      </w:r>
      <w:hyperlink r:id="rId7" w:history="1">
        <w:r w:rsidRPr="000900A0">
          <w:rPr>
            <w:rStyle w:val="Hyperlink"/>
            <w:sz w:val="24"/>
            <w:szCs w:val="24"/>
          </w:rPr>
          <w:t>Mohamed.Farah@state.mn.us</w:t>
        </w:r>
      </w:hyperlink>
      <w:r>
        <w:rPr>
          <w:sz w:val="24"/>
          <w:szCs w:val="24"/>
        </w:rPr>
        <w:t xml:space="preserve"> </w:t>
      </w:r>
    </w:p>
    <w:bookmarkEnd w:id="0"/>
    <w:p w14:paraId="1CCAD43D" w14:textId="77777777" w:rsidR="000D758F" w:rsidRPr="000D758F" w:rsidRDefault="000D758F" w:rsidP="000D758F">
      <w:pPr>
        <w:tabs>
          <w:tab w:val="left" w:pos="6144"/>
        </w:tabs>
        <w:spacing w:after="60"/>
        <w:rPr>
          <w:b/>
          <w:bCs/>
        </w:rPr>
      </w:pPr>
      <w:r w:rsidRPr="000D758F">
        <w:rPr>
          <w:b/>
          <w:bCs/>
        </w:rPr>
        <w:t>Adult and Dislocated Worker Support Services and allowed Timeframes</w:t>
      </w:r>
      <w:bookmarkEnd w:id="1"/>
    </w:p>
    <w:p w14:paraId="2C3CED78" w14:textId="77777777" w:rsidR="000D758F" w:rsidRPr="000D758F" w:rsidRDefault="000D758F" w:rsidP="000D758F">
      <w:bookmarkStart w:id="2" w:name="_Hlk192834554"/>
      <w:r w:rsidRPr="000D758F">
        <w:t xml:space="preserve">AD (Adult) and DW (Dislocated Worker) </w:t>
      </w:r>
      <w:bookmarkEnd w:id="2"/>
      <w:r w:rsidRPr="000D758F">
        <w:t>participants can receive Support Services to help them succeed in their training and job search activities. These services are designed to remove barriers that might prevent them from participating fully in the program. DEED requires all local areas to have their own internal Support Service policies.</w:t>
      </w:r>
    </w:p>
    <w:p w14:paraId="386EEF1C" w14:textId="77777777" w:rsidR="000D758F" w:rsidRPr="000D758F" w:rsidRDefault="000D758F" w:rsidP="000D758F">
      <w:pPr>
        <w:pStyle w:val="ListParagraph"/>
        <w:numPr>
          <w:ilvl w:val="0"/>
          <w:numId w:val="6"/>
        </w:numPr>
        <w:spacing w:before="120" w:after="60"/>
        <w:contextualSpacing w:val="0"/>
      </w:pPr>
      <w:r w:rsidRPr="000D758F">
        <w:rPr>
          <w:b/>
          <w:bCs/>
          <w:u w:val="single"/>
        </w:rPr>
        <w:t>Timeframes Allowed</w:t>
      </w:r>
      <w:r w:rsidRPr="000D758F">
        <w:rPr>
          <w:b/>
          <w:bCs/>
        </w:rPr>
        <w:t xml:space="preserve">: </w:t>
      </w:r>
      <w:r w:rsidRPr="000D758F">
        <w:t>The length of time a participant can receive Support Services depends on the specific service and the participant's individual circumstances. Here’s a general guide:</w:t>
      </w:r>
    </w:p>
    <w:p w14:paraId="12D7C8D6" w14:textId="77777777" w:rsidR="000D758F" w:rsidRPr="000D758F" w:rsidRDefault="000D758F" w:rsidP="000D758F">
      <w:pPr>
        <w:numPr>
          <w:ilvl w:val="0"/>
          <w:numId w:val="1"/>
        </w:numPr>
        <w:spacing w:after="60" w:line="259" w:lineRule="auto"/>
      </w:pPr>
      <w:r w:rsidRPr="000D758F">
        <w:rPr>
          <w:b/>
          <w:bCs/>
        </w:rPr>
        <w:t>During Enrollment:</w:t>
      </w:r>
      <w:r w:rsidRPr="000D758F">
        <w:t> Participants can typically receive Support Services while they are actively enrolled in the AD or DW program and participating in eligible activities, such as training or job search.</w:t>
      </w:r>
    </w:p>
    <w:p w14:paraId="7B406E0A" w14:textId="77777777" w:rsidR="000D758F" w:rsidRPr="000D758F" w:rsidRDefault="000D758F" w:rsidP="000D758F">
      <w:pPr>
        <w:numPr>
          <w:ilvl w:val="0"/>
          <w:numId w:val="1"/>
        </w:numPr>
        <w:spacing w:after="60" w:line="259" w:lineRule="auto"/>
      </w:pPr>
      <w:r w:rsidRPr="000D758F">
        <w:rPr>
          <w:b/>
          <w:bCs/>
        </w:rPr>
        <w:t>While in the 90-day pending exit period:</w:t>
      </w:r>
      <w:r w:rsidRPr="000D758F">
        <w:t> Support Services can be provided after a participant finds a job, especially during the initial period of employment. This might include help with transportation or work-related expenses until the participant receives their first few paychecks.</w:t>
      </w:r>
    </w:p>
    <w:p w14:paraId="71CA6D97" w14:textId="77777777" w:rsidR="000D758F" w:rsidRPr="000D758F" w:rsidRDefault="000D758F" w:rsidP="000D758F">
      <w:pPr>
        <w:numPr>
          <w:ilvl w:val="1"/>
          <w:numId w:val="1"/>
        </w:numPr>
        <w:spacing w:after="60" w:line="259" w:lineRule="auto"/>
      </w:pPr>
      <w:r w:rsidRPr="000D758F">
        <w:t>Should a participant return for Support Services during the pending exit period, the pending exit activity needs to be updated with the new last date of service. The 90-day countdown to program exit will restart at this time.</w:t>
      </w:r>
    </w:p>
    <w:p w14:paraId="0A12811A" w14:textId="70F6AB46" w:rsidR="000D758F" w:rsidRDefault="000D758F" w:rsidP="000D758F">
      <w:pPr>
        <w:numPr>
          <w:ilvl w:val="0"/>
          <w:numId w:val="1"/>
        </w:numPr>
        <w:spacing w:line="259" w:lineRule="auto"/>
      </w:pPr>
      <w:r w:rsidRPr="000D758F">
        <w:rPr>
          <w:b/>
          <w:bCs/>
        </w:rPr>
        <w:t>Follow-Up Services:</w:t>
      </w:r>
      <w:r w:rsidRPr="000D758F">
        <w:t> After a participant exits the program, they cannot access Support Services. However, they can access “supportive” services for 12 months following their exit date. These services are defined as “Follow-Up Services”</w:t>
      </w:r>
      <w:r>
        <w:t>. Examples of appropriate follow-up services include, but are not limited, to:</w:t>
      </w:r>
    </w:p>
    <w:p w14:paraId="02EF83DD" w14:textId="77777777" w:rsidR="000D758F" w:rsidRDefault="000D758F" w:rsidP="000D758F">
      <w:pPr>
        <w:numPr>
          <w:ilvl w:val="1"/>
          <w:numId w:val="1"/>
        </w:numPr>
        <w:spacing w:line="259" w:lineRule="auto"/>
      </w:pPr>
      <w:r>
        <w:t>Counseling about the workplace,</w:t>
      </w:r>
    </w:p>
    <w:p w14:paraId="39A2585A" w14:textId="77777777" w:rsidR="000D758F" w:rsidRDefault="000D758F" w:rsidP="000D758F">
      <w:pPr>
        <w:numPr>
          <w:ilvl w:val="1"/>
          <w:numId w:val="1"/>
        </w:numPr>
        <w:spacing w:line="259" w:lineRule="auto"/>
      </w:pPr>
      <w:r>
        <w:t>Peer support groups,</w:t>
      </w:r>
    </w:p>
    <w:p w14:paraId="24244ED7" w14:textId="77777777" w:rsidR="000D758F" w:rsidRDefault="000D758F" w:rsidP="000D758F">
      <w:pPr>
        <w:numPr>
          <w:ilvl w:val="1"/>
          <w:numId w:val="1"/>
        </w:numPr>
        <w:spacing w:line="259" w:lineRule="auto"/>
      </w:pPr>
      <w:r>
        <w:t>Assistance with work-related problems that may arise,</w:t>
      </w:r>
    </w:p>
    <w:p w14:paraId="7DDB32B6" w14:textId="13722D6B" w:rsidR="000D758F" w:rsidRPr="000D758F" w:rsidRDefault="000D758F" w:rsidP="000D758F">
      <w:pPr>
        <w:numPr>
          <w:ilvl w:val="1"/>
          <w:numId w:val="1"/>
        </w:numPr>
        <w:spacing w:after="60" w:line="259" w:lineRule="auto"/>
      </w:pPr>
      <w:r>
        <w:t>Information about additional educational opportunities.</w:t>
      </w:r>
    </w:p>
    <w:p w14:paraId="5D356FDE" w14:textId="77777777" w:rsidR="000D758F" w:rsidRPr="000F1ADE" w:rsidRDefault="000D758F" w:rsidP="000D758F">
      <w:pPr>
        <w:ind w:left="360" w:hanging="360"/>
      </w:pPr>
      <w:r w:rsidRPr="00D57808">
        <w:rPr>
          <w:b/>
          <w:bCs/>
          <w:u w:val="single"/>
        </w:rPr>
        <w:t>Case Manager Considerations &amp; Steps</w:t>
      </w:r>
      <w:r w:rsidRPr="009B1E7D">
        <w:rPr>
          <w:b/>
          <w:bCs/>
        </w:rPr>
        <w:t>:</w:t>
      </w:r>
    </w:p>
    <w:p w14:paraId="66118C4F" w14:textId="77777777" w:rsidR="000D758F" w:rsidRDefault="000D758F" w:rsidP="000D758F">
      <w:pPr>
        <w:spacing w:line="259" w:lineRule="auto"/>
      </w:pPr>
      <w:r w:rsidRPr="000F1ADE">
        <w:rPr>
          <w:b/>
          <w:bCs/>
        </w:rPr>
        <w:t>Scenario: Continued Support Services with Employment:</w:t>
      </w:r>
      <w:r w:rsidRPr="000F1ADE">
        <w:t xml:space="preserve"> A participant has gained employment and is </w:t>
      </w:r>
      <w:r>
        <w:t xml:space="preserve">no longer in need of services, so they are in a </w:t>
      </w:r>
      <w:r w:rsidRPr="000F1ADE">
        <w:t>pending exit</w:t>
      </w:r>
      <w:r>
        <w:t xml:space="preserve"> exit status</w:t>
      </w:r>
      <w:r w:rsidRPr="000F1ADE">
        <w:t xml:space="preserve">, but </w:t>
      </w:r>
      <w:r>
        <w:t>they return for</w:t>
      </w:r>
      <w:r w:rsidRPr="000F1ADE">
        <w:t xml:space="preserve"> </w:t>
      </w:r>
      <w:r>
        <w:t>S</w:t>
      </w:r>
      <w:r w:rsidRPr="000F1ADE">
        <w:t xml:space="preserve">upport </w:t>
      </w:r>
      <w:r>
        <w:t>S</w:t>
      </w:r>
      <w:r w:rsidRPr="000F1ADE">
        <w:t xml:space="preserve">ervices </w:t>
      </w:r>
      <w:r>
        <w:t>for transportation costs to</w:t>
      </w:r>
      <w:r w:rsidRPr="000F1ADE">
        <w:t xml:space="preserve"> maintain employment.</w:t>
      </w:r>
      <w:r>
        <w:t xml:space="preserve"> </w:t>
      </w:r>
      <w:r w:rsidRPr="00D57808">
        <w:t>Steps</w:t>
      </w:r>
      <w:r>
        <w:t xml:space="preserve"> to follow:</w:t>
      </w:r>
    </w:p>
    <w:p w14:paraId="4A40ABC8" w14:textId="77777777" w:rsidR="000D758F" w:rsidRDefault="000D758F" w:rsidP="000D758F">
      <w:pPr>
        <w:pStyle w:val="ListParagraph"/>
        <w:numPr>
          <w:ilvl w:val="0"/>
          <w:numId w:val="2"/>
        </w:numPr>
        <w:spacing w:line="259" w:lineRule="auto"/>
        <w:contextualSpacing w:val="0"/>
      </w:pPr>
      <w:r w:rsidRPr="00D57808">
        <w:rPr>
          <w:b/>
          <w:bCs/>
        </w:rPr>
        <w:t>Open Activity:</w:t>
      </w:r>
      <w:r w:rsidRPr="000F1ADE">
        <w:t> Open an "Employed, Pending Exit" activity in WF1 with the date you were informed of their new employment,</w:t>
      </w:r>
      <w:r>
        <w:t xml:space="preserve"> and they informed you they were no longer in need of services</w:t>
      </w:r>
      <w:r w:rsidRPr="000F1ADE">
        <w:t>.</w:t>
      </w:r>
      <w:r>
        <w:t xml:space="preserve"> </w:t>
      </w:r>
    </w:p>
    <w:p w14:paraId="2E0B05E1" w14:textId="77777777" w:rsidR="000D758F" w:rsidRPr="000F1ADE" w:rsidRDefault="000D758F" w:rsidP="000D758F">
      <w:pPr>
        <w:pStyle w:val="ListParagraph"/>
        <w:numPr>
          <w:ilvl w:val="3"/>
          <w:numId w:val="2"/>
        </w:numPr>
        <w:tabs>
          <w:tab w:val="clear" w:pos="2880"/>
          <w:tab w:val="num" w:pos="1350"/>
        </w:tabs>
        <w:spacing w:line="259" w:lineRule="auto"/>
        <w:ind w:hanging="1800"/>
        <w:contextualSpacing w:val="0"/>
      </w:pPr>
      <w:r w:rsidRPr="000F1ADE">
        <w:t xml:space="preserve">Enter all required details </w:t>
      </w:r>
      <w:r>
        <w:t>with</w:t>
      </w:r>
      <w:r w:rsidRPr="000F1ADE">
        <w:t xml:space="preserve">in the </w:t>
      </w:r>
      <w:r>
        <w:t xml:space="preserve">pending exit activity </w:t>
      </w:r>
      <w:r w:rsidRPr="000F1ADE">
        <w:t>and save</w:t>
      </w:r>
      <w:r>
        <w:t>.</w:t>
      </w:r>
    </w:p>
    <w:p w14:paraId="77ED43A1" w14:textId="77777777" w:rsidR="000D758F" w:rsidRDefault="000D758F" w:rsidP="000D758F">
      <w:pPr>
        <w:pStyle w:val="ListParagraph"/>
        <w:numPr>
          <w:ilvl w:val="0"/>
          <w:numId w:val="2"/>
        </w:numPr>
        <w:spacing w:line="259" w:lineRule="auto"/>
        <w:contextualSpacing w:val="0"/>
      </w:pPr>
      <w:r w:rsidRPr="00D57808">
        <w:rPr>
          <w:b/>
          <w:bCs/>
        </w:rPr>
        <w:t>Service Extension:</w:t>
      </w:r>
      <w:r w:rsidRPr="000F1ADE">
        <w:t xml:space="preserve"> If the participant requires </w:t>
      </w:r>
      <w:r>
        <w:t>S</w:t>
      </w:r>
      <w:r w:rsidRPr="000F1ADE">
        <w:t xml:space="preserve">upport </w:t>
      </w:r>
      <w:r>
        <w:t>S</w:t>
      </w:r>
      <w:r w:rsidRPr="000F1ADE">
        <w:t>ervices, edit the "Employed, Pending Exit" activity’s start date to the new last date of service</w:t>
      </w:r>
      <w:r>
        <w:t xml:space="preserve"> (the date Support Services were discussed and approved)</w:t>
      </w:r>
      <w:r w:rsidRPr="000F1ADE">
        <w:t>.</w:t>
      </w:r>
    </w:p>
    <w:p w14:paraId="64486ED9" w14:textId="77777777" w:rsidR="000D758F" w:rsidRDefault="000D758F" w:rsidP="000D758F">
      <w:pPr>
        <w:pStyle w:val="ListParagraph"/>
        <w:numPr>
          <w:ilvl w:val="0"/>
          <w:numId w:val="2"/>
        </w:numPr>
        <w:spacing w:line="259" w:lineRule="auto"/>
        <w:contextualSpacing w:val="0"/>
      </w:pPr>
      <w:r w:rsidRPr="00D57808">
        <w:rPr>
          <w:b/>
          <w:bCs/>
        </w:rPr>
        <w:t>Open New Activity:</w:t>
      </w:r>
      <w:r>
        <w:t xml:space="preserve"> Open the </w:t>
      </w:r>
      <w:bookmarkStart w:id="3" w:name="_Hlk192764757"/>
      <w:r>
        <w:t xml:space="preserve">“Prevision of Support Services” activity with the date Support Services were approved. </w:t>
      </w:r>
      <w:bookmarkEnd w:id="3"/>
      <w:r>
        <w:t>This will explain the gap in services.</w:t>
      </w:r>
    </w:p>
    <w:p w14:paraId="49D1624F" w14:textId="77777777" w:rsidR="000D758F" w:rsidRDefault="000D758F" w:rsidP="000D758F">
      <w:pPr>
        <w:pStyle w:val="ListParagraph"/>
        <w:numPr>
          <w:ilvl w:val="3"/>
          <w:numId w:val="2"/>
        </w:numPr>
        <w:tabs>
          <w:tab w:val="clear" w:pos="2880"/>
        </w:tabs>
        <w:spacing w:line="259" w:lineRule="auto"/>
        <w:ind w:left="1350" w:hanging="270"/>
        <w:contextualSpacing w:val="0"/>
      </w:pPr>
      <w:r w:rsidRPr="00F05884">
        <w:t>Confirm the participant’s Individual Employment Plan (IEP) indicates the need for Support Services. If it does not, you will need to update the IEP too.</w:t>
      </w:r>
    </w:p>
    <w:p w14:paraId="00B544A0" w14:textId="77777777" w:rsidR="000D758F" w:rsidRDefault="000D758F" w:rsidP="000D758F">
      <w:pPr>
        <w:pStyle w:val="ListParagraph"/>
        <w:numPr>
          <w:ilvl w:val="0"/>
          <w:numId w:val="2"/>
        </w:numPr>
        <w:spacing w:line="259" w:lineRule="auto"/>
        <w:contextualSpacing w:val="0"/>
      </w:pPr>
      <w:r w:rsidRPr="00D57808">
        <w:rPr>
          <w:b/>
          <w:bCs/>
        </w:rPr>
        <w:t>Case Note:</w:t>
      </w:r>
      <w:r>
        <w:t xml:space="preserve"> Case note the need for Support Services. This will explain the gap in services and the additional service provided that extended the participant’s exit date. </w:t>
      </w:r>
    </w:p>
    <w:p w14:paraId="45164C05" w14:textId="77777777" w:rsidR="000D758F" w:rsidRDefault="000D758F" w:rsidP="007D313E">
      <w:pPr>
        <w:pStyle w:val="ListParagraph"/>
        <w:numPr>
          <w:ilvl w:val="0"/>
          <w:numId w:val="2"/>
        </w:numPr>
        <w:spacing w:before="120" w:line="259" w:lineRule="auto"/>
        <w:contextualSpacing w:val="0"/>
      </w:pPr>
      <w:r w:rsidRPr="00D57808">
        <w:rPr>
          <w:b/>
          <w:bCs/>
        </w:rPr>
        <w:lastRenderedPageBreak/>
        <w:t>Close New Activity:</w:t>
      </w:r>
      <w:r>
        <w:t xml:space="preserve"> Close the </w:t>
      </w:r>
      <w:bookmarkStart w:id="4" w:name="_Hlk192764984"/>
      <w:r w:rsidRPr="00F05884">
        <w:t xml:space="preserve">“Prevision of Support Services” </w:t>
      </w:r>
      <w:bookmarkEnd w:id="4"/>
      <w:r w:rsidRPr="00F05884">
        <w:t xml:space="preserve">activity with the date Support Services were </w:t>
      </w:r>
      <w:r>
        <w:t>provided</w:t>
      </w:r>
      <w:r w:rsidRPr="00F05884">
        <w:t>.</w:t>
      </w:r>
    </w:p>
    <w:p w14:paraId="460BB189" w14:textId="6421E8D2" w:rsidR="009F4698" w:rsidRDefault="000D758F" w:rsidP="005407C4">
      <w:pPr>
        <w:pStyle w:val="ListParagraph"/>
        <w:numPr>
          <w:ilvl w:val="0"/>
          <w:numId w:val="2"/>
        </w:numPr>
        <w:tabs>
          <w:tab w:val="left" w:pos="6144"/>
        </w:tabs>
        <w:spacing w:after="60" w:line="259" w:lineRule="auto"/>
        <w:contextualSpacing w:val="0"/>
      </w:pPr>
      <w:r w:rsidRPr="005407C4">
        <w:rPr>
          <w:b/>
          <w:bCs/>
        </w:rPr>
        <w:t>Double check Pending Exit Activity:</w:t>
      </w:r>
      <w:r>
        <w:t xml:space="preserve"> Confirm the start date of the “Employed, Pending Exit” activity is the same date as the </w:t>
      </w:r>
      <w:r w:rsidRPr="00F05884">
        <w:t>“Prevision of Support Service”</w:t>
      </w:r>
      <w:r>
        <w:t xml:space="preserve"> End Date. </w:t>
      </w:r>
    </w:p>
    <w:sectPr w:rsidR="009F46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0351" w14:textId="77777777" w:rsidR="007A4942" w:rsidRDefault="007A4942" w:rsidP="000D758F">
      <w:r>
        <w:separator/>
      </w:r>
    </w:p>
  </w:endnote>
  <w:endnote w:type="continuationSeparator" w:id="0">
    <w:p w14:paraId="2A362A63" w14:textId="77777777" w:rsidR="007A4942" w:rsidRDefault="007A4942" w:rsidP="000D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8FAA" w14:textId="77777777" w:rsidR="007A4942" w:rsidRDefault="007A4942" w:rsidP="000D758F">
      <w:r>
        <w:separator/>
      </w:r>
    </w:p>
  </w:footnote>
  <w:footnote w:type="continuationSeparator" w:id="0">
    <w:p w14:paraId="1B7AACAF" w14:textId="77777777" w:rsidR="007A4942" w:rsidRDefault="007A4942" w:rsidP="000D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CB5F" w14:textId="40A93A54" w:rsidR="000D758F" w:rsidRPr="000D758F" w:rsidRDefault="000D758F" w:rsidP="000D758F">
    <w:pPr>
      <w:pStyle w:val="Header"/>
      <w:jc w:val="center"/>
      <w:rPr>
        <w:b/>
        <w:bCs/>
        <w:sz w:val="28"/>
        <w:szCs w:val="28"/>
      </w:rPr>
    </w:pPr>
    <w:r>
      <w:rPr>
        <w:b/>
        <w:bCs/>
        <w:sz w:val="28"/>
        <w:szCs w:val="28"/>
      </w:rPr>
      <w:t>Technical Assistance Corner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7D2"/>
    <w:multiLevelType w:val="hybridMultilevel"/>
    <w:tmpl w:val="0338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A3B30"/>
    <w:multiLevelType w:val="multilevel"/>
    <w:tmpl w:val="9C26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90B63"/>
    <w:multiLevelType w:val="multilevel"/>
    <w:tmpl w:val="3E0CAF9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30E62E0E"/>
    <w:multiLevelType w:val="hybridMultilevel"/>
    <w:tmpl w:val="374E3560"/>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abstractNum w:abstractNumId="4" w15:restartNumberingAfterBreak="0">
    <w:nsid w:val="333F3643"/>
    <w:multiLevelType w:val="multilevel"/>
    <w:tmpl w:val="9C26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637C3"/>
    <w:multiLevelType w:val="hybridMultilevel"/>
    <w:tmpl w:val="29228C1C"/>
    <w:lvl w:ilvl="0" w:tplc="04090003">
      <w:start w:val="1"/>
      <w:numFmt w:val="bullet"/>
      <w:lvlText w:val="o"/>
      <w:lvlJc w:val="left"/>
      <w:pPr>
        <w:ind w:left="1344" w:hanging="360"/>
      </w:pPr>
      <w:rPr>
        <w:rFonts w:ascii="Courier New" w:hAnsi="Courier New" w:cs="Courier New" w:hint="default"/>
      </w:rPr>
    </w:lvl>
    <w:lvl w:ilvl="1" w:tplc="FFFFFFFF">
      <w:start w:val="1"/>
      <w:numFmt w:val="bullet"/>
      <w:lvlText w:val="o"/>
      <w:lvlJc w:val="left"/>
      <w:pPr>
        <w:ind w:left="2064" w:hanging="360"/>
      </w:pPr>
      <w:rPr>
        <w:rFonts w:ascii="Courier New" w:hAnsi="Courier New" w:cs="Courier New" w:hint="default"/>
      </w:rPr>
    </w:lvl>
    <w:lvl w:ilvl="2" w:tplc="FFFFFFFF">
      <w:start w:val="1"/>
      <w:numFmt w:val="bullet"/>
      <w:lvlText w:val=""/>
      <w:lvlJc w:val="left"/>
      <w:pPr>
        <w:ind w:left="2784" w:hanging="360"/>
      </w:pPr>
      <w:rPr>
        <w:rFonts w:ascii="Wingdings" w:hAnsi="Wingdings" w:hint="default"/>
      </w:rPr>
    </w:lvl>
    <w:lvl w:ilvl="3" w:tplc="FFFFFFFF">
      <w:start w:val="1"/>
      <w:numFmt w:val="bullet"/>
      <w:lvlText w:val=""/>
      <w:lvlJc w:val="left"/>
      <w:pPr>
        <w:ind w:left="3504" w:hanging="360"/>
      </w:pPr>
      <w:rPr>
        <w:rFonts w:ascii="Symbol" w:hAnsi="Symbol" w:hint="default"/>
      </w:rPr>
    </w:lvl>
    <w:lvl w:ilvl="4" w:tplc="FFFFFFFF">
      <w:start w:val="1"/>
      <w:numFmt w:val="bullet"/>
      <w:lvlText w:val="o"/>
      <w:lvlJc w:val="left"/>
      <w:pPr>
        <w:ind w:left="4224" w:hanging="360"/>
      </w:pPr>
      <w:rPr>
        <w:rFonts w:ascii="Courier New" w:hAnsi="Courier New" w:cs="Courier New" w:hint="default"/>
      </w:rPr>
    </w:lvl>
    <w:lvl w:ilvl="5" w:tplc="FFFFFFFF">
      <w:start w:val="1"/>
      <w:numFmt w:val="bullet"/>
      <w:lvlText w:val=""/>
      <w:lvlJc w:val="left"/>
      <w:pPr>
        <w:ind w:left="4944" w:hanging="360"/>
      </w:pPr>
      <w:rPr>
        <w:rFonts w:ascii="Wingdings" w:hAnsi="Wingdings" w:hint="default"/>
      </w:rPr>
    </w:lvl>
    <w:lvl w:ilvl="6" w:tplc="FFFFFFFF">
      <w:start w:val="1"/>
      <w:numFmt w:val="bullet"/>
      <w:lvlText w:val=""/>
      <w:lvlJc w:val="left"/>
      <w:pPr>
        <w:ind w:left="5664" w:hanging="360"/>
      </w:pPr>
      <w:rPr>
        <w:rFonts w:ascii="Symbol" w:hAnsi="Symbol" w:hint="default"/>
      </w:rPr>
    </w:lvl>
    <w:lvl w:ilvl="7" w:tplc="FFFFFFFF">
      <w:start w:val="1"/>
      <w:numFmt w:val="bullet"/>
      <w:lvlText w:val="o"/>
      <w:lvlJc w:val="left"/>
      <w:pPr>
        <w:ind w:left="6384" w:hanging="360"/>
      </w:pPr>
      <w:rPr>
        <w:rFonts w:ascii="Courier New" w:hAnsi="Courier New" w:cs="Courier New" w:hint="default"/>
      </w:rPr>
    </w:lvl>
    <w:lvl w:ilvl="8" w:tplc="FFFFFFFF">
      <w:start w:val="1"/>
      <w:numFmt w:val="bullet"/>
      <w:lvlText w:val=""/>
      <w:lvlJc w:val="left"/>
      <w:pPr>
        <w:ind w:left="7104" w:hanging="360"/>
      </w:pPr>
      <w:rPr>
        <w:rFonts w:ascii="Wingdings" w:hAnsi="Wingdings" w:hint="default"/>
      </w:rPr>
    </w:lvl>
  </w:abstractNum>
  <w:abstractNum w:abstractNumId="6" w15:restartNumberingAfterBreak="0">
    <w:nsid w:val="4C4C31C1"/>
    <w:multiLevelType w:val="hybridMultilevel"/>
    <w:tmpl w:val="A162B48A"/>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5DBD72A8"/>
    <w:multiLevelType w:val="multilevel"/>
    <w:tmpl w:val="832CCE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438883">
    <w:abstractNumId w:val="2"/>
  </w:num>
  <w:num w:numId="2" w16cid:durableId="1789205793">
    <w:abstractNumId w:val="7"/>
  </w:num>
  <w:num w:numId="3" w16cid:durableId="1254122443">
    <w:abstractNumId w:val="1"/>
  </w:num>
  <w:num w:numId="4" w16cid:durableId="1030229572">
    <w:abstractNumId w:val="3"/>
  </w:num>
  <w:num w:numId="5" w16cid:durableId="362021317">
    <w:abstractNumId w:val="0"/>
  </w:num>
  <w:num w:numId="6" w16cid:durableId="1068576905">
    <w:abstractNumId w:val="4"/>
  </w:num>
  <w:num w:numId="7" w16cid:durableId="2021657974">
    <w:abstractNumId w:val="5"/>
  </w:num>
  <w:num w:numId="8" w16cid:durableId="2097553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8F"/>
    <w:rsid w:val="000D758F"/>
    <w:rsid w:val="00317373"/>
    <w:rsid w:val="005407C4"/>
    <w:rsid w:val="007A4942"/>
    <w:rsid w:val="007D313E"/>
    <w:rsid w:val="0090222C"/>
    <w:rsid w:val="0090625A"/>
    <w:rsid w:val="00967E9E"/>
    <w:rsid w:val="009F4698"/>
    <w:rsid w:val="00A6109C"/>
    <w:rsid w:val="00D7271E"/>
    <w:rsid w:val="00D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2F99"/>
  <w15:chartTrackingRefBased/>
  <w15:docId w15:val="{DE9C9815-4F26-47F9-8F1F-44884C8E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8F"/>
    <w:pPr>
      <w:spacing w:after="0" w:line="240" w:lineRule="auto"/>
    </w:pPr>
    <w:rPr>
      <w:rFonts w:ascii="Calibri" w:hAnsi="Calibri" w:cs="Times New Roman"/>
      <w:kern w:val="0"/>
      <w14:ligatures w14:val="none"/>
    </w:rPr>
  </w:style>
  <w:style w:type="paragraph" w:styleId="Heading1">
    <w:name w:val="heading 1"/>
    <w:basedOn w:val="Normal"/>
    <w:next w:val="Normal"/>
    <w:link w:val="Heading1Char"/>
    <w:uiPriority w:val="9"/>
    <w:qFormat/>
    <w:rsid w:val="000D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5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5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5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5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58F"/>
    <w:rPr>
      <w:rFonts w:eastAsiaTheme="majorEastAsia" w:cstheme="majorBidi"/>
      <w:color w:val="272727" w:themeColor="text1" w:themeTint="D8"/>
    </w:rPr>
  </w:style>
  <w:style w:type="paragraph" w:styleId="Title">
    <w:name w:val="Title"/>
    <w:basedOn w:val="Normal"/>
    <w:next w:val="Normal"/>
    <w:link w:val="TitleChar"/>
    <w:uiPriority w:val="10"/>
    <w:qFormat/>
    <w:rsid w:val="000D75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58F"/>
    <w:pPr>
      <w:spacing w:before="160"/>
      <w:jc w:val="center"/>
    </w:pPr>
    <w:rPr>
      <w:i/>
      <w:iCs/>
      <w:color w:val="404040" w:themeColor="text1" w:themeTint="BF"/>
    </w:rPr>
  </w:style>
  <w:style w:type="character" w:customStyle="1" w:styleId="QuoteChar">
    <w:name w:val="Quote Char"/>
    <w:basedOn w:val="DefaultParagraphFont"/>
    <w:link w:val="Quote"/>
    <w:uiPriority w:val="29"/>
    <w:rsid w:val="000D758F"/>
    <w:rPr>
      <w:i/>
      <w:iCs/>
      <w:color w:val="404040" w:themeColor="text1" w:themeTint="BF"/>
    </w:rPr>
  </w:style>
  <w:style w:type="paragraph" w:styleId="ListParagraph">
    <w:name w:val="List Paragraph"/>
    <w:basedOn w:val="Normal"/>
    <w:uiPriority w:val="34"/>
    <w:qFormat/>
    <w:rsid w:val="000D758F"/>
    <w:pPr>
      <w:ind w:left="720"/>
      <w:contextualSpacing/>
    </w:pPr>
  </w:style>
  <w:style w:type="character" w:styleId="IntenseEmphasis">
    <w:name w:val="Intense Emphasis"/>
    <w:basedOn w:val="DefaultParagraphFont"/>
    <w:uiPriority w:val="21"/>
    <w:qFormat/>
    <w:rsid w:val="000D758F"/>
    <w:rPr>
      <w:i/>
      <w:iCs/>
      <w:color w:val="0F4761" w:themeColor="accent1" w:themeShade="BF"/>
    </w:rPr>
  </w:style>
  <w:style w:type="paragraph" w:styleId="IntenseQuote">
    <w:name w:val="Intense Quote"/>
    <w:basedOn w:val="Normal"/>
    <w:next w:val="Normal"/>
    <w:link w:val="IntenseQuoteChar"/>
    <w:uiPriority w:val="30"/>
    <w:qFormat/>
    <w:rsid w:val="000D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58F"/>
    <w:rPr>
      <w:i/>
      <w:iCs/>
      <w:color w:val="0F4761" w:themeColor="accent1" w:themeShade="BF"/>
    </w:rPr>
  </w:style>
  <w:style w:type="character" w:styleId="IntenseReference">
    <w:name w:val="Intense Reference"/>
    <w:basedOn w:val="DefaultParagraphFont"/>
    <w:uiPriority w:val="32"/>
    <w:qFormat/>
    <w:rsid w:val="000D758F"/>
    <w:rPr>
      <w:b/>
      <w:bCs/>
      <w:smallCaps/>
      <w:color w:val="0F4761" w:themeColor="accent1" w:themeShade="BF"/>
      <w:spacing w:val="5"/>
    </w:rPr>
  </w:style>
  <w:style w:type="paragraph" w:styleId="Header">
    <w:name w:val="header"/>
    <w:basedOn w:val="Normal"/>
    <w:link w:val="HeaderChar"/>
    <w:uiPriority w:val="99"/>
    <w:unhideWhenUsed/>
    <w:rsid w:val="000D758F"/>
    <w:pPr>
      <w:tabs>
        <w:tab w:val="center" w:pos="4680"/>
        <w:tab w:val="right" w:pos="9360"/>
      </w:tabs>
    </w:pPr>
  </w:style>
  <w:style w:type="character" w:customStyle="1" w:styleId="HeaderChar">
    <w:name w:val="Header Char"/>
    <w:basedOn w:val="DefaultParagraphFont"/>
    <w:link w:val="Header"/>
    <w:uiPriority w:val="99"/>
    <w:rsid w:val="000D758F"/>
    <w:rPr>
      <w:rFonts w:ascii="Calibri" w:hAnsi="Calibri" w:cs="Times New Roman"/>
      <w:kern w:val="0"/>
      <w14:ligatures w14:val="none"/>
    </w:rPr>
  </w:style>
  <w:style w:type="paragraph" w:styleId="Footer">
    <w:name w:val="footer"/>
    <w:basedOn w:val="Normal"/>
    <w:link w:val="FooterChar"/>
    <w:uiPriority w:val="99"/>
    <w:unhideWhenUsed/>
    <w:rsid w:val="000D758F"/>
    <w:pPr>
      <w:tabs>
        <w:tab w:val="center" w:pos="4680"/>
        <w:tab w:val="right" w:pos="9360"/>
      </w:tabs>
    </w:pPr>
  </w:style>
  <w:style w:type="character" w:customStyle="1" w:styleId="FooterChar">
    <w:name w:val="Footer Char"/>
    <w:basedOn w:val="DefaultParagraphFont"/>
    <w:link w:val="Footer"/>
    <w:uiPriority w:val="99"/>
    <w:rsid w:val="000D758F"/>
    <w:rPr>
      <w:rFonts w:ascii="Calibri" w:hAnsi="Calibri" w:cs="Times New Roman"/>
      <w:kern w:val="0"/>
      <w14:ligatures w14:val="none"/>
    </w:rPr>
  </w:style>
  <w:style w:type="character" w:styleId="Hyperlink">
    <w:name w:val="Hyperlink"/>
    <w:basedOn w:val="DefaultParagraphFont"/>
    <w:uiPriority w:val="99"/>
    <w:unhideWhenUsed/>
    <w:rsid w:val="000D758F"/>
    <w:rPr>
      <w:color w:val="467886" w:themeColor="hyperlink"/>
      <w:u w:val="single"/>
    </w:rPr>
  </w:style>
  <w:style w:type="character" w:styleId="UnresolvedMention">
    <w:name w:val="Unresolved Mention"/>
    <w:basedOn w:val="DefaultParagraphFont"/>
    <w:uiPriority w:val="99"/>
    <w:semiHidden/>
    <w:unhideWhenUsed/>
    <w:rsid w:val="000D7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hamed.Farah@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Amy (DEED)</dc:creator>
  <cp:keywords/>
  <dc:description/>
  <cp:lastModifiedBy>Bisbee, Carol (DEED)</cp:lastModifiedBy>
  <cp:revision>2</cp:revision>
  <dcterms:created xsi:type="dcterms:W3CDTF">2025-03-24T12:44:00Z</dcterms:created>
  <dcterms:modified xsi:type="dcterms:W3CDTF">2025-03-24T12:44:00Z</dcterms:modified>
</cp:coreProperties>
</file>