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B2EB2" w14:textId="3AC1BC4F" w:rsidR="00A744F1" w:rsidRDefault="00A744F1" w:rsidP="00D63A8C">
      <w:pPr>
        <w:pStyle w:val="NoSpacing"/>
      </w:pPr>
    </w:p>
    <w:p w14:paraId="0DA20C29" w14:textId="60BF945E" w:rsidR="00D63A8C" w:rsidRPr="00C07F20" w:rsidRDefault="00893D47" w:rsidP="00C07F20">
      <w:pPr>
        <w:pStyle w:val="NoSpacing"/>
      </w:pPr>
      <w:r w:rsidRPr="00C07F20">
        <w:t>Dislocated Worker (WIOA &amp; State)</w:t>
      </w:r>
    </w:p>
    <w:p w14:paraId="6BBEF4AA" w14:textId="07075339" w:rsidR="000969F1" w:rsidRPr="00C07F20" w:rsidRDefault="000969F1" w:rsidP="00C07F20">
      <w:pPr>
        <w:pStyle w:val="NoSpacing"/>
        <w:rPr>
          <w:b/>
          <w:bCs/>
        </w:rPr>
      </w:pPr>
      <w:r w:rsidRPr="00C07F20">
        <w:rPr>
          <w:b/>
          <w:bCs/>
        </w:rPr>
        <w:t>Supportive</w:t>
      </w:r>
      <w:r w:rsidR="00251A61" w:rsidRPr="00C07F20">
        <w:rPr>
          <w:b/>
          <w:bCs/>
        </w:rPr>
        <w:t xml:space="preserve"> </w:t>
      </w:r>
      <w:r w:rsidRPr="00C07F20">
        <w:rPr>
          <w:b/>
          <w:bCs/>
        </w:rPr>
        <w:t>and Follow-Up Services Allowable Activities</w:t>
      </w:r>
    </w:p>
    <w:p w14:paraId="1A91B05B" w14:textId="77777777" w:rsidR="00D814BC" w:rsidRPr="0033511D" w:rsidRDefault="00D814BC" w:rsidP="00AD6FB4">
      <w:pPr>
        <w:pStyle w:val="NoSpacing"/>
        <w:rPr>
          <w:b/>
          <w:bCs/>
          <w:sz w:val="12"/>
          <w:szCs w:val="12"/>
        </w:rPr>
      </w:pPr>
    </w:p>
    <w:p w14:paraId="17BD1FC3" w14:textId="6384B041" w:rsidR="000969F1" w:rsidRPr="00AD6FB4" w:rsidRDefault="000969F1" w:rsidP="00AD6FB4">
      <w:pPr>
        <w:pStyle w:val="NoSpacing"/>
        <w:rPr>
          <w:b/>
          <w:bCs/>
        </w:rPr>
      </w:pPr>
      <w:r w:rsidRPr="00610A9D">
        <w:rPr>
          <w:b/>
        </w:rPr>
        <w:t>Summary</w:t>
      </w:r>
    </w:p>
    <w:p w14:paraId="17967E46" w14:textId="195B00E1" w:rsidR="000969F1" w:rsidRPr="00610A9D" w:rsidRDefault="000969F1" w:rsidP="00C07F20">
      <w:pPr>
        <w:pStyle w:val="NoSpacing"/>
      </w:pPr>
      <w:r w:rsidRPr="00610A9D">
        <w:t xml:space="preserve">This policy outlines the </w:t>
      </w:r>
      <w:r w:rsidR="00927275">
        <w:t>supportive</w:t>
      </w:r>
      <w:r>
        <w:t xml:space="preserve"> </w:t>
      </w:r>
      <w:r w:rsidRPr="00610A9D">
        <w:t xml:space="preserve">and </w:t>
      </w:r>
      <w:r w:rsidR="00444432">
        <w:t>f</w:t>
      </w:r>
      <w:r>
        <w:t>ollow-</w:t>
      </w:r>
      <w:r w:rsidR="00444432">
        <w:t>u</w:t>
      </w:r>
      <w:r>
        <w:t xml:space="preserve">p </w:t>
      </w:r>
      <w:r w:rsidR="00444432">
        <w:t>s</w:t>
      </w:r>
      <w:r>
        <w:t>ervice</w:t>
      </w:r>
      <w:r w:rsidR="00CB07A6">
        <w:t xml:space="preserve">s in </w:t>
      </w:r>
      <w:r w:rsidR="004E36F6" w:rsidRPr="00610A9D">
        <w:t xml:space="preserve">the </w:t>
      </w:r>
      <w:r w:rsidR="004E36F6">
        <w:t>Workforce Innovation</w:t>
      </w:r>
      <w:r w:rsidR="004E36F6" w:rsidRPr="00610A9D">
        <w:t xml:space="preserve"> and </w:t>
      </w:r>
      <w:r w:rsidR="004E36F6">
        <w:t>Opportunity Act (WIOA)</w:t>
      </w:r>
      <w:r w:rsidR="004E36F6" w:rsidRPr="00610A9D">
        <w:t xml:space="preserve"> and </w:t>
      </w:r>
      <w:r w:rsidR="004E36F6">
        <w:t>Minnesota State Statute 116L</w:t>
      </w:r>
      <w:r w:rsidR="00AC1E10">
        <w:t>.17</w:t>
      </w:r>
      <w:r w:rsidR="00444432">
        <w:t xml:space="preserve"> programs</w:t>
      </w:r>
      <w:r>
        <w:t xml:space="preserve"> administered by </w:t>
      </w:r>
      <w:r w:rsidRPr="00610A9D">
        <w:t xml:space="preserve">the </w:t>
      </w:r>
      <w:r>
        <w:t>Minnesota Department of Employment and Economic Development (DEED).</w:t>
      </w:r>
      <w:r w:rsidR="000B1B9A" w:rsidRPr="00610A9D">
        <w:t xml:space="preserve"> </w:t>
      </w:r>
    </w:p>
    <w:p w14:paraId="574BA414" w14:textId="77777777" w:rsidR="004E36F6" w:rsidRPr="00AD6FB4" w:rsidRDefault="004E36F6" w:rsidP="004E36F6">
      <w:pPr>
        <w:pStyle w:val="NoSpacing"/>
        <w:rPr>
          <w:sz w:val="12"/>
          <w:szCs w:val="12"/>
        </w:rPr>
      </w:pPr>
    </w:p>
    <w:p w14:paraId="0376F02A" w14:textId="77777777" w:rsidR="000969F1" w:rsidRPr="000969F1" w:rsidRDefault="000969F1" w:rsidP="000969F1">
      <w:pPr>
        <w:pStyle w:val="NoSpacing"/>
        <w:rPr>
          <w:b/>
          <w:bCs/>
        </w:rPr>
      </w:pPr>
      <w:bookmarkStart w:id="0" w:name="_Hlk172234404"/>
      <w:r w:rsidRPr="000969F1">
        <w:rPr>
          <w:b/>
          <w:bCs/>
        </w:rPr>
        <w:t>Relevant Laws, Rules, or Policies</w:t>
      </w:r>
    </w:p>
    <w:bookmarkEnd w:id="0"/>
    <w:p w14:paraId="5516B132" w14:textId="726FE5FB" w:rsidR="008B67B9" w:rsidRDefault="008B67B9" w:rsidP="008B67B9">
      <w:pPr>
        <w:pStyle w:val="NoSpacing"/>
      </w:pPr>
      <w:r>
        <w:t>Workforce Innovation and Opportunity Act (WIOA) (42 USC 3101 et seq)</w:t>
      </w:r>
    </w:p>
    <w:p w14:paraId="71804B8A" w14:textId="71626373" w:rsidR="008B67B9" w:rsidRDefault="008B67B9" w:rsidP="008B67B9">
      <w:pPr>
        <w:pStyle w:val="NoSpacing"/>
      </w:pPr>
      <w:r>
        <w:t xml:space="preserve">Code of Federal Regulations </w:t>
      </w:r>
      <w:r w:rsidR="00210727">
        <w:t xml:space="preserve">20 </w:t>
      </w:r>
      <w:r>
        <w:t>(CFR) Part 680</w:t>
      </w:r>
    </w:p>
    <w:p w14:paraId="441A8827" w14:textId="1DF994F5" w:rsidR="008B67B9" w:rsidRDefault="008B67B9" w:rsidP="008B67B9">
      <w:pPr>
        <w:pStyle w:val="NoSpacing"/>
      </w:pPr>
      <w:r>
        <w:t xml:space="preserve">Code of Federal Regulations </w:t>
      </w:r>
      <w:r w:rsidR="00210727">
        <w:t xml:space="preserve">20 </w:t>
      </w:r>
      <w:r>
        <w:t>(CFR) Part 678</w:t>
      </w:r>
    </w:p>
    <w:p w14:paraId="2E01FFA7" w14:textId="777121F7" w:rsidR="0006674B" w:rsidRDefault="0006674B" w:rsidP="008B67B9">
      <w:pPr>
        <w:pStyle w:val="NoSpacing"/>
      </w:pPr>
      <w:r>
        <w:t xml:space="preserve">Training and Employment Guidance Letter (TEGL) </w:t>
      </w:r>
      <w:r w:rsidR="00E03226">
        <w:t>21-22</w:t>
      </w:r>
      <w:r>
        <w:t xml:space="preserve"> (</w:t>
      </w:r>
      <w:r w:rsidR="00E03226">
        <w:t>June</w:t>
      </w:r>
      <w:r>
        <w:t xml:space="preserve"> </w:t>
      </w:r>
      <w:r w:rsidR="00E03226">
        <w:t>9</w:t>
      </w:r>
      <w:r>
        <w:t>, 20</w:t>
      </w:r>
      <w:r w:rsidR="00E03226">
        <w:t>23</w:t>
      </w:r>
      <w:r>
        <w:t>)</w:t>
      </w:r>
    </w:p>
    <w:p w14:paraId="46FFD3A0" w14:textId="79763B8A" w:rsidR="001A1082" w:rsidRDefault="008B67B9" w:rsidP="008B67B9">
      <w:pPr>
        <w:pStyle w:val="NoSpacing"/>
      </w:pPr>
      <w:r>
        <w:t>Training and Employment Guidance Letter (TEGL) 19-16 (March 1, 2017)</w:t>
      </w:r>
    </w:p>
    <w:p w14:paraId="72A80642" w14:textId="68E71743" w:rsidR="00723891" w:rsidRDefault="00013F12" w:rsidP="008B67B9">
      <w:pPr>
        <w:pStyle w:val="NoSpacing"/>
      </w:pPr>
      <w:r>
        <w:t>Training and Employment Guidance Letter (TEGL) 16-16 (</w:t>
      </w:r>
      <w:r w:rsidRPr="00013F12">
        <w:t>January 18, 2017</w:t>
      </w:r>
      <w:r>
        <w:t>)</w:t>
      </w:r>
    </w:p>
    <w:p w14:paraId="227520E7" w14:textId="78114DCC" w:rsidR="00097F30" w:rsidRDefault="00097F30" w:rsidP="008B67B9">
      <w:pPr>
        <w:pStyle w:val="NoSpacing"/>
      </w:pPr>
      <w:r>
        <w:t>Training and Employment Guidance Letter (TEGL) 12-19 (</w:t>
      </w:r>
      <w:r w:rsidR="004C4898">
        <w:t>November</w:t>
      </w:r>
      <w:r>
        <w:t xml:space="preserve"> </w:t>
      </w:r>
      <w:r w:rsidR="004C4898">
        <w:t>1</w:t>
      </w:r>
      <w:r>
        <w:t>, 20</w:t>
      </w:r>
      <w:r w:rsidR="004C4898">
        <w:t>20</w:t>
      </w:r>
      <w:r>
        <w:t>)</w:t>
      </w:r>
    </w:p>
    <w:p w14:paraId="202B99EA" w14:textId="00EF03F0" w:rsidR="0019403B" w:rsidRDefault="0019403B" w:rsidP="008B67B9">
      <w:pPr>
        <w:pStyle w:val="NoSpacing"/>
      </w:pPr>
      <w:r>
        <w:t>Training and Employment Guidance Letter (TEGL) 10-</w:t>
      </w:r>
      <w:r w:rsidR="004B3BAB">
        <w:t>16, Change 3</w:t>
      </w:r>
      <w:r>
        <w:t xml:space="preserve"> (</w:t>
      </w:r>
      <w:r w:rsidR="00732ADB">
        <w:t>June</w:t>
      </w:r>
      <w:r>
        <w:t xml:space="preserve"> </w:t>
      </w:r>
      <w:r w:rsidR="00732ADB">
        <w:t>1</w:t>
      </w:r>
      <w:r>
        <w:t>1, 2024)</w:t>
      </w:r>
    </w:p>
    <w:p w14:paraId="7998E302" w14:textId="1DF4C322" w:rsidR="008B67B9" w:rsidRDefault="008B67B9" w:rsidP="000969F1">
      <w:pPr>
        <w:pStyle w:val="NoSpacing"/>
      </w:pPr>
      <w:r>
        <w:t>Training and Employment Notice (TEN) 12-21 (October 15,</w:t>
      </w:r>
      <w:r w:rsidR="006356CF">
        <w:t xml:space="preserve"> </w:t>
      </w:r>
      <w:r>
        <w:t>2021)</w:t>
      </w:r>
    </w:p>
    <w:p w14:paraId="70429FB5" w14:textId="19F961AE" w:rsidR="000969F1" w:rsidRDefault="000969F1" w:rsidP="00AD6FB4">
      <w:pPr>
        <w:pStyle w:val="NoSpacing"/>
      </w:pPr>
      <w:r>
        <w:t>Minnesota State Statute 116L.17</w:t>
      </w:r>
    </w:p>
    <w:p w14:paraId="1D80A0C8" w14:textId="77777777" w:rsidR="00AD6FB4" w:rsidRPr="00AD6FB4" w:rsidRDefault="00AD6FB4" w:rsidP="00AD6FB4">
      <w:pPr>
        <w:pStyle w:val="NoSpacing"/>
        <w:rPr>
          <w:sz w:val="12"/>
          <w:szCs w:val="12"/>
        </w:rPr>
      </w:pPr>
    </w:p>
    <w:p w14:paraId="358D6435" w14:textId="588568D9" w:rsidR="000969F1" w:rsidRPr="000969F1" w:rsidRDefault="000969F1" w:rsidP="000969F1">
      <w:pPr>
        <w:pStyle w:val="NoSpacing"/>
        <w:rPr>
          <w:b/>
          <w:bCs/>
        </w:rPr>
      </w:pPr>
      <w:r w:rsidRPr="00610A9D">
        <w:rPr>
          <w:b/>
        </w:rPr>
        <w:t>Effective Date</w:t>
      </w:r>
    </w:p>
    <w:p w14:paraId="11613B5C" w14:textId="15CF3DF3" w:rsidR="000969F1" w:rsidRPr="00610A9D" w:rsidRDefault="000969F1" w:rsidP="00610A9D">
      <w:r w:rsidRPr="00610A9D">
        <w:t>4/18/2018</w:t>
      </w:r>
    </w:p>
    <w:p w14:paraId="5A2F0286" w14:textId="1114337D" w:rsidR="000969F1" w:rsidRPr="00610A9D" w:rsidRDefault="000969F1" w:rsidP="00610A9D">
      <w:pPr>
        <w:pStyle w:val="NoSpacing"/>
        <w:rPr>
          <w:b/>
        </w:rPr>
      </w:pPr>
      <w:r w:rsidRPr="00610A9D">
        <w:rPr>
          <w:b/>
        </w:rPr>
        <w:t>Last Updated</w:t>
      </w:r>
    </w:p>
    <w:p w14:paraId="5E7F7D70" w14:textId="5AD470C4" w:rsidR="000969F1" w:rsidRDefault="000969F1" w:rsidP="000969F1">
      <w:r>
        <w:t>4/2</w:t>
      </w:r>
      <w:r w:rsidR="00C07F20">
        <w:t>6</w:t>
      </w:r>
      <w:r>
        <w:t>/202</w:t>
      </w:r>
      <w:r w:rsidR="00C07F20">
        <w:t>5</w:t>
      </w:r>
    </w:p>
    <w:p w14:paraId="10138021" w14:textId="21CAA503" w:rsidR="000969F1" w:rsidRPr="000969F1" w:rsidRDefault="000969F1" w:rsidP="000969F1">
      <w:pPr>
        <w:pStyle w:val="NoSpacing"/>
        <w:rPr>
          <w:b/>
          <w:bCs/>
        </w:rPr>
      </w:pPr>
      <w:r w:rsidRPr="000969F1">
        <w:rPr>
          <w:b/>
          <w:bCs/>
        </w:rPr>
        <w:t>Contact</w:t>
      </w:r>
    </w:p>
    <w:p w14:paraId="7C664154" w14:textId="0F97FC4B" w:rsidR="000969F1" w:rsidRDefault="009712BB" w:rsidP="000969F1">
      <w:pPr>
        <w:pStyle w:val="NoSpacing"/>
      </w:pPr>
      <w:r w:rsidRPr="003160CF">
        <w:rPr>
          <w:b/>
          <w:bCs/>
        </w:rPr>
        <w:t xml:space="preserve">Email: </w:t>
      </w:r>
      <w:r w:rsidRPr="003160CF">
        <w:t>DWFAPrograms.DEED@state.mn.us</w:t>
      </w:r>
      <w:r w:rsidRPr="003160CF">
        <w:br/>
      </w:r>
      <w:r w:rsidRPr="003160CF">
        <w:rPr>
          <w:b/>
          <w:bCs/>
        </w:rPr>
        <w:t xml:space="preserve">Tel: </w:t>
      </w:r>
      <w:r w:rsidRPr="003160CF">
        <w:rPr>
          <w:color w:val="242424"/>
          <w:shd w:val="clear" w:color="auto" w:fill="FFFFFF"/>
        </w:rPr>
        <w:t>651-259-7503</w:t>
      </w:r>
    </w:p>
    <w:p w14:paraId="5701D6E2" w14:textId="77777777" w:rsidR="009712BB" w:rsidRPr="0033511D" w:rsidRDefault="009712BB" w:rsidP="00D63086">
      <w:pPr>
        <w:pStyle w:val="NoSpacing"/>
        <w:rPr>
          <w:b/>
          <w:bCs/>
          <w:sz w:val="12"/>
          <w:szCs w:val="12"/>
        </w:rPr>
      </w:pPr>
    </w:p>
    <w:p w14:paraId="224AB510" w14:textId="28546C04" w:rsidR="00D63086" w:rsidRPr="00610A9D" w:rsidRDefault="00D63086" w:rsidP="00610A9D">
      <w:pPr>
        <w:pStyle w:val="NoSpacing"/>
        <w:rPr>
          <w:b/>
        </w:rPr>
      </w:pPr>
      <w:r w:rsidRPr="00610A9D">
        <w:rPr>
          <w:b/>
        </w:rPr>
        <w:t>Policy</w:t>
      </w:r>
    </w:p>
    <w:p w14:paraId="2710DCFD" w14:textId="77777777" w:rsidR="00D63086" w:rsidRPr="00610A9D" w:rsidRDefault="00D63086" w:rsidP="00610A9D">
      <w:pPr>
        <w:pStyle w:val="NoSpacing"/>
      </w:pPr>
      <w:r w:rsidRPr="00610A9D">
        <w:t>Local Policy Required?</w:t>
      </w:r>
    </w:p>
    <w:p w14:paraId="4CFA95E6" w14:textId="7B93D5A5" w:rsidR="00D63086" w:rsidRPr="00610A9D" w:rsidRDefault="00D63086" w:rsidP="00610A9D">
      <w:pPr>
        <w:pStyle w:val="NoSpacing"/>
      </w:pPr>
      <w:r w:rsidRPr="00610A9D">
        <w:t xml:space="preserve">Yes. Local providers </w:t>
      </w:r>
      <w:r>
        <w:t xml:space="preserve">(Herein after “Providers”) </w:t>
      </w:r>
      <w:r w:rsidRPr="000969F1">
        <w:rPr>
          <w:u w:val="single"/>
        </w:rPr>
        <w:t>must</w:t>
      </w:r>
      <w:r>
        <w:t xml:space="preserve"> </w:t>
      </w:r>
      <w:r w:rsidRPr="00610A9D">
        <w:t xml:space="preserve">have an updated </w:t>
      </w:r>
      <w:r>
        <w:t xml:space="preserve">and current </w:t>
      </w:r>
      <w:r w:rsidRPr="00610A9D">
        <w:t>policy on file that includes, at minimum, the information required by this policy</w:t>
      </w:r>
      <w:r w:rsidR="00E41F6A" w:rsidRPr="00610A9D">
        <w:t xml:space="preserve">. </w:t>
      </w:r>
      <w:r>
        <w:t>P</w:t>
      </w:r>
      <w:r w:rsidRPr="00BF2F08">
        <w:rPr>
          <w:rFonts w:cstheme="minorHAnsi"/>
        </w:rPr>
        <w:t>rovider</w:t>
      </w:r>
      <w:r w:rsidRPr="00610A9D">
        <w:t xml:space="preserve"> policies </w:t>
      </w:r>
      <w:r w:rsidRPr="00610A9D">
        <w:rPr>
          <w:u w:val="single"/>
        </w:rPr>
        <w:t>must</w:t>
      </w:r>
      <w:r w:rsidRPr="00610A9D">
        <w:t xml:space="preserve"> be made available to DEED upon request</w:t>
      </w:r>
      <w:r w:rsidRPr="00BF2F08">
        <w:rPr>
          <w:rFonts w:cstheme="minorHAnsi"/>
        </w:rPr>
        <w:t>, either in hard copy or electronic formats</w:t>
      </w:r>
      <w:r w:rsidRPr="00610A9D">
        <w:t>.</w:t>
      </w:r>
    </w:p>
    <w:p w14:paraId="4455770A" w14:textId="09B9C52B" w:rsidR="00D63086" w:rsidRPr="000F7837" w:rsidRDefault="00D63086" w:rsidP="00D63086">
      <w:pPr>
        <w:pStyle w:val="NoSpacing"/>
        <w:rPr>
          <w:rFonts w:cstheme="minorHAnsi"/>
          <w:sz w:val="12"/>
          <w:szCs w:val="12"/>
        </w:rPr>
      </w:pPr>
    </w:p>
    <w:p w14:paraId="1DC49659" w14:textId="77777777" w:rsidR="00D63086" w:rsidRPr="00E8068C" w:rsidRDefault="00D63086" w:rsidP="00D63086">
      <w:pPr>
        <w:pStyle w:val="NoSpacing"/>
        <w:rPr>
          <w:b/>
          <w:bCs/>
          <w:u w:val="single"/>
        </w:rPr>
      </w:pPr>
      <w:r w:rsidRPr="00E8068C">
        <w:rPr>
          <w:b/>
          <w:bCs/>
          <w:u w:val="single"/>
        </w:rPr>
        <w:t xml:space="preserve">Programs Covered: </w:t>
      </w:r>
    </w:p>
    <w:p w14:paraId="19C89466" w14:textId="4A59A0FB" w:rsidR="00D63086" w:rsidRDefault="00D63086" w:rsidP="00D63086">
      <w:pPr>
        <w:pStyle w:val="NoSpacing"/>
        <w:rPr>
          <w:rFonts w:cstheme="minorHAnsi"/>
        </w:rPr>
      </w:pPr>
      <w:r>
        <w:rPr>
          <w:rFonts w:cstheme="minorHAnsi"/>
        </w:rPr>
        <w:t xml:space="preserve">This policy </w:t>
      </w:r>
      <w:r w:rsidR="00AC1E10">
        <w:rPr>
          <w:rFonts w:cstheme="minorHAnsi"/>
        </w:rPr>
        <w:t>applies to</w:t>
      </w:r>
      <w:r>
        <w:rPr>
          <w:rFonts w:cstheme="minorHAnsi"/>
        </w:rPr>
        <w:t xml:space="preserve"> the</w:t>
      </w:r>
      <w:r w:rsidR="00500ACF">
        <w:rPr>
          <w:rFonts w:cstheme="minorHAnsi"/>
        </w:rPr>
        <w:t xml:space="preserve"> following </w:t>
      </w:r>
      <w:r w:rsidR="00C36D01">
        <w:rPr>
          <w:rFonts w:cstheme="minorHAnsi"/>
        </w:rPr>
        <w:t>Dislocated</w:t>
      </w:r>
      <w:r w:rsidR="00500ACF">
        <w:rPr>
          <w:rFonts w:cstheme="minorHAnsi"/>
        </w:rPr>
        <w:t xml:space="preserve"> Worker and Federal Adult Programs </w:t>
      </w:r>
      <w:r w:rsidR="007163E0">
        <w:rPr>
          <w:rFonts w:cstheme="minorHAnsi"/>
        </w:rPr>
        <w:t>(DWFAP)</w:t>
      </w:r>
      <w:r>
        <w:rPr>
          <w:rFonts w:cstheme="minorHAnsi"/>
        </w:rPr>
        <w:t>:</w:t>
      </w:r>
    </w:p>
    <w:p w14:paraId="6438FD15" w14:textId="77777777" w:rsidR="007E1018" w:rsidRDefault="007E1018" w:rsidP="007E1018">
      <w:pPr>
        <w:pStyle w:val="NoSpacing"/>
        <w:numPr>
          <w:ilvl w:val="0"/>
          <w:numId w:val="44"/>
        </w:numPr>
      </w:pPr>
      <w:r>
        <w:t>WIOA Adult Program,</w:t>
      </w:r>
    </w:p>
    <w:p w14:paraId="7951FEDE" w14:textId="77777777" w:rsidR="007E1018" w:rsidRDefault="007E1018" w:rsidP="007E1018">
      <w:pPr>
        <w:pStyle w:val="NoSpacing"/>
        <w:numPr>
          <w:ilvl w:val="0"/>
          <w:numId w:val="44"/>
        </w:numPr>
      </w:pPr>
      <w:r>
        <w:t xml:space="preserve">WIOA Dislocated Worker Program, </w:t>
      </w:r>
    </w:p>
    <w:p w14:paraId="59AB8E99" w14:textId="77777777" w:rsidR="007E1018" w:rsidRDefault="007E1018" w:rsidP="007E1018">
      <w:pPr>
        <w:pStyle w:val="NoSpacing"/>
        <w:numPr>
          <w:ilvl w:val="0"/>
          <w:numId w:val="44"/>
        </w:numPr>
      </w:pPr>
      <w:r>
        <w:t>State Dislocated Worker Program,</w:t>
      </w:r>
    </w:p>
    <w:p w14:paraId="258A587A" w14:textId="77777777" w:rsidR="007E1018" w:rsidRDefault="007E1018" w:rsidP="007E1018">
      <w:pPr>
        <w:pStyle w:val="NoSpacing"/>
        <w:numPr>
          <w:ilvl w:val="0"/>
          <w:numId w:val="44"/>
        </w:numPr>
      </w:pPr>
      <w:r w:rsidRPr="00565B6B">
        <w:rPr>
          <w:rFonts w:cstheme="minorHAnsi"/>
        </w:rPr>
        <w:t xml:space="preserve">National </w:t>
      </w:r>
      <w:r>
        <w:rPr>
          <w:rFonts w:cstheme="minorHAnsi"/>
        </w:rPr>
        <w:t xml:space="preserve">Dislocated Worker </w:t>
      </w:r>
      <w:r w:rsidRPr="00565B6B">
        <w:rPr>
          <w:rFonts w:cstheme="minorHAnsi"/>
        </w:rPr>
        <w:t>Grant</w:t>
      </w:r>
      <w:r>
        <w:rPr>
          <w:rFonts w:cstheme="minorHAnsi"/>
        </w:rPr>
        <w:t>s</w:t>
      </w:r>
      <w:r w:rsidRPr="00565B6B">
        <w:rPr>
          <w:rFonts w:cstheme="minorHAnsi"/>
        </w:rPr>
        <w:t xml:space="preserve"> </w:t>
      </w:r>
      <w:r>
        <w:rPr>
          <w:rFonts w:cstheme="minorHAnsi"/>
        </w:rPr>
        <w:t>(DWGs)</w:t>
      </w:r>
      <w:r>
        <w:t xml:space="preserve">, and, </w:t>
      </w:r>
    </w:p>
    <w:p w14:paraId="47711271" w14:textId="77777777" w:rsidR="007E1018" w:rsidRDefault="007E1018" w:rsidP="007E1018">
      <w:pPr>
        <w:pStyle w:val="NoSpacing"/>
        <w:numPr>
          <w:ilvl w:val="0"/>
          <w:numId w:val="44"/>
        </w:numPr>
      </w:pPr>
      <w:r>
        <w:t xml:space="preserve">Certain special programs such as the: </w:t>
      </w:r>
    </w:p>
    <w:p w14:paraId="57DD55E3" w14:textId="77777777" w:rsidR="007E1018" w:rsidRDefault="007E1018" w:rsidP="007E1018">
      <w:pPr>
        <w:pStyle w:val="NoSpacing"/>
        <w:numPr>
          <w:ilvl w:val="1"/>
          <w:numId w:val="44"/>
        </w:numPr>
      </w:pPr>
      <w:r>
        <w:t xml:space="preserve">Minnesota </w:t>
      </w:r>
      <w:r w:rsidRPr="00D36F89">
        <w:t>Retaining Employment and Talent After Injury/Illness Network</w:t>
      </w:r>
      <w:r>
        <w:t xml:space="preserve"> (RETAIN) Program, and,</w:t>
      </w:r>
    </w:p>
    <w:p w14:paraId="6134C153" w14:textId="77777777" w:rsidR="007E1018" w:rsidRDefault="007E1018" w:rsidP="007E1018">
      <w:pPr>
        <w:pStyle w:val="NoSpacing"/>
        <w:numPr>
          <w:ilvl w:val="1"/>
          <w:numId w:val="44"/>
        </w:numPr>
      </w:pPr>
      <w:r>
        <w:t>Reentry Pilot Program.</w:t>
      </w:r>
    </w:p>
    <w:p w14:paraId="40003D35" w14:textId="77777777" w:rsidR="007E1018" w:rsidRPr="00FA7028" w:rsidRDefault="007E1018" w:rsidP="00D63086">
      <w:pPr>
        <w:pStyle w:val="NoSpacing"/>
        <w:rPr>
          <w:rFonts w:cstheme="minorHAnsi"/>
          <w:sz w:val="12"/>
          <w:szCs w:val="12"/>
        </w:rPr>
      </w:pPr>
    </w:p>
    <w:p w14:paraId="608B9BEC" w14:textId="7172D22E" w:rsidR="00D63086" w:rsidRPr="009D6FAE" w:rsidRDefault="002154F1" w:rsidP="009D6FAE">
      <w:pPr>
        <w:rPr>
          <w:rFonts w:cstheme="minorHAnsi"/>
        </w:rPr>
      </w:pPr>
      <w:r w:rsidRPr="009D6FAE">
        <w:rPr>
          <w:rFonts w:cstheme="minorHAnsi"/>
          <w:b/>
          <w:bCs/>
          <w:kern w:val="0"/>
        </w:rPr>
        <w:t>Note:</w:t>
      </w:r>
      <w:r w:rsidRPr="009D6FAE">
        <w:rPr>
          <w:rFonts w:cstheme="minorHAnsi"/>
          <w:kern w:val="0"/>
        </w:rPr>
        <w:t xml:space="preserve"> </w:t>
      </w:r>
      <w:bookmarkStart w:id="1" w:name="_Hlk195518973"/>
      <w:r w:rsidR="00CB07A6" w:rsidRPr="00A961E7">
        <w:rPr>
          <w:color w:val="242424"/>
          <w:shd w:val="clear" w:color="auto" w:fill="FFFFFF"/>
        </w:rPr>
        <w:t xml:space="preserve">Terms that are </w:t>
      </w:r>
      <w:r w:rsidR="00CB07A6" w:rsidRPr="00A961E7">
        <w:rPr>
          <w:i/>
          <w:iCs/>
          <w:color w:val="242424"/>
          <w:shd w:val="clear" w:color="auto" w:fill="FFFFFF"/>
        </w:rPr>
        <w:t xml:space="preserve">Italicized </w:t>
      </w:r>
      <w:r w:rsidR="00CB07A6" w:rsidRPr="00A961E7">
        <w:rPr>
          <w:color w:val="242424"/>
          <w:shd w:val="clear" w:color="auto" w:fill="FFFFFF"/>
        </w:rPr>
        <w:t xml:space="preserve">are also defined within the “Dislocated Worker and Federal Adult Programs (DWFAP) </w:t>
      </w:r>
      <w:r w:rsidR="00CB07A6">
        <w:rPr>
          <w:color w:val="242424"/>
          <w:shd w:val="clear" w:color="auto" w:fill="FFFFFF"/>
        </w:rPr>
        <w:t xml:space="preserve">Terms and </w:t>
      </w:r>
      <w:r w:rsidR="00CB07A6" w:rsidRPr="00A961E7">
        <w:rPr>
          <w:color w:val="242424"/>
          <w:shd w:val="clear" w:color="auto" w:fill="FFFFFF"/>
        </w:rPr>
        <w:t xml:space="preserve">Definitions” document in the </w:t>
      </w:r>
      <w:r w:rsidR="00CB07A6">
        <w:t xml:space="preserve">“Related Links” at the bottom of this policy. </w:t>
      </w:r>
      <w:bookmarkEnd w:id="1"/>
    </w:p>
    <w:p w14:paraId="66E9958F" w14:textId="76FF3D03" w:rsidR="00D63086" w:rsidRPr="00E8068C" w:rsidRDefault="00D63086" w:rsidP="00D63086">
      <w:pPr>
        <w:pStyle w:val="NoSpacing"/>
        <w:rPr>
          <w:b/>
          <w:bCs/>
          <w:u w:val="single"/>
        </w:rPr>
      </w:pPr>
      <w:r w:rsidRPr="00E8068C">
        <w:rPr>
          <w:b/>
          <w:bCs/>
          <w:u w:val="single"/>
        </w:rPr>
        <w:t>Local Provider Policies</w:t>
      </w:r>
      <w:r w:rsidR="00043FF0" w:rsidRPr="00E8068C">
        <w:rPr>
          <w:b/>
          <w:bCs/>
          <w:u w:val="single"/>
        </w:rPr>
        <w:t xml:space="preserve"> (Supportive Services)</w:t>
      </w:r>
      <w:r w:rsidRPr="00E8068C">
        <w:rPr>
          <w:b/>
          <w:bCs/>
          <w:u w:val="single"/>
        </w:rPr>
        <w:t>:</w:t>
      </w:r>
    </w:p>
    <w:p w14:paraId="4BEAA41E" w14:textId="16154A94" w:rsidR="00043FF0" w:rsidRPr="00610A9D" w:rsidRDefault="00D63086" w:rsidP="00C07F20">
      <w:pPr>
        <w:pStyle w:val="NoSpacing"/>
      </w:pPr>
      <w:r w:rsidRPr="00610A9D">
        <w:t xml:space="preserve">Providers </w:t>
      </w:r>
      <w:r w:rsidRPr="00610A9D">
        <w:rPr>
          <w:u w:val="single"/>
        </w:rPr>
        <w:t>must</w:t>
      </w:r>
      <w:r w:rsidRPr="00610A9D">
        <w:t xml:space="preserve"> </w:t>
      </w:r>
      <w:r w:rsidRPr="00FE13F9">
        <w:t xml:space="preserve">have an updated and </w:t>
      </w:r>
      <w:r w:rsidRPr="00610A9D">
        <w:t>current policy on supportive services that outlines the resource and service coordination in the local area</w:t>
      </w:r>
      <w:r w:rsidR="00B4166B" w:rsidRPr="00610A9D">
        <w:t>.</w:t>
      </w:r>
      <w:r w:rsidR="009D36BA" w:rsidRPr="00FE13F9">
        <w:rPr>
          <w:rStyle w:val="FootnoteReference"/>
        </w:rPr>
        <w:footnoteReference w:id="2"/>
      </w:r>
      <w:r w:rsidR="00B4166B" w:rsidRPr="00FE13F9">
        <w:t xml:space="preserve"> </w:t>
      </w:r>
      <w:r w:rsidR="004474AF" w:rsidRPr="00FE13F9">
        <w:t xml:space="preserve">Local </w:t>
      </w:r>
      <w:r w:rsidRPr="00FE13F9">
        <w:t>policies may</w:t>
      </w:r>
      <w:r w:rsidR="009014BE" w:rsidRPr="00FE13F9">
        <w:t xml:space="preserve"> </w:t>
      </w:r>
      <w:r w:rsidRPr="00610A9D">
        <w:t xml:space="preserve">include a maximum </w:t>
      </w:r>
      <w:r w:rsidR="00433B7C" w:rsidRPr="00FE13F9">
        <w:t>total</w:t>
      </w:r>
      <w:r w:rsidR="00EC4A03" w:rsidRPr="00FE13F9">
        <w:t xml:space="preserve"> </w:t>
      </w:r>
      <w:r w:rsidRPr="00610A9D">
        <w:t xml:space="preserve">amount of funding for supportive services available to </w:t>
      </w:r>
      <w:r w:rsidR="00CB07A6">
        <w:t>a</w:t>
      </w:r>
      <w:r w:rsidRPr="00610A9D">
        <w:t xml:space="preserve"> participant</w:t>
      </w:r>
      <w:r w:rsidRPr="00FE13F9">
        <w:t>.</w:t>
      </w:r>
      <w:r w:rsidR="004474AF" w:rsidRPr="00FE13F9">
        <w:rPr>
          <w:rStyle w:val="FootnoteReference"/>
        </w:rPr>
        <w:footnoteReference w:id="3"/>
      </w:r>
      <w:r w:rsidRPr="00FE13F9">
        <w:t xml:space="preserve"> However</w:t>
      </w:r>
      <w:r w:rsidRPr="00610A9D">
        <w:t xml:space="preserve">, the policy </w:t>
      </w:r>
      <w:r w:rsidRPr="00FE13F9">
        <w:rPr>
          <w:u w:val="single"/>
        </w:rPr>
        <w:t>cannot</w:t>
      </w:r>
      <w:r w:rsidRPr="00610A9D">
        <w:t xml:space="preserve"> be so restrictive that it would result in a participant's failure to successfully complete their program</w:t>
      </w:r>
      <w:r w:rsidRPr="00FE13F9">
        <w:t>(s).</w:t>
      </w:r>
    </w:p>
    <w:p w14:paraId="0CBA7C60" w14:textId="77777777" w:rsidR="000A0A2F" w:rsidRPr="00610A9D" w:rsidRDefault="000A0A2F" w:rsidP="00610A9D">
      <w:pPr>
        <w:pStyle w:val="NoSpacing"/>
        <w:rPr>
          <w:sz w:val="12"/>
        </w:rPr>
      </w:pPr>
    </w:p>
    <w:p w14:paraId="37BAAA7A" w14:textId="6C29C794" w:rsidR="00043FF0" w:rsidRPr="00E8068C" w:rsidRDefault="00043FF0" w:rsidP="00D63086">
      <w:pPr>
        <w:pStyle w:val="NoSpacing"/>
        <w:rPr>
          <w:b/>
          <w:bCs/>
          <w:u w:val="single"/>
        </w:rPr>
      </w:pPr>
      <w:r w:rsidRPr="00610A9D">
        <w:rPr>
          <w:b/>
          <w:u w:val="single"/>
        </w:rPr>
        <w:t xml:space="preserve">Local </w:t>
      </w:r>
      <w:r w:rsidRPr="00E8068C">
        <w:rPr>
          <w:b/>
          <w:bCs/>
          <w:u w:val="single"/>
        </w:rPr>
        <w:t>Provider Policies (Follow-Up Services):</w:t>
      </w:r>
    </w:p>
    <w:p w14:paraId="7A8B758E" w14:textId="021D2EC2" w:rsidR="00043FF0" w:rsidRPr="00610A9D" w:rsidRDefault="00043FF0" w:rsidP="00610A9D">
      <w:pPr>
        <w:pStyle w:val="NoSpacing"/>
      </w:pPr>
      <w:r w:rsidRPr="00FE13F9">
        <w:t>Providers</w:t>
      </w:r>
      <w:r w:rsidRPr="00610A9D">
        <w:t xml:space="preserve"> </w:t>
      </w:r>
      <w:r w:rsidR="00C04D44" w:rsidRPr="00610A9D">
        <w:rPr>
          <w:u w:val="single"/>
        </w:rPr>
        <w:t>must</w:t>
      </w:r>
      <w:r w:rsidR="00C04D44" w:rsidRPr="00610A9D">
        <w:t xml:space="preserve"> </w:t>
      </w:r>
      <w:r w:rsidR="00C04D44" w:rsidRPr="00FE13F9">
        <w:t>have an updated</w:t>
      </w:r>
      <w:r w:rsidR="00C04D44" w:rsidRPr="00610A9D">
        <w:t xml:space="preserve"> and </w:t>
      </w:r>
      <w:r w:rsidR="00C04D44" w:rsidRPr="00FE13F9">
        <w:t xml:space="preserve">current policy on </w:t>
      </w:r>
      <w:r w:rsidR="00C04D44" w:rsidRPr="00610A9D">
        <w:t>follow-up services</w:t>
      </w:r>
      <w:r w:rsidR="00C04D44" w:rsidRPr="00FE13F9">
        <w:t xml:space="preserve">. </w:t>
      </w:r>
      <w:r w:rsidR="000A4D69" w:rsidRPr="00FE13F9">
        <w:t>These</w:t>
      </w:r>
      <w:r w:rsidR="00C04D44" w:rsidRPr="00FE13F9">
        <w:t xml:space="preserve"> </w:t>
      </w:r>
      <w:r w:rsidR="000A4D69" w:rsidRPr="00FE13F9">
        <w:t>policies</w:t>
      </w:r>
      <w:r w:rsidR="00C04D44" w:rsidRPr="00FE13F9">
        <w:t xml:space="preserve">, among </w:t>
      </w:r>
      <w:r w:rsidR="00C04D44" w:rsidRPr="00610A9D">
        <w:t xml:space="preserve">other </w:t>
      </w:r>
      <w:r w:rsidR="00C04D44" w:rsidRPr="00FE13F9">
        <w:t xml:space="preserve">things, </w:t>
      </w:r>
      <w:r w:rsidR="000A4D69" w:rsidRPr="00FE13F9">
        <w:t>must</w:t>
      </w:r>
      <w:r w:rsidR="00C04D44" w:rsidRPr="00FE13F9">
        <w:t xml:space="preserve"> define</w:t>
      </w:r>
      <w:r w:rsidR="007953A3" w:rsidRPr="00FE13F9">
        <w:t xml:space="preserve"> what </w:t>
      </w:r>
      <w:r w:rsidRPr="00FE13F9">
        <w:t>are considered to be appropriate</w:t>
      </w:r>
      <w:r w:rsidRPr="00610A9D">
        <w:t xml:space="preserve"> follow-up services</w:t>
      </w:r>
      <w:r w:rsidRPr="00FE13F9">
        <w:t xml:space="preserve">, </w:t>
      </w:r>
      <w:r w:rsidR="00CB07A6">
        <w:t xml:space="preserve">and </w:t>
      </w:r>
      <w:r w:rsidRPr="00FE13F9">
        <w:t>when</w:t>
      </w:r>
      <w:r w:rsidRPr="00610A9D">
        <w:t xml:space="preserve"> to </w:t>
      </w:r>
      <w:r w:rsidRPr="00FE13F9">
        <w:t xml:space="preserve">provide </w:t>
      </w:r>
      <w:r w:rsidR="00CB07A6">
        <w:t>them</w:t>
      </w:r>
      <w:r w:rsidRPr="00FE13F9">
        <w:t xml:space="preserve"> to participants.</w:t>
      </w:r>
      <w:r w:rsidRPr="00FE13F9">
        <w:rPr>
          <w:rStyle w:val="FootnoteReference"/>
        </w:rPr>
        <w:footnoteReference w:id="4"/>
      </w:r>
    </w:p>
    <w:p w14:paraId="59727B69" w14:textId="77777777" w:rsidR="000A0A2F" w:rsidRPr="0033511D" w:rsidRDefault="000A0A2F" w:rsidP="00D63086">
      <w:pPr>
        <w:pStyle w:val="NoSpacing"/>
        <w:rPr>
          <w:sz w:val="12"/>
          <w:szCs w:val="12"/>
        </w:rPr>
      </w:pPr>
    </w:p>
    <w:p w14:paraId="5D92861F" w14:textId="6A6077BD" w:rsidR="000A0A2F" w:rsidRDefault="00CB07A6" w:rsidP="003823AD">
      <w:pPr>
        <w:pStyle w:val="NoSpacing"/>
      </w:pPr>
      <w:r>
        <w:t>Providers are encouraged to</w:t>
      </w:r>
      <w:r w:rsidR="00527945">
        <w:t xml:space="preserve"> identify and establish </w:t>
      </w:r>
      <w:r w:rsidR="00BC25C4">
        <w:t>partnerships</w:t>
      </w:r>
      <w:r w:rsidR="00527945">
        <w:t xml:space="preserve"> with all </w:t>
      </w:r>
      <w:r w:rsidR="00BC25C4">
        <w:t>relevant stakeholders to maximize resources</w:t>
      </w:r>
      <w:r w:rsidR="00C73E71">
        <w:t xml:space="preserve"> and service</w:t>
      </w:r>
      <w:r w:rsidR="00D1715A">
        <w:t xml:space="preserve"> offerings</w:t>
      </w:r>
      <w:r w:rsidR="00C73E71">
        <w:t>.</w:t>
      </w:r>
      <w:r w:rsidR="00F86791">
        <w:rPr>
          <w:rStyle w:val="FootnoteReference"/>
        </w:rPr>
        <w:footnoteReference w:id="5"/>
      </w:r>
    </w:p>
    <w:p w14:paraId="2BA89383" w14:textId="77777777" w:rsidR="00D63086" w:rsidRPr="00610A9D" w:rsidRDefault="00D63086" w:rsidP="00610A9D">
      <w:pPr>
        <w:pStyle w:val="NoSpacing"/>
        <w:rPr>
          <w:sz w:val="12"/>
        </w:rPr>
      </w:pPr>
    </w:p>
    <w:p w14:paraId="7D2FC461" w14:textId="77777777" w:rsidR="00D63086" w:rsidRPr="00C07F20" w:rsidRDefault="00D63086" w:rsidP="00D63086">
      <w:pPr>
        <w:pStyle w:val="NoSpacing"/>
        <w:rPr>
          <w:b/>
          <w:bCs/>
          <w:sz w:val="24"/>
          <w:szCs w:val="24"/>
        </w:rPr>
      </w:pPr>
      <w:r w:rsidRPr="00C07F20">
        <w:rPr>
          <w:b/>
          <w:sz w:val="24"/>
          <w:szCs w:val="24"/>
        </w:rPr>
        <w:t>Supportive Services</w:t>
      </w:r>
      <w:r w:rsidRPr="00C07F20">
        <w:rPr>
          <w:b/>
          <w:bCs/>
          <w:sz w:val="24"/>
          <w:szCs w:val="24"/>
        </w:rPr>
        <w:t>:</w:t>
      </w:r>
    </w:p>
    <w:p w14:paraId="70BBAC8E" w14:textId="05AE0BC2" w:rsidR="00815F5E" w:rsidRDefault="000B1B9A" w:rsidP="00D63086">
      <w:pPr>
        <w:pStyle w:val="NoSpacing"/>
      </w:pPr>
      <w:r>
        <w:t xml:space="preserve">Supportive services are services and assistance necessary for individuals to participate in their </w:t>
      </w:r>
      <w:r w:rsidR="001F37E3">
        <w:t xml:space="preserve">careers or training </w:t>
      </w:r>
      <w:r>
        <w:t>program(s).</w:t>
      </w:r>
      <w:r w:rsidR="00EC7529">
        <w:rPr>
          <w:rStyle w:val="FootnoteReference"/>
        </w:rPr>
        <w:footnoteReference w:id="6"/>
      </w:r>
      <w:r>
        <w:t xml:space="preserve"> </w:t>
      </w:r>
      <w:r w:rsidR="00927275">
        <w:t>They</w:t>
      </w:r>
      <w:r w:rsidR="00D63086">
        <w:t xml:space="preserve"> are provided to participants on a case-by-case basis based on individual need(s). Participants </w:t>
      </w:r>
      <w:r w:rsidR="00D63086" w:rsidRPr="00D32136">
        <w:rPr>
          <w:u w:val="single"/>
        </w:rPr>
        <w:t>must</w:t>
      </w:r>
      <w:r w:rsidR="00D63086">
        <w:t xml:space="preserve"> complete a financial needs analysis </w:t>
      </w:r>
      <w:r w:rsidR="002976D2">
        <w:t>and</w:t>
      </w:r>
      <w:r w:rsidR="00927275">
        <w:t xml:space="preserve"> an</w:t>
      </w:r>
      <w:r w:rsidR="002976D2">
        <w:t xml:space="preserve"> I</w:t>
      </w:r>
      <w:r w:rsidR="00927275">
        <w:t xml:space="preserve">ndividualized </w:t>
      </w:r>
      <w:r w:rsidR="002976D2">
        <w:t>E</w:t>
      </w:r>
      <w:r w:rsidR="00927275">
        <w:t xml:space="preserve">mployment </w:t>
      </w:r>
      <w:r w:rsidR="002976D2">
        <w:t>P</w:t>
      </w:r>
      <w:r w:rsidR="00927275">
        <w:t>lan</w:t>
      </w:r>
      <w:r w:rsidR="002976D2">
        <w:t xml:space="preserve"> </w:t>
      </w:r>
      <w:r w:rsidR="00D63086">
        <w:t>during program enrollment with their counselor to document their current financial situation and potential needs.</w:t>
      </w:r>
      <w:r w:rsidR="002400A0">
        <w:t xml:space="preserve"> Supportive services </w:t>
      </w:r>
      <w:r w:rsidR="008707EE">
        <w:t>can</w:t>
      </w:r>
      <w:r w:rsidR="002400A0">
        <w:t xml:space="preserve"> only be paid for using WIOA or State funds when these services are not available through any other local agencies or organizations.</w:t>
      </w:r>
      <w:r w:rsidR="00815F5E">
        <w:t xml:space="preserve"> </w:t>
      </w:r>
    </w:p>
    <w:p w14:paraId="545EAD29" w14:textId="77777777" w:rsidR="00D63086" w:rsidRPr="00B629A9" w:rsidRDefault="00D63086" w:rsidP="00D63086">
      <w:pPr>
        <w:pStyle w:val="NoSpacing"/>
        <w:rPr>
          <w:sz w:val="12"/>
          <w:szCs w:val="12"/>
        </w:rPr>
      </w:pPr>
    </w:p>
    <w:p w14:paraId="799B7B6C" w14:textId="6833227A" w:rsidR="00D63086" w:rsidRDefault="00D63086" w:rsidP="00D63086">
      <w:pPr>
        <w:pStyle w:val="NoSpacing"/>
      </w:pPr>
      <w:r w:rsidRPr="00C666B8">
        <w:rPr>
          <w:b/>
          <w:bCs/>
        </w:rPr>
        <w:t>Note:</w:t>
      </w:r>
      <w:r>
        <w:t xml:space="preserve"> Supportive services payments </w:t>
      </w:r>
      <w:r w:rsidRPr="007F1679">
        <w:rPr>
          <w:u w:val="single"/>
        </w:rPr>
        <w:t>cannot</w:t>
      </w:r>
      <w:r>
        <w:t xml:space="preserve"> be made for costs incurred </w:t>
      </w:r>
      <w:r w:rsidRPr="003E1B9F">
        <w:rPr>
          <w:u w:val="single"/>
        </w:rPr>
        <w:t>prior</w:t>
      </w:r>
      <w:r>
        <w:t xml:space="preserve"> to the individual's enrollment</w:t>
      </w:r>
      <w:r w:rsidR="00AC1E10">
        <w:t xml:space="preserve"> in the program. </w:t>
      </w:r>
    </w:p>
    <w:p w14:paraId="06C4537F" w14:textId="77777777" w:rsidR="00AC1E10" w:rsidRPr="002C6AAB" w:rsidRDefault="00AC1E10" w:rsidP="00D63086">
      <w:pPr>
        <w:pStyle w:val="NoSpacing"/>
        <w:rPr>
          <w:b/>
          <w:bCs/>
          <w:sz w:val="12"/>
          <w:szCs w:val="12"/>
        </w:rPr>
      </w:pPr>
    </w:p>
    <w:p w14:paraId="6F9BD6E9" w14:textId="7679D233" w:rsidR="00D63086" w:rsidRDefault="00D63086" w:rsidP="00A06A27">
      <w:pPr>
        <w:pStyle w:val="NoSpacing"/>
      </w:pPr>
      <w:r>
        <w:t>See “</w:t>
      </w:r>
      <w:r w:rsidR="007334B4">
        <w:t>Table</w:t>
      </w:r>
      <w:r>
        <w:t xml:space="preserve"> One” below for a selected list of supportive services which may be provided to program participants. The list is </w:t>
      </w:r>
      <w:r w:rsidRPr="00406513">
        <w:rPr>
          <w:u w:val="single"/>
        </w:rPr>
        <w:t>not exhaustive</w:t>
      </w:r>
      <w:r>
        <w:t xml:space="preserve">, and it </w:t>
      </w:r>
      <w:r w:rsidR="008130DB">
        <w:t xml:space="preserve">is </w:t>
      </w:r>
      <w:r>
        <w:t xml:space="preserve">meant to provide examples of services. </w:t>
      </w:r>
      <w:r w:rsidR="00AC1E10">
        <w:t>DEED</w:t>
      </w:r>
      <w:r>
        <w:t xml:space="preserve"> encourages providers to allow for and provide more supportive services th</w:t>
      </w:r>
      <w:r w:rsidR="00AC1E10">
        <w:t>a</w:t>
      </w:r>
      <w:r>
        <w:t>n those listed, if able.</w:t>
      </w:r>
      <w:r>
        <w:rPr>
          <w:rStyle w:val="FootnoteReference"/>
        </w:rPr>
        <w:footnoteReference w:id="7"/>
      </w:r>
    </w:p>
    <w:p w14:paraId="2E16C893" w14:textId="77777777" w:rsidR="00C07F20" w:rsidRPr="000F6FA5" w:rsidRDefault="00C07F20" w:rsidP="00A06A27">
      <w:pPr>
        <w:pStyle w:val="NoSpacing"/>
        <w:rPr>
          <w:sz w:val="6"/>
          <w:szCs w:val="6"/>
        </w:rPr>
      </w:pPr>
    </w:p>
    <w:p w14:paraId="11B789C0" w14:textId="462F5448" w:rsidR="00A06A27" w:rsidRPr="00C07F20" w:rsidRDefault="00C07F20" w:rsidP="00C07F20">
      <w:pPr>
        <w:pStyle w:val="NoSpacing"/>
        <w:jc w:val="center"/>
        <w:rPr>
          <w:sz w:val="24"/>
          <w:szCs w:val="24"/>
        </w:rPr>
      </w:pPr>
      <w:r w:rsidRPr="00C07F20">
        <w:rPr>
          <w:b/>
          <w:bCs/>
          <w:sz w:val="24"/>
          <w:szCs w:val="24"/>
        </w:rPr>
        <w:t>Table One: Selected List of Supportive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D63086" w14:paraId="67FC6EE6" w14:textId="77777777" w:rsidTr="004220D6">
        <w:tc>
          <w:tcPr>
            <w:tcW w:w="2605" w:type="dxa"/>
            <w:shd w:val="clear" w:color="auto" w:fill="BDD6EE" w:themeFill="accent5" w:themeFillTint="66"/>
          </w:tcPr>
          <w:p w14:paraId="48909A9C" w14:textId="77777777" w:rsidR="00D63086" w:rsidRDefault="00D63086" w:rsidP="004220D6">
            <w:pPr>
              <w:pStyle w:val="NoSpacing"/>
              <w:jc w:val="center"/>
              <w:rPr>
                <w:b/>
                <w:bCs/>
              </w:rPr>
            </w:pPr>
            <w:r w:rsidRPr="004346AD">
              <w:rPr>
                <w:b/>
                <w:bCs/>
              </w:rPr>
              <w:t xml:space="preserve">Housing </w:t>
            </w:r>
            <w:r>
              <w:rPr>
                <w:b/>
                <w:bCs/>
              </w:rPr>
              <w:t xml:space="preserve">and Transportation </w:t>
            </w:r>
          </w:p>
          <w:p w14:paraId="6E883726" w14:textId="77777777" w:rsidR="00D63086" w:rsidRDefault="00D63086" w:rsidP="004220D6">
            <w:pPr>
              <w:pStyle w:val="NoSpacing"/>
              <w:jc w:val="center"/>
              <w:rPr>
                <w:b/>
                <w:bCs/>
              </w:rPr>
            </w:pPr>
            <w:r w:rsidRPr="004346AD">
              <w:rPr>
                <w:b/>
                <w:bCs/>
              </w:rPr>
              <w:t>Assistance</w:t>
            </w:r>
          </w:p>
          <w:p w14:paraId="7AB89CE5" w14:textId="77777777" w:rsidR="00D63086" w:rsidRPr="007C233A" w:rsidRDefault="00D63086" w:rsidP="004220D6">
            <w:pPr>
              <w:pStyle w:val="NoSpacing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745" w:type="dxa"/>
          </w:tcPr>
          <w:p w14:paraId="1767F335" w14:textId="77777777" w:rsidR="00D63086" w:rsidRPr="00C07F20" w:rsidRDefault="00D63086" w:rsidP="004220D6">
            <w:pPr>
              <w:pStyle w:val="NoSpacing"/>
              <w:rPr>
                <w:sz w:val="6"/>
                <w:szCs w:val="6"/>
              </w:rPr>
            </w:pPr>
          </w:p>
          <w:p w14:paraId="09E9EF08" w14:textId="77777777" w:rsidR="00D63086" w:rsidRDefault="00D63086" w:rsidP="00D63086">
            <w:pPr>
              <w:pStyle w:val="NoSpacing"/>
              <w:numPr>
                <w:ilvl w:val="0"/>
                <w:numId w:val="26"/>
              </w:numPr>
            </w:pPr>
            <w:r w:rsidRPr="007C233A">
              <w:t>Emergency housing or rental assistance</w:t>
            </w:r>
            <w:r>
              <w:t>,</w:t>
            </w:r>
            <w:r>
              <w:rPr>
                <w:rStyle w:val="FootnoteReference"/>
              </w:rPr>
              <w:footnoteReference w:id="8"/>
            </w:r>
            <w:r>
              <w:t xml:space="preserve"> </w:t>
            </w:r>
          </w:p>
          <w:p w14:paraId="6E83B0EA" w14:textId="77777777" w:rsidR="00D63086" w:rsidRPr="007C233A" w:rsidRDefault="00D63086" w:rsidP="00D63086">
            <w:pPr>
              <w:pStyle w:val="NoSpacing"/>
              <w:numPr>
                <w:ilvl w:val="0"/>
                <w:numId w:val="26"/>
              </w:numPr>
            </w:pPr>
            <w:r>
              <w:t xml:space="preserve">Utilities and internet </w:t>
            </w:r>
            <w:r w:rsidRPr="007C233A">
              <w:t>assistance</w:t>
            </w:r>
            <w:r>
              <w:t>,</w:t>
            </w:r>
          </w:p>
          <w:p w14:paraId="4D26E4E3" w14:textId="77777777" w:rsidR="00D63086" w:rsidRPr="008D0A18" w:rsidRDefault="00D63086" w:rsidP="00D63086">
            <w:pPr>
              <w:pStyle w:val="NoSpacing"/>
              <w:numPr>
                <w:ilvl w:val="0"/>
                <w:numId w:val="26"/>
              </w:numPr>
            </w:pPr>
            <w:r w:rsidRPr="007C233A">
              <w:rPr>
                <w:color w:val="000000"/>
                <w:shd w:val="clear" w:color="auto" w:fill="FFFFFF"/>
              </w:rPr>
              <w:lastRenderedPageBreak/>
              <w:t>Commuting and transportation assistance</w:t>
            </w:r>
            <w:r>
              <w:t>,</w:t>
            </w:r>
            <w:r>
              <w:rPr>
                <w:rStyle w:val="FootnoteReference"/>
              </w:rPr>
              <w:footnoteReference w:id="9"/>
            </w:r>
            <w:r>
              <w:t xml:space="preserve"> </w:t>
            </w:r>
          </w:p>
          <w:p w14:paraId="6827B73F" w14:textId="374947AC" w:rsidR="00D63086" w:rsidRDefault="00D63086" w:rsidP="00D63086">
            <w:pPr>
              <w:pStyle w:val="NoSpacing"/>
              <w:numPr>
                <w:ilvl w:val="0"/>
                <w:numId w:val="26"/>
              </w:numPr>
            </w:pPr>
            <w:r>
              <w:t xml:space="preserve">Relocation assistance to </w:t>
            </w:r>
            <w:r w:rsidRPr="00034E63">
              <w:t>employ existing skills</w:t>
            </w:r>
            <w:r w:rsidR="00B36AF0">
              <w:rPr>
                <w:rStyle w:val="FootnoteReference"/>
              </w:rPr>
              <w:footnoteReference w:id="10"/>
            </w:r>
          </w:p>
          <w:p w14:paraId="56ADE379" w14:textId="77777777" w:rsidR="00D63086" w:rsidRPr="00C07F20" w:rsidRDefault="00D63086" w:rsidP="004220D6">
            <w:pPr>
              <w:pStyle w:val="NoSpacing"/>
              <w:rPr>
                <w:sz w:val="6"/>
                <w:szCs w:val="6"/>
              </w:rPr>
            </w:pPr>
          </w:p>
        </w:tc>
      </w:tr>
      <w:tr w:rsidR="00D63086" w14:paraId="392C0A14" w14:textId="77777777" w:rsidTr="004220D6">
        <w:tc>
          <w:tcPr>
            <w:tcW w:w="2605" w:type="dxa"/>
            <w:shd w:val="clear" w:color="auto" w:fill="BDD6EE" w:themeFill="accent5" w:themeFillTint="66"/>
          </w:tcPr>
          <w:p w14:paraId="5A375481" w14:textId="77777777" w:rsidR="00D63086" w:rsidRDefault="00D63086" w:rsidP="004220D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Family, </w:t>
            </w:r>
          </w:p>
          <w:p w14:paraId="17B1C8BC" w14:textId="77777777" w:rsidR="00D63086" w:rsidRDefault="00D63086" w:rsidP="004220D6">
            <w:pPr>
              <w:pStyle w:val="NoSpacing"/>
              <w:jc w:val="center"/>
              <w:rPr>
                <w:b/>
                <w:bCs/>
              </w:rPr>
            </w:pPr>
            <w:r w:rsidRPr="004346AD">
              <w:rPr>
                <w:b/>
                <w:bCs/>
              </w:rPr>
              <w:t>Health</w:t>
            </w:r>
            <w:r>
              <w:rPr>
                <w:b/>
                <w:bCs/>
              </w:rPr>
              <w:t>care</w:t>
            </w:r>
            <w:r w:rsidRPr="004346AD">
              <w:rPr>
                <w:b/>
                <w:bCs/>
              </w:rPr>
              <w:t xml:space="preserve"> and</w:t>
            </w:r>
          </w:p>
          <w:p w14:paraId="1A6E8F0B" w14:textId="77777777" w:rsidR="00D63086" w:rsidRPr="004346AD" w:rsidRDefault="00D63086" w:rsidP="004220D6">
            <w:pPr>
              <w:pStyle w:val="NoSpacing"/>
              <w:jc w:val="center"/>
              <w:rPr>
                <w:b/>
                <w:bCs/>
              </w:rPr>
            </w:pPr>
            <w:r w:rsidRPr="004346AD">
              <w:rPr>
                <w:b/>
                <w:bCs/>
              </w:rPr>
              <w:t xml:space="preserve"> Dental Assistance</w:t>
            </w:r>
          </w:p>
        </w:tc>
        <w:tc>
          <w:tcPr>
            <w:tcW w:w="6745" w:type="dxa"/>
          </w:tcPr>
          <w:p w14:paraId="1E725C0F" w14:textId="77777777" w:rsidR="00D63086" w:rsidRPr="00C07F20" w:rsidRDefault="00D63086" w:rsidP="004220D6">
            <w:pPr>
              <w:pStyle w:val="NoSpacing"/>
              <w:rPr>
                <w:sz w:val="6"/>
                <w:szCs w:val="6"/>
              </w:rPr>
            </w:pPr>
          </w:p>
          <w:p w14:paraId="244274BB" w14:textId="23718754" w:rsidR="00D63086" w:rsidRPr="004346AD" w:rsidRDefault="00D63086" w:rsidP="00D63086">
            <w:pPr>
              <w:pStyle w:val="NoSpacing"/>
              <w:numPr>
                <w:ilvl w:val="0"/>
                <w:numId w:val="25"/>
              </w:numPr>
            </w:pPr>
            <w:r w:rsidRPr="004346AD">
              <w:t>Emergency</w:t>
            </w:r>
            <w:r w:rsidRPr="004346AD">
              <w:rPr>
                <w:color w:val="000000"/>
                <w:shd w:val="clear" w:color="auto" w:fill="FFFFFF"/>
              </w:rPr>
              <w:t xml:space="preserve"> healthcare or health assistance</w:t>
            </w:r>
            <w:r w:rsidR="005B2D79">
              <w:rPr>
                <w:color w:val="000000"/>
                <w:shd w:val="clear" w:color="auto" w:fill="FFFFFF"/>
              </w:rPr>
              <w:t>,</w:t>
            </w:r>
            <w:r w:rsidR="005B2D79">
              <w:rPr>
                <w:rStyle w:val="FootnoteReference"/>
                <w:color w:val="000000"/>
                <w:shd w:val="clear" w:color="auto" w:fill="FFFFFF"/>
              </w:rPr>
              <w:footnoteReference w:id="11"/>
            </w:r>
          </w:p>
          <w:p w14:paraId="2484F623" w14:textId="77777777" w:rsidR="00D63086" w:rsidRPr="004346AD" w:rsidRDefault="00D63086" w:rsidP="00D63086">
            <w:pPr>
              <w:pStyle w:val="NoSpacing"/>
              <w:numPr>
                <w:ilvl w:val="0"/>
                <w:numId w:val="25"/>
              </w:numPr>
            </w:pPr>
            <w:r w:rsidRPr="004346AD">
              <w:t>Emergency health insurance</w:t>
            </w:r>
            <w:r>
              <w:t>,</w:t>
            </w:r>
          </w:p>
          <w:p w14:paraId="1BE36C24" w14:textId="0F7CDE2D" w:rsidR="00D63086" w:rsidRPr="004346AD" w:rsidRDefault="00D63086" w:rsidP="00D63086">
            <w:pPr>
              <w:pStyle w:val="NoSpacing"/>
              <w:numPr>
                <w:ilvl w:val="0"/>
                <w:numId w:val="25"/>
              </w:numPr>
            </w:pPr>
            <w:r w:rsidRPr="004346AD">
              <w:t xml:space="preserve">Dental </w:t>
            </w:r>
            <w:r>
              <w:t>a</w:t>
            </w:r>
            <w:r w:rsidRPr="004346AD">
              <w:t>ssistance</w:t>
            </w:r>
            <w:r w:rsidR="005B2D79">
              <w:t>,</w:t>
            </w:r>
            <w:r w:rsidR="005B2D79">
              <w:rPr>
                <w:rStyle w:val="FootnoteReference"/>
              </w:rPr>
              <w:footnoteReference w:id="12"/>
            </w:r>
          </w:p>
          <w:p w14:paraId="7EB8693B" w14:textId="4DA27A74" w:rsidR="00D63086" w:rsidRPr="007C233A" w:rsidRDefault="00D63086" w:rsidP="00D63086">
            <w:pPr>
              <w:pStyle w:val="NoSpacing"/>
              <w:numPr>
                <w:ilvl w:val="0"/>
                <w:numId w:val="25"/>
              </w:numPr>
            </w:pPr>
            <w:r>
              <w:rPr>
                <w:color w:val="000000"/>
                <w:shd w:val="clear" w:color="auto" w:fill="FFFFFF"/>
              </w:rPr>
              <w:t>Referrals to healthcare</w:t>
            </w:r>
            <w:r w:rsidR="005B2D79">
              <w:rPr>
                <w:color w:val="000000"/>
                <w:shd w:val="clear" w:color="auto" w:fill="FFFFFF"/>
              </w:rPr>
              <w:t>,</w:t>
            </w:r>
            <w:r w:rsidR="005B2D79">
              <w:rPr>
                <w:rStyle w:val="FootnoteReference"/>
                <w:color w:val="000000"/>
                <w:shd w:val="clear" w:color="auto" w:fill="FFFFFF"/>
              </w:rPr>
              <w:footnoteReference w:id="13"/>
            </w:r>
          </w:p>
          <w:p w14:paraId="03A9F991" w14:textId="081639CA" w:rsidR="00D63086" w:rsidRPr="004346AD" w:rsidRDefault="00D63086" w:rsidP="00D63086">
            <w:pPr>
              <w:pStyle w:val="NoSpacing"/>
              <w:numPr>
                <w:ilvl w:val="0"/>
                <w:numId w:val="25"/>
              </w:numPr>
            </w:pPr>
            <w:r>
              <w:rPr>
                <w:color w:val="000000"/>
                <w:shd w:val="clear" w:color="auto" w:fill="FFFFFF"/>
              </w:rPr>
              <w:t>Family care, including child or dependent care</w:t>
            </w:r>
            <w:r w:rsidR="005B2D79">
              <w:rPr>
                <w:rStyle w:val="FootnoteReference"/>
                <w:color w:val="000000"/>
                <w:shd w:val="clear" w:color="auto" w:fill="FFFFFF"/>
              </w:rPr>
              <w:footnoteReference w:id="14"/>
            </w:r>
          </w:p>
          <w:p w14:paraId="2AD7F057" w14:textId="77777777" w:rsidR="00D63086" w:rsidRPr="00C07F20" w:rsidRDefault="00D63086" w:rsidP="004220D6">
            <w:pPr>
              <w:pStyle w:val="NoSpacing"/>
              <w:rPr>
                <w:sz w:val="6"/>
                <w:szCs w:val="6"/>
              </w:rPr>
            </w:pPr>
          </w:p>
        </w:tc>
      </w:tr>
      <w:tr w:rsidR="00D63086" w14:paraId="3E70FA64" w14:textId="77777777" w:rsidTr="004220D6">
        <w:tc>
          <w:tcPr>
            <w:tcW w:w="2605" w:type="dxa"/>
            <w:shd w:val="clear" w:color="auto" w:fill="BDD6EE" w:themeFill="accent5" w:themeFillTint="66"/>
          </w:tcPr>
          <w:p w14:paraId="698B7E40" w14:textId="77777777" w:rsidR="00D63086" w:rsidRDefault="00D63086" w:rsidP="004220D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Counseling and </w:t>
            </w:r>
          </w:p>
          <w:p w14:paraId="2777470D" w14:textId="77777777" w:rsidR="00D63086" w:rsidRPr="004346AD" w:rsidRDefault="00D63086" w:rsidP="004220D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 Assistance</w:t>
            </w:r>
          </w:p>
        </w:tc>
        <w:tc>
          <w:tcPr>
            <w:tcW w:w="6745" w:type="dxa"/>
          </w:tcPr>
          <w:p w14:paraId="25ED837C" w14:textId="77777777" w:rsidR="00D63086" w:rsidRPr="00C07F20" w:rsidRDefault="00D63086" w:rsidP="004220D6">
            <w:pPr>
              <w:pStyle w:val="NoSpacing"/>
              <w:rPr>
                <w:sz w:val="6"/>
                <w:szCs w:val="6"/>
              </w:rPr>
            </w:pPr>
          </w:p>
          <w:p w14:paraId="23D9E3A5" w14:textId="5167164C" w:rsidR="00D63086" w:rsidRPr="004346AD" w:rsidRDefault="00D63086" w:rsidP="00D63086">
            <w:pPr>
              <w:pStyle w:val="NoSpacing"/>
              <w:numPr>
                <w:ilvl w:val="0"/>
                <w:numId w:val="25"/>
              </w:numPr>
            </w:pPr>
            <w:r>
              <w:rPr>
                <w:color w:val="000000"/>
                <w:shd w:val="clear" w:color="auto" w:fill="FFFFFF"/>
              </w:rPr>
              <w:t>Personal, drug, or alcohol c</w:t>
            </w:r>
            <w:r w:rsidRPr="004346AD">
              <w:rPr>
                <w:color w:val="000000"/>
                <w:shd w:val="clear" w:color="auto" w:fill="FFFFFF"/>
              </w:rPr>
              <w:t>ounseling</w:t>
            </w:r>
            <w:r w:rsidR="005B2D79">
              <w:t>,</w:t>
            </w:r>
            <w:r w:rsidR="005B2D79">
              <w:rPr>
                <w:rStyle w:val="FootnoteReference"/>
              </w:rPr>
              <w:footnoteReference w:id="15"/>
            </w:r>
          </w:p>
          <w:p w14:paraId="78FF023C" w14:textId="0DB49CBE" w:rsidR="00D63086" w:rsidRDefault="00D63086" w:rsidP="00D63086">
            <w:pPr>
              <w:pStyle w:val="NoSpacing"/>
              <w:numPr>
                <w:ilvl w:val="0"/>
                <w:numId w:val="25"/>
              </w:numPr>
            </w:pPr>
            <w:r>
              <w:t>Financial and legal counselin</w:t>
            </w:r>
            <w:r w:rsidR="005B2D79">
              <w:t>g,</w:t>
            </w:r>
            <w:r w:rsidR="005B2D79">
              <w:rPr>
                <w:rStyle w:val="FootnoteReference"/>
              </w:rPr>
              <w:footnoteReference w:id="16"/>
            </w:r>
          </w:p>
          <w:p w14:paraId="6A05BB12" w14:textId="508C125C" w:rsidR="00D63086" w:rsidRPr="004346AD" w:rsidRDefault="00D63086" w:rsidP="00D63086">
            <w:pPr>
              <w:pStyle w:val="NoSpacing"/>
              <w:numPr>
                <w:ilvl w:val="0"/>
                <w:numId w:val="25"/>
              </w:numPr>
            </w:pPr>
            <w:r>
              <w:t>Legal aid services</w:t>
            </w:r>
            <w:r w:rsidR="005B2D79">
              <w:rPr>
                <w:rStyle w:val="FootnoteReference"/>
              </w:rPr>
              <w:footnoteReference w:id="17"/>
            </w:r>
          </w:p>
          <w:p w14:paraId="78E6845E" w14:textId="77777777" w:rsidR="00D63086" w:rsidRPr="00C07F20" w:rsidRDefault="00D63086" w:rsidP="004220D6">
            <w:pPr>
              <w:pStyle w:val="NoSpacing"/>
              <w:rPr>
                <w:sz w:val="6"/>
                <w:szCs w:val="6"/>
              </w:rPr>
            </w:pPr>
          </w:p>
        </w:tc>
      </w:tr>
      <w:tr w:rsidR="00D63086" w14:paraId="748677F0" w14:textId="77777777" w:rsidTr="004220D6">
        <w:tc>
          <w:tcPr>
            <w:tcW w:w="2605" w:type="dxa"/>
            <w:shd w:val="clear" w:color="auto" w:fill="BDD6EE" w:themeFill="accent5" w:themeFillTint="66"/>
          </w:tcPr>
          <w:p w14:paraId="0F42AC11" w14:textId="77777777" w:rsidR="00D63086" w:rsidRDefault="00D63086" w:rsidP="004220D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4346AD">
              <w:rPr>
                <w:b/>
                <w:bCs/>
              </w:rPr>
              <w:t xml:space="preserve">ork </w:t>
            </w:r>
            <w:r>
              <w:rPr>
                <w:b/>
                <w:bCs/>
              </w:rPr>
              <w:t>A</w:t>
            </w:r>
            <w:r w:rsidRPr="004346AD">
              <w:rPr>
                <w:b/>
                <w:bCs/>
              </w:rPr>
              <w:t xml:space="preserve">ttire and </w:t>
            </w:r>
          </w:p>
          <w:p w14:paraId="0BCFC492" w14:textId="77777777" w:rsidR="00D63086" w:rsidRPr="004346AD" w:rsidRDefault="00D63086" w:rsidP="004220D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4346AD">
              <w:rPr>
                <w:b/>
                <w:bCs/>
              </w:rPr>
              <w:t>ork-</w:t>
            </w:r>
            <w:r>
              <w:rPr>
                <w:b/>
                <w:bCs/>
              </w:rPr>
              <w:t>R</w:t>
            </w:r>
            <w:r w:rsidRPr="004346AD">
              <w:rPr>
                <w:b/>
                <w:bCs/>
              </w:rPr>
              <w:t xml:space="preserve">elated </w:t>
            </w:r>
            <w:r>
              <w:rPr>
                <w:b/>
                <w:bCs/>
              </w:rPr>
              <w:t>T</w:t>
            </w:r>
            <w:r w:rsidRPr="004346AD">
              <w:rPr>
                <w:b/>
                <w:bCs/>
              </w:rPr>
              <w:t>ools</w:t>
            </w:r>
          </w:p>
        </w:tc>
        <w:tc>
          <w:tcPr>
            <w:tcW w:w="6745" w:type="dxa"/>
          </w:tcPr>
          <w:p w14:paraId="3CB4D7F3" w14:textId="77777777" w:rsidR="00D63086" w:rsidRPr="00C07F20" w:rsidRDefault="00D63086" w:rsidP="004220D6">
            <w:pPr>
              <w:pStyle w:val="NoSpacing"/>
              <w:rPr>
                <w:sz w:val="6"/>
                <w:szCs w:val="6"/>
              </w:rPr>
            </w:pPr>
          </w:p>
          <w:p w14:paraId="00CD66FD" w14:textId="1EB32F86" w:rsidR="00D63086" w:rsidRDefault="00D63086" w:rsidP="00D63086">
            <w:pPr>
              <w:pStyle w:val="NoSpacing"/>
              <w:numPr>
                <w:ilvl w:val="0"/>
                <w:numId w:val="24"/>
              </w:numPr>
            </w:pPr>
            <w:r>
              <w:t>Uniforms or other work</w:t>
            </w:r>
            <w:r w:rsidR="009B3E92">
              <w:t>-related</w:t>
            </w:r>
            <w:r>
              <w:t xml:space="preserve"> attire and work-related tools</w:t>
            </w:r>
            <w:r w:rsidR="00034325">
              <w:t>,</w:t>
            </w:r>
            <w:r w:rsidR="00034325">
              <w:rPr>
                <w:rStyle w:val="FootnoteReference"/>
              </w:rPr>
              <w:footnoteReference w:id="18"/>
            </w:r>
            <w:r>
              <w:t xml:space="preserve"> </w:t>
            </w:r>
          </w:p>
          <w:p w14:paraId="2414FFB0" w14:textId="77777777" w:rsidR="00D63086" w:rsidRDefault="002F3539" w:rsidP="004220D6">
            <w:pPr>
              <w:pStyle w:val="NoSpacing"/>
              <w:numPr>
                <w:ilvl w:val="0"/>
                <w:numId w:val="24"/>
              </w:numPr>
            </w:pPr>
            <w:r>
              <w:t xml:space="preserve">Work-related </w:t>
            </w:r>
            <w:r w:rsidR="00D4222B">
              <w:t>personal protective equipment such</w:t>
            </w:r>
            <w:r w:rsidR="00D63086">
              <w:t xml:space="preserve"> as eyeglasses and protective eye gear,</w:t>
            </w:r>
            <w:r>
              <w:rPr>
                <w:rStyle w:val="FootnoteReference"/>
              </w:rPr>
              <w:footnoteReference w:id="19"/>
            </w:r>
            <w:r w:rsidR="00D63086">
              <w:t xml:space="preserve"> </w:t>
            </w:r>
          </w:p>
          <w:p w14:paraId="5E90CFF3" w14:textId="199927E1" w:rsidR="00C07F20" w:rsidRPr="00C07F20" w:rsidRDefault="00C07F20" w:rsidP="00C07F20">
            <w:pPr>
              <w:pStyle w:val="NoSpacing"/>
              <w:rPr>
                <w:sz w:val="6"/>
                <w:szCs w:val="6"/>
              </w:rPr>
            </w:pPr>
          </w:p>
        </w:tc>
      </w:tr>
      <w:tr w:rsidR="00D63086" w14:paraId="70A42FE8" w14:textId="77777777" w:rsidTr="004220D6">
        <w:tc>
          <w:tcPr>
            <w:tcW w:w="2605" w:type="dxa"/>
            <w:shd w:val="clear" w:color="auto" w:fill="BDD6EE" w:themeFill="accent5" w:themeFillTint="66"/>
          </w:tcPr>
          <w:p w14:paraId="65B42A25" w14:textId="3FDFD880" w:rsidR="00D63086" w:rsidRDefault="00D63086" w:rsidP="004220D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Education and </w:t>
            </w:r>
          </w:p>
          <w:p w14:paraId="4BC1C64D" w14:textId="77777777" w:rsidR="00D63086" w:rsidRDefault="00D63086" w:rsidP="004220D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Job Search Assistance</w:t>
            </w:r>
          </w:p>
        </w:tc>
        <w:tc>
          <w:tcPr>
            <w:tcW w:w="6745" w:type="dxa"/>
          </w:tcPr>
          <w:p w14:paraId="63E15149" w14:textId="77777777" w:rsidR="00D63086" w:rsidRPr="00C07F20" w:rsidRDefault="00D63086" w:rsidP="004220D6">
            <w:pPr>
              <w:pStyle w:val="NoSpacing"/>
              <w:rPr>
                <w:sz w:val="6"/>
                <w:szCs w:val="6"/>
              </w:rPr>
            </w:pPr>
          </w:p>
          <w:p w14:paraId="55F84B23" w14:textId="492EA390" w:rsidR="00D63086" w:rsidRPr="00034E63" w:rsidRDefault="00D63086" w:rsidP="00D63086">
            <w:pPr>
              <w:pStyle w:val="NoSpacing"/>
              <w:numPr>
                <w:ilvl w:val="0"/>
                <w:numId w:val="27"/>
              </w:numPr>
            </w:pPr>
            <w:r>
              <w:rPr>
                <w:color w:val="000000"/>
                <w:shd w:val="clear" w:color="auto" w:fill="FFFFFF"/>
              </w:rPr>
              <w:t>O</w:t>
            </w:r>
            <w:r w:rsidRPr="00034E63">
              <w:rPr>
                <w:color w:val="000000"/>
                <w:shd w:val="clear" w:color="auto" w:fill="FFFFFF"/>
              </w:rPr>
              <w:t>ut-of-area job search assistanc</w:t>
            </w:r>
            <w:r w:rsidR="00BE7E18">
              <w:rPr>
                <w:color w:val="000000"/>
                <w:shd w:val="clear" w:color="auto" w:fill="FFFFFF"/>
              </w:rPr>
              <w:t>e,</w:t>
            </w:r>
            <w:r w:rsidR="00BE7E18">
              <w:rPr>
                <w:rStyle w:val="FootnoteReference"/>
                <w:color w:val="000000"/>
                <w:shd w:val="clear" w:color="auto" w:fill="FFFFFF"/>
              </w:rPr>
              <w:footnoteReference w:id="20"/>
            </w:r>
          </w:p>
          <w:p w14:paraId="316773F4" w14:textId="61BC701B" w:rsidR="00D63086" w:rsidRDefault="00D63086" w:rsidP="00D63086">
            <w:pPr>
              <w:pStyle w:val="NoSpacing"/>
              <w:numPr>
                <w:ilvl w:val="0"/>
                <w:numId w:val="27"/>
              </w:numPr>
            </w:pPr>
            <w:r>
              <w:t>Employment and training-related fees (i.e., conference parking fees, conference fees, background check fees, physical exams fees, application fees, etc.)</w:t>
            </w:r>
            <w:r w:rsidR="00F1010A">
              <w:t>,</w:t>
            </w:r>
            <w:r w:rsidR="00F1010A">
              <w:rPr>
                <w:rStyle w:val="FootnoteReference"/>
              </w:rPr>
              <w:footnoteReference w:id="21"/>
            </w:r>
          </w:p>
          <w:p w14:paraId="68D8233E" w14:textId="42F21ED6" w:rsidR="00D63086" w:rsidRDefault="00D63086" w:rsidP="00D63086">
            <w:pPr>
              <w:pStyle w:val="NoSpacing"/>
              <w:numPr>
                <w:ilvl w:val="0"/>
                <w:numId w:val="27"/>
              </w:numPr>
            </w:pPr>
            <w:r>
              <w:t>Educational testing (i.e., test prep courses and materials, practice exams, etc.</w:t>
            </w:r>
            <w:r w:rsidR="00F1010A">
              <w:t>),</w:t>
            </w:r>
            <w:r w:rsidR="00F1010A">
              <w:rPr>
                <w:rStyle w:val="FootnoteReference"/>
              </w:rPr>
              <w:footnoteReference w:id="22"/>
            </w:r>
          </w:p>
          <w:p w14:paraId="46CCE5ED" w14:textId="2EA3CBBA" w:rsidR="00D63086" w:rsidRDefault="00D63086" w:rsidP="00D63086">
            <w:pPr>
              <w:pStyle w:val="NoSpacing"/>
              <w:numPr>
                <w:ilvl w:val="0"/>
                <w:numId w:val="27"/>
              </w:numPr>
            </w:pPr>
            <w:r>
              <w:t>Books, fees, and supplies for post-secondary students not directly related to training (</w:t>
            </w:r>
            <w:r w:rsidR="000F6FA5">
              <w:t>i.e.</w:t>
            </w:r>
            <w:r>
              <w:t xml:space="preserve"> study materials, etc.)</w:t>
            </w:r>
            <w:r w:rsidR="00F1010A">
              <w:t>,</w:t>
            </w:r>
            <w:r w:rsidR="00F1010A">
              <w:rPr>
                <w:rStyle w:val="FootnoteReference"/>
              </w:rPr>
              <w:footnoteReference w:id="23"/>
            </w:r>
          </w:p>
          <w:p w14:paraId="3D9D9E39" w14:textId="239A9B4A" w:rsidR="00D63086" w:rsidRDefault="00D63086" w:rsidP="00D63086">
            <w:pPr>
              <w:pStyle w:val="NoSpacing"/>
              <w:numPr>
                <w:ilvl w:val="0"/>
                <w:numId w:val="27"/>
              </w:numPr>
            </w:pPr>
            <w:r>
              <w:t>Professional memberships</w:t>
            </w:r>
            <w:r w:rsidR="00AA3E8F">
              <w:t>.</w:t>
            </w:r>
          </w:p>
          <w:p w14:paraId="62CBC47A" w14:textId="77777777" w:rsidR="00D63086" w:rsidRPr="00C07F20" w:rsidRDefault="00D63086" w:rsidP="004220D6">
            <w:pPr>
              <w:rPr>
                <w:sz w:val="6"/>
                <w:szCs w:val="6"/>
              </w:rPr>
            </w:pPr>
          </w:p>
          <w:p w14:paraId="3E3D5902" w14:textId="0F6E8D93" w:rsidR="00D63086" w:rsidRDefault="00D63086" w:rsidP="004220D6">
            <w:r w:rsidRPr="00631C42">
              <w:rPr>
                <w:b/>
                <w:bCs/>
              </w:rPr>
              <w:t>Note:</w:t>
            </w:r>
            <w:r>
              <w:t xml:space="preserve"> Books, fees, and supplies directly related</w:t>
            </w:r>
            <w:r w:rsidR="00F51CAC">
              <w:t xml:space="preserve"> to</w:t>
            </w:r>
            <w:r w:rsidR="006A7793">
              <w:t xml:space="preserve"> </w:t>
            </w:r>
            <w:r w:rsidR="00315D5C">
              <w:t xml:space="preserve">participant </w:t>
            </w:r>
            <w:r>
              <w:t xml:space="preserve">training </w:t>
            </w:r>
            <w:r w:rsidR="003244E4">
              <w:t xml:space="preserve">(i.e. required fees and/or supplies) </w:t>
            </w:r>
            <w:r>
              <w:t>may be paid for using training services funding.</w:t>
            </w:r>
          </w:p>
          <w:p w14:paraId="528C6FA7" w14:textId="77777777" w:rsidR="00D63086" w:rsidRPr="00C07F20" w:rsidRDefault="00D63086" w:rsidP="004220D6">
            <w:pPr>
              <w:pStyle w:val="NoSpacing"/>
              <w:rPr>
                <w:sz w:val="6"/>
                <w:szCs w:val="6"/>
              </w:rPr>
            </w:pPr>
          </w:p>
        </w:tc>
      </w:tr>
      <w:tr w:rsidR="00D63086" w14:paraId="5BB54332" w14:textId="77777777" w:rsidTr="004220D6">
        <w:tc>
          <w:tcPr>
            <w:tcW w:w="2605" w:type="dxa"/>
            <w:shd w:val="clear" w:color="auto" w:fill="BDD6EE" w:themeFill="accent5" w:themeFillTint="66"/>
          </w:tcPr>
          <w:p w14:paraId="1F826134" w14:textId="77777777" w:rsidR="0030559C" w:rsidRDefault="0030559C" w:rsidP="004220D6">
            <w:pPr>
              <w:pStyle w:val="NoSpacing"/>
              <w:jc w:val="center"/>
              <w:rPr>
                <w:b/>
                <w:bCs/>
              </w:rPr>
            </w:pPr>
          </w:p>
          <w:p w14:paraId="5D07969E" w14:textId="77777777" w:rsidR="0030559C" w:rsidRDefault="0030559C" w:rsidP="004220D6">
            <w:pPr>
              <w:pStyle w:val="NoSpacing"/>
              <w:jc w:val="center"/>
              <w:rPr>
                <w:b/>
                <w:bCs/>
              </w:rPr>
            </w:pPr>
          </w:p>
          <w:p w14:paraId="65CEDA1B" w14:textId="67D7CE05" w:rsidR="00D63086" w:rsidRDefault="00D63086" w:rsidP="004220D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 Assistance</w:t>
            </w:r>
          </w:p>
        </w:tc>
        <w:tc>
          <w:tcPr>
            <w:tcW w:w="6745" w:type="dxa"/>
          </w:tcPr>
          <w:p w14:paraId="4B921D57" w14:textId="77777777" w:rsidR="00D63086" w:rsidRPr="00C07F20" w:rsidRDefault="00D63086" w:rsidP="004220D6">
            <w:pPr>
              <w:pStyle w:val="NoSpacing"/>
              <w:rPr>
                <w:sz w:val="6"/>
                <w:szCs w:val="6"/>
              </w:rPr>
            </w:pPr>
          </w:p>
          <w:p w14:paraId="3F7C8326" w14:textId="52601BBB" w:rsidR="00D63086" w:rsidRDefault="00D63086" w:rsidP="00D63086">
            <w:pPr>
              <w:pStyle w:val="NoSpacing"/>
              <w:numPr>
                <w:ilvl w:val="0"/>
                <w:numId w:val="28"/>
              </w:numPr>
            </w:pPr>
            <w:r>
              <w:lastRenderedPageBreak/>
              <w:t>Linkages to additional community service</w:t>
            </w:r>
            <w:r w:rsidR="00F1010A">
              <w:t>s,</w:t>
            </w:r>
            <w:r w:rsidR="00F1010A">
              <w:rPr>
                <w:rStyle w:val="FootnoteReference"/>
              </w:rPr>
              <w:footnoteReference w:id="24"/>
            </w:r>
          </w:p>
          <w:p w14:paraId="26C01BE7" w14:textId="0939AAAF" w:rsidR="00D63086" w:rsidRDefault="00D63086" w:rsidP="00D63086">
            <w:pPr>
              <w:pStyle w:val="NoSpacing"/>
              <w:numPr>
                <w:ilvl w:val="0"/>
                <w:numId w:val="28"/>
              </w:numPr>
            </w:pPr>
            <w:r>
              <w:t>Reasonable accommodations for individuals with disabilities</w:t>
            </w:r>
            <w:r w:rsidR="00F1010A">
              <w:t>,</w:t>
            </w:r>
            <w:r w:rsidR="00F1010A">
              <w:rPr>
                <w:rStyle w:val="FootnoteReference"/>
              </w:rPr>
              <w:footnoteReference w:id="25"/>
            </w:r>
          </w:p>
          <w:p w14:paraId="32FB3141" w14:textId="22C030D3" w:rsidR="00D63086" w:rsidRDefault="00D63086" w:rsidP="00D63086">
            <w:pPr>
              <w:pStyle w:val="NoSpacing"/>
              <w:numPr>
                <w:ilvl w:val="0"/>
                <w:numId w:val="28"/>
              </w:numPr>
            </w:pPr>
            <w:r w:rsidRPr="008B67B9">
              <w:t>Food &amp; nutrition services</w:t>
            </w:r>
            <w:r w:rsidR="00F1010A">
              <w:t>,</w:t>
            </w:r>
            <w:r>
              <w:rPr>
                <w:rStyle w:val="FootnoteReference"/>
              </w:rPr>
              <w:footnoteReference w:id="26"/>
            </w:r>
          </w:p>
          <w:p w14:paraId="699D5743" w14:textId="77777777" w:rsidR="00D63086" w:rsidRPr="008B67B9" w:rsidRDefault="00D63086" w:rsidP="00D63086">
            <w:pPr>
              <w:pStyle w:val="NoSpacing"/>
              <w:numPr>
                <w:ilvl w:val="0"/>
                <w:numId w:val="28"/>
              </w:numPr>
            </w:pPr>
            <w:r>
              <w:t xml:space="preserve">Emergency </w:t>
            </w:r>
            <w:r w:rsidRPr="003A5D08">
              <w:t xml:space="preserve">National Farmworker Jobs Program </w:t>
            </w:r>
            <w:r>
              <w:t>assistance</w:t>
            </w:r>
            <w:r>
              <w:rPr>
                <w:rStyle w:val="FootnoteReference"/>
              </w:rPr>
              <w:footnoteReference w:id="27"/>
            </w:r>
          </w:p>
          <w:p w14:paraId="54299E93" w14:textId="77777777" w:rsidR="00D63086" w:rsidRPr="00C07F20" w:rsidRDefault="00D63086" w:rsidP="004220D6">
            <w:pPr>
              <w:pStyle w:val="NoSpacing"/>
              <w:rPr>
                <w:sz w:val="6"/>
                <w:szCs w:val="6"/>
              </w:rPr>
            </w:pPr>
          </w:p>
        </w:tc>
      </w:tr>
    </w:tbl>
    <w:p w14:paraId="4398C1A2" w14:textId="77777777" w:rsidR="00C07F20" w:rsidRDefault="00C07F20" w:rsidP="00C05B44">
      <w:pPr>
        <w:pStyle w:val="NoSpacing"/>
        <w:rPr>
          <w:rFonts w:cstheme="minorHAnsi"/>
          <w:sz w:val="12"/>
          <w:szCs w:val="12"/>
        </w:rPr>
      </w:pPr>
    </w:p>
    <w:p w14:paraId="279E214C" w14:textId="77777777" w:rsidR="000F6FA5" w:rsidRDefault="00114100" w:rsidP="00D54665">
      <w:pPr>
        <w:pStyle w:val="NoSpacing"/>
        <w:rPr>
          <w:b/>
          <w:bCs/>
          <w:u w:val="single"/>
        </w:rPr>
      </w:pPr>
      <w:r w:rsidRPr="00DB641A">
        <w:rPr>
          <w:b/>
          <w:bCs/>
          <w:u w:val="single"/>
        </w:rPr>
        <w:t xml:space="preserve">WIOA </w:t>
      </w:r>
      <w:r w:rsidR="00D54665" w:rsidRPr="00DB641A">
        <w:rPr>
          <w:b/>
          <w:bCs/>
          <w:u w:val="single"/>
        </w:rPr>
        <w:t>Needs-Related Payments (NRPs):</w:t>
      </w:r>
      <w:r w:rsidR="000F6FA5">
        <w:rPr>
          <w:b/>
          <w:bCs/>
          <w:u w:val="single"/>
        </w:rPr>
        <w:t xml:space="preserve"> </w:t>
      </w:r>
    </w:p>
    <w:p w14:paraId="23AECCFF" w14:textId="5BF02A93" w:rsidR="002729F3" w:rsidRPr="000F6FA5" w:rsidRDefault="006D2B56" w:rsidP="00D54665">
      <w:pPr>
        <w:pStyle w:val="NoSpacing"/>
        <w:rPr>
          <w:b/>
          <w:bCs/>
          <w:u w:val="single"/>
        </w:rPr>
      </w:pPr>
      <w:r w:rsidRPr="00DB641A">
        <w:rPr>
          <w:rFonts w:cstheme="minorHAnsi"/>
        </w:rPr>
        <w:t>NRPs are a type of supportive service that provide direct financial assistance to participants</w:t>
      </w:r>
      <w:r w:rsidR="00C471DF" w:rsidRPr="00DB641A">
        <w:rPr>
          <w:rFonts w:cstheme="minorHAnsi"/>
        </w:rPr>
        <w:t xml:space="preserve"> for </w:t>
      </w:r>
      <w:r w:rsidR="00D54665" w:rsidRPr="00DB641A">
        <w:rPr>
          <w:rFonts w:cstheme="minorHAnsi"/>
        </w:rPr>
        <w:t>the purpose of enabling them to participate in training</w:t>
      </w:r>
      <w:r w:rsidR="00D4735B" w:rsidRPr="00DB641A">
        <w:rPr>
          <w:rFonts w:cstheme="minorHAnsi"/>
        </w:rPr>
        <w:t xml:space="preserve">. </w:t>
      </w:r>
      <w:r w:rsidR="00E8709E" w:rsidRPr="00DB641A">
        <w:rPr>
          <w:rFonts w:cstheme="minorHAnsi"/>
        </w:rPr>
        <w:t xml:space="preserve">WIOA </w:t>
      </w:r>
      <w:r w:rsidR="00D4735B" w:rsidRPr="00DB641A">
        <w:rPr>
          <w:rFonts w:cstheme="minorHAnsi"/>
        </w:rPr>
        <w:t xml:space="preserve">Adult and WIOA DW participants </w:t>
      </w:r>
      <w:r w:rsidR="00730B9B" w:rsidRPr="00DB641A">
        <w:rPr>
          <w:rFonts w:cstheme="minorHAnsi"/>
          <w:u w:val="single"/>
        </w:rPr>
        <w:t>must be enrolled</w:t>
      </w:r>
      <w:r w:rsidR="00730B9B" w:rsidRPr="00DB641A">
        <w:rPr>
          <w:rFonts w:cstheme="minorHAnsi"/>
        </w:rPr>
        <w:t xml:space="preserve"> in training services programs</w:t>
      </w:r>
      <w:r w:rsidR="00D4735B" w:rsidRPr="00DB641A">
        <w:rPr>
          <w:rFonts w:cstheme="minorHAnsi"/>
        </w:rPr>
        <w:t xml:space="preserve"> receive NRPs</w:t>
      </w:r>
      <w:r w:rsidR="00C3637A" w:rsidRPr="00DB641A">
        <w:rPr>
          <w:rFonts w:cstheme="minorHAnsi"/>
        </w:rPr>
        <w:t>.</w:t>
      </w:r>
      <w:r w:rsidR="00BF13CC" w:rsidRPr="00DB641A">
        <w:rPr>
          <w:rStyle w:val="FootnoteReference"/>
          <w:rFonts w:cstheme="minorHAnsi"/>
        </w:rPr>
        <w:footnoteReference w:id="28"/>
      </w:r>
    </w:p>
    <w:p w14:paraId="11665EFB" w14:textId="77777777" w:rsidR="00503031" w:rsidRPr="00C07F20" w:rsidRDefault="00503031" w:rsidP="00D54665">
      <w:pPr>
        <w:pStyle w:val="NoSpacing"/>
        <w:rPr>
          <w:rFonts w:cstheme="minorHAnsi"/>
          <w:sz w:val="12"/>
          <w:szCs w:val="12"/>
        </w:rPr>
      </w:pPr>
    </w:p>
    <w:p w14:paraId="53D67A45" w14:textId="399B2A56" w:rsidR="00503031" w:rsidRPr="00610A9D" w:rsidRDefault="00503031" w:rsidP="00C07F20">
      <w:pPr>
        <w:pStyle w:val="NoSpacing"/>
      </w:pPr>
      <w:r w:rsidRPr="00DB641A">
        <w:rPr>
          <w:b/>
        </w:rPr>
        <w:t>Please note:</w:t>
      </w:r>
      <w:r w:rsidRPr="00DB641A">
        <w:t xml:space="preserve"> Current DEED policy </w:t>
      </w:r>
      <w:r w:rsidRPr="00C07F20">
        <w:rPr>
          <w:i/>
          <w:iCs/>
        </w:rPr>
        <w:t>prohibits</w:t>
      </w:r>
      <w:r w:rsidRPr="00DB641A">
        <w:t xml:space="preserve"> the disbursement of needs-related payments for Adult or Dislocated Worker program participants.</w:t>
      </w:r>
      <w:r w:rsidR="00BD3FDC">
        <w:t xml:space="preserve"> </w:t>
      </w:r>
    </w:p>
    <w:p w14:paraId="48257981" w14:textId="77777777" w:rsidR="00061741" w:rsidRPr="004F2C52" w:rsidRDefault="00061741" w:rsidP="0060734E">
      <w:pPr>
        <w:pStyle w:val="NoSpacing"/>
        <w:rPr>
          <w:sz w:val="12"/>
          <w:szCs w:val="12"/>
        </w:rPr>
      </w:pPr>
    </w:p>
    <w:p w14:paraId="48296555" w14:textId="1D1FB616" w:rsidR="00BB0C29" w:rsidRPr="00820ED5" w:rsidRDefault="009654E2" w:rsidP="00820ED5">
      <w:pPr>
        <w:pStyle w:val="NoSpacing"/>
        <w:rPr>
          <w:b/>
          <w:bCs/>
          <w:u w:val="single"/>
        </w:rPr>
      </w:pPr>
      <w:r w:rsidRPr="00820ED5">
        <w:rPr>
          <w:b/>
          <w:bCs/>
          <w:u w:val="single"/>
        </w:rPr>
        <w:t>Supportive Services Documentation</w:t>
      </w:r>
      <w:r w:rsidR="00820ED5">
        <w:rPr>
          <w:b/>
          <w:bCs/>
          <w:u w:val="single"/>
        </w:rPr>
        <w:t>:</w:t>
      </w:r>
    </w:p>
    <w:p w14:paraId="7A427149" w14:textId="6C595676" w:rsidR="00820ED5" w:rsidRDefault="00820ED5" w:rsidP="00C666B8">
      <w:pPr>
        <w:pStyle w:val="NoSpacing"/>
      </w:pPr>
      <w:r>
        <w:t xml:space="preserve">Case managers </w:t>
      </w:r>
      <w:r w:rsidRPr="00820ED5">
        <w:rPr>
          <w:u w:val="single"/>
        </w:rPr>
        <w:t>must</w:t>
      </w:r>
      <w:r>
        <w:t xml:space="preserve"> document the type of supportive service(s</w:t>
      </w:r>
      <w:proofErr w:type="gramStart"/>
      <w:r>
        <w:t>)</w:t>
      </w:r>
      <w:proofErr w:type="gramEnd"/>
      <w:r>
        <w:t xml:space="preserve"> and the amount provided in the Support Service and Case Notes tabs </w:t>
      </w:r>
      <w:r w:rsidR="006D72C4">
        <w:t>with</w:t>
      </w:r>
      <w:r>
        <w:t>in Work</w:t>
      </w:r>
      <w:r w:rsidR="000A16DF">
        <w:t>f</w:t>
      </w:r>
      <w:r>
        <w:t xml:space="preserve">orce One. </w:t>
      </w:r>
      <w:r w:rsidR="00C666B8">
        <w:t>S</w:t>
      </w:r>
      <w:r>
        <w:t>upportive services cannot be used to extend the date of exit for participants in Work</w:t>
      </w:r>
      <w:r w:rsidR="000A16DF">
        <w:t>f</w:t>
      </w:r>
      <w:r>
        <w:t>orce One.</w:t>
      </w:r>
    </w:p>
    <w:p w14:paraId="5D7E166B" w14:textId="77777777" w:rsidR="003779BC" w:rsidRPr="00F945D3" w:rsidRDefault="003779BC" w:rsidP="00C666B8">
      <w:pPr>
        <w:pStyle w:val="NoSpacing"/>
        <w:rPr>
          <w:sz w:val="12"/>
          <w:szCs w:val="12"/>
        </w:rPr>
      </w:pPr>
    </w:p>
    <w:p w14:paraId="53EA8BBC" w14:textId="62411412" w:rsidR="003779BC" w:rsidRPr="00820ED5" w:rsidRDefault="003779BC" w:rsidP="003779BC">
      <w:pPr>
        <w:pStyle w:val="NoSpacing"/>
        <w:rPr>
          <w:b/>
          <w:bCs/>
          <w:u w:val="single"/>
        </w:rPr>
      </w:pPr>
      <w:r w:rsidRPr="00820ED5">
        <w:rPr>
          <w:b/>
          <w:bCs/>
          <w:u w:val="single"/>
        </w:rPr>
        <w:t xml:space="preserve">Supportive Services </w:t>
      </w:r>
      <w:r w:rsidR="0003630D">
        <w:rPr>
          <w:b/>
          <w:bCs/>
          <w:u w:val="single"/>
        </w:rPr>
        <w:t>Cannot Extend Exit</w:t>
      </w:r>
      <w:r w:rsidR="00D71C27">
        <w:rPr>
          <w:b/>
          <w:bCs/>
          <w:u w:val="single"/>
        </w:rPr>
        <w:t>:</w:t>
      </w:r>
    </w:p>
    <w:p w14:paraId="41C324EA" w14:textId="527AC4AC" w:rsidR="00C666B8" w:rsidRPr="00C07F20" w:rsidRDefault="008F3335" w:rsidP="00C07F20">
      <w:pPr>
        <w:rPr>
          <w:rFonts w:ascii="Calibri" w:hAnsi="Calibri" w:cs="Calibri"/>
        </w:rPr>
      </w:pPr>
      <w:r>
        <w:t xml:space="preserve">Supportive services </w:t>
      </w:r>
      <w:r w:rsidRPr="00D84F42">
        <w:rPr>
          <w:u w:val="single"/>
        </w:rPr>
        <w:t>cannot</w:t>
      </w:r>
      <w:r>
        <w:t xml:space="preserve"> be used to extend the date of exit for performance accountability purposes. Supportive services, like follow-up services, do not make an individual a participant or extend participation</w:t>
      </w:r>
      <w:r w:rsidR="00433911">
        <w:t>.</w:t>
      </w:r>
      <w:r w:rsidR="0003630D">
        <w:rPr>
          <w:rStyle w:val="FootnoteReference"/>
        </w:rPr>
        <w:footnoteReference w:id="29"/>
      </w:r>
      <w:r w:rsidR="00867E3D">
        <w:t xml:space="preserve"> </w:t>
      </w:r>
      <w:r w:rsidR="00867E3D" w:rsidRPr="00600690">
        <w:rPr>
          <w:rFonts w:ascii="Calibri" w:hAnsi="Calibri" w:cs="Calibri"/>
        </w:rPr>
        <w:t xml:space="preserve">Individuals identified as needing ongoing supportive services </w:t>
      </w:r>
      <w:r w:rsidR="00867E3D" w:rsidRPr="00233E2E">
        <w:rPr>
          <w:rFonts w:ascii="Calibri" w:hAnsi="Calibri" w:cs="Calibri"/>
          <w:u w:val="single"/>
        </w:rPr>
        <w:t>must</w:t>
      </w:r>
      <w:r w:rsidR="00867E3D" w:rsidRPr="00600690">
        <w:rPr>
          <w:rFonts w:ascii="Calibri" w:hAnsi="Calibri" w:cs="Calibri"/>
        </w:rPr>
        <w:t xml:space="preserve"> still be participating in </w:t>
      </w:r>
      <w:r w:rsidR="00867E3D">
        <w:rPr>
          <w:rFonts w:ascii="Calibri" w:hAnsi="Calibri" w:cs="Calibri"/>
        </w:rPr>
        <w:t>basic career services, i</w:t>
      </w:r>
      <w:r w:rsidR="00867E3D" w:rsidRPr="004526E0">
        <w:rPr>
          <w:rFonts w:ascii="Calibri" w:hAnsi="Calibri" w:cs="Calibri"/>
        </w:rPr>
        <w:t xml:space="preserve">ndividualized </w:t>
      </w:r>
      <w:r w:rsidR="00867E3D" w:rsidRPr="00600690">
        <w:rPr>
          <w:rFonts w:ascii="Calibri" w:hAnsi="Calibri" w:cs="Calibri"/>
        </w:rPr>
        <w:t>career services</w:t>
      </w:r>
      <w:r w:rsidR="00867E3D">
        <w:rPr>
          <w:rFonts w:ascii="Calibri" w:hAnsi="Calibri" w:cs="Calibri"/>
        </w:rPr>
        <w:t xml:space="preserve"> or/and</w:t>
      </w:r>
      <w:r w:rsidR="00867E3D" w:rsidRPr="00600690">
        <w:rPr>
          <w:rFonts w:ascii="Calibri" w:hAnsi="Calibri" w:cs="Calibri"/>
        </w:rPr>
        <w:t xml:space="preserve"> training </w:t>
      </w:r>
      <w:r w:rsidR="00867E3D">
        <w:rPr>
          <w:rFonts w:ascii="Calibri" w:hAnsi="Calibri" w:cs="Calibri"/>
        </w:rPr>
        <w:t>services</w:t>
      </w:r>
      <w:r w:rsidR="00867E3D" w:rsidRPr="00600690">
        <w:rPr>
          <w:rFonts w:ascii="Calibri" w:hAnsi="Calibri" w:cs="Calibri"/>
        </w:rPr>
        <w:t xml:space="preserve"> to continue to receive supportive services</w:t>
      </w:r>
      <w:r w:rsidR="00867E3D">
        <w:rPr>
          <w:rFonts w:ascii="Calibri" w:hAnsi="Calibri" w:cs="Calibri"/>
        </w:rPr>
        <w:t>.</w:t>
      </w:r>
      <w:r w:rsidR="00867E3D">
        <w:rPr>
          <w:rStyle w:val="FootnoteReference"/>
          <w:rFonts w:ascii="Calibri" w:hAnsi="Calibri" w:cs="Calibri"/>
        </w:rPr>
        <w:footnoteReference w:id="30"/>
      </w:r>
    </w:p>
    <w:p w14:paraId="64D45469" w14:textId="58F4DBC1" w:rsidR="007A6448" w:rsidRPr="00C07F20" w:rsidRDefault="00AD6FB4" w:rsidP="007A6448">
      <w:pPr>
        <w:pStyle w:val="NoSpacing"/>
        <w:rPr>
          <w:b/>
          <w:bCs/>
          <w:sz w:val="24"/>
          <w:szCs w:val="24"/>
        </w:rPr>
      </w:pPr>
      <w:r w:rsidRPr="00C07F20">
        <w:rPr>
          <w:b/>
          <w:bCs/>
          <w:sz w:val="24"/>
          <w:szCs w:val="24"/>
        </w:rPr>
        <w:lastRenderedPageBreak/>
        <w:t>Follow-Up Services:</w:t>
      </w:r>
    </w:p>
    <w:p w14:paraId="2ADCA0CD" w14:textId="36E0B934" w:rsidR="000745BC" w:rsidRDefault="007A6448" w:rsidP="00D66AF4">
      <w:pPr>
        <w:pStyle w:val="NoSpacing"/>
      </w:pPr>
      <w:r>
        <w:t>Follow-up services</w:t>
      </w:r>
      <w:r w:rsidR="00642D61">
        <w:t xml:space="preserve"> are a type of career service</w:t>
      </w:r>
      <w:r w:rsidR="00D72E44">
        <w:rPr>
          <w:rStyle w:val="FootnoteReference"/>
        </w:rPr>
        <w:footnoteReference w:id="31"/>
      </w:r>
      <w:r w:rsidR="00642D61">
        <w:t xml:space="preserve"> and</w:t>
      </w:r>
      <w:r>
        <w:t xml:space="preserve"> </w:t>
      </w:r>
      <w:r w:rsidRPr="007A6448">
        <w:rPr>
          <w:u w:val="single"/>
        </w:rPr>
        <w:t>must</w:t>
      </w:r>
      <w:r>
        <w:t xml:space="preserve"> be </w:t>
      </w:r>
      <w:r w:rsidR="004B0F81">
        <w:t xml:space="preserve">available and </w:t>
      </w:r>
      <w:r>
        <w:t>provided</w:t>
      </w:r>
      <w:r w:rsidRPr="00C51CAA">
        <w:t>, as appropriate,</w:t>
      </w:r>
      <w:r>
        <w:t xml:space="preserve"> to former participants who are placed in </w:t>
      </w:r>
      <w:r w:rsidR="00C51CAA" w:rsidRPr="00235817">
        <w:rPr>
          <w:i/>
          <w:iCs/>
        </w:rPr>
        <w:t>U</w:t>
      </w:r>
      <w:r w:rsidRPr="00235817">
        <w:rPr>
          <w:i/>
          <w:iCs/>
        </w:rPr>
        <w:t xml:space="preserve">nsubsidized </w:t>
      </w:r>
      <w:r w:rsidR="00C51CAA" w:rsidRPr="00235817">
        <w:rPr>
          <w:i/>
          <w:iCs/>
        </w:rPr>
        <w:t>E</w:t>
      </w:r>
      <w:r w:rsidRPr="00235817">
        <w:rPr>
          <w:i/>
          <w:iCs/>
        </w:rPr>
        <w:t>mployment</w:t>
      </w:r>
      <w:r>
        <w:t xml:space="preserve">, for </w:t>
      </w:r>
      <w:r w:rsidR="002148C7">
        <w:t xml:space="preserve">at least </w:t>
      </w:r>
      <w:r>
        <w:t xml:space="preserve"> 12 months after the first day of employment</w:t>
      </w:r>
      <w:r w:rsidR="00C82374">
        <w:t>.</w:t>
      </w:r>
      <w:r w:rsidR="00C82374">
        <w:rPr>
          <w:rStyle w:val="FootnoteReference"/>
        </w:rPr>
        <w:footnoteReference w:id="32"/>
      </w:r>
      <w:r w:rsidR="00D00094">
        <w:t xml:space="preserve"> </w:t>
      </w:r>
      <w:r w:rsidR="00BA38AE">
        <w:t>Providers</w:t>
      </w:r>
      <w:r w:rsidR="00D14707">
        <w:t xml:space="preserve"> </w:t>
      </w:r>
      <w:r w:rsidR="00DB641A">
        <w:t>d</w:t>
      </w:r>
      <w:r w:rsidR="00D14707">
        <w:t xml:space="preserve">o not need to provide follow-up services to former participants if </w:t>
      </w:r>
      <w:r w:rsidR="004B0F81">
        <w:t xml:space="preserve"> </w:t>
      </w:r>
      <w:r w:rsidR="00D14707">
        <w:t>participants do not need/want</w:t>
      </w:r>
      <w:r w:rsidR="00632AEC">
        <w:t xml:space="preserve"> them, but they must be available. </w:t>
      </w:r>
    </w:p>
    <w:p w14:paraId="5A0C8314" w14:textId="77777777" w:rsidR="000745BC" w:rsidRPr="008342DC" w:rsidRDefault="000745BC" w:rsidP="00D66AF4">
      <w:pPr>
        <w:pStyle w:val="NoSpacing"/>
        <w:rPr>
          <w:sz w:val="12"/>
          <w:szCs w:val="12"/>
        </w:rPr>
      </w:pPr>
    </w:p>
    <w:p w14:paraId="7C790206" w14:textId="662DD35C" w:rsidR="000969F1" w:rsidRDefault="00C82374" w:rsidP="00D66AF4">
      <w:pPr>
        <w:pStyle w:val="NoSpacing"/>
      </w:pPr>
      <w:r>
        <w:t xml:space="preserve">Follow-up services </w:t>
      </w:r>
      <w:r w:rsidR="00D66AF4">
        <w:t xml:space="preserve">for WIOA Adult and DW programs may begin immediately following placement into </w:t>
      </w:r>
      <w:r w:rsidR="00F27895" w:rsidRPr="00467E15">
        <w:rPr>
          <w:i/>
          <w:iCs/>
        </w:rPr>
        <w:t>U</w:t>
      </w:r>
      <w:r w:rsidR="00D66AF4" w:rsidRPr="00467E15">
        <w:rPr>
          <w:i/>
          <w:iCs/>
        </w:rPr>
        <w:t xml:space="preserve">nsubsidized </w:t>
      </w:r>
      <w:r w:rsidR="00F27895" w:rsidRPr="00467E15">
        <w:rPr>
          <w:i/>
          <w:iCs/>
        </w:rPr>
        <w:t>E</w:t>
      </w:r>
      <w:r w:rsidR="00D66AF4" w:rsidRPr="00467E15">
        <w:rPr>
          <w:i/>
          <w:iCs/>
        </w:rPr>
        <w:t>mployment</w:t>
      </w:r>
      <w:r w:rsidR="00D66AF4">
        <w:t xml:space="preserve"> if it is expected that the participant will not receive any future services other than follow-up services.</w:t>
      </w:r>
      <w:r w:rsidR="00D66AF4">
        <w:rPr>
          <w:rStyle w:val="FootnoteReference"/>
        </w:rPr>
        <w:footnoteReference w:id="33"/>
      </w:r>
      <w:r w:rsidR="00963C14">
        <w:t xml:space="preserve"> There is no requirement that providers wait 90 days </w:t>
      </w:r>
      <w:r w:rsidR="002F6816">
        <w:t>after individuals</w:t>
      </w:r>
      <w:r w:rsidR="00EA1821">
        <w:t xml:space="preserve"> to begin follow-up services.</w:t>
      </w:r>
    </w:p>
    <w:p w14:paraId="18DFBA91" w14:textId="77777777" w:rsidR="007A6448" w:rsidRPr="007A6448" w:rsidRDefault="007A6448" w:rsidP="007A6448">
      <w:pPr>
        <w:pStyle w:val="NoSpacing"/>
        <w:rPr>
          <w:sz w:val="12"/>
          <w:szCs w:val="12"/>
        </w:rPr>
      </w:pPr>
    </w:p>
    <w:p w14:paraId="4DBC814D" w14:textId="14246196" w:rsidR="007A6448" w:rsidRPr="008D5738" w:rsidRDefault="007A6448" w:rsidP="007A6448">
      <w:pPr>
        <w:pStyle w:val="NoSpacing"/>
        <w:rPr>
          <w:u w:val="single"/>
        </w:rPr>
      </w:pPr>
      <w:r w:rsidRPr="00C07F20">
        <w:t>Follow-up services include, but are not limited to</w:t>
      </w:r>
      <w:r w:rsidRPr="008D5738">
        <w:rPr>
          <w:u w:val="single"/>
        </w:rPr>
        <w:t>:</w:t>
      </w:r>
      <w:r w:rsidR="0065081B" w:rsidRPr="00F17C54">
        <w:rPr>
          <w:rStyle w:val="FootnoteReference"/>
        </w:rPr>
        <w:footnoteReference w:id="34"/>
      </w:r>
    </w:p>
    <w:p w14:paraId="2ECD6D9A" w14:textId="57C06C64" w:rsidR="009841C9" w:rsidRPr="00610A9D" w:rsidRDefault="007A6448" w:rsidP="00610A9D">
      <w:pPr>
        <w:pStyle w:val="NoSpacing"/>
        <w:numPr>
          <w:ilvl w:val="0"/>
          <w:numId w:val="43"/>
        </w:numPr>
      </w:pPr>
      <w:r w:rsidRPr="00610A9D">
        <w:t>Counseling about the workplace,</w:t>
      </w:r>
    </w:p>
    <w:p w14:paraId="55DA38A9" w14:textId="77777777" w:rsidR="009841C9" w:rsidRPr="00610A9D" w:rsidRDefault="007A6448" w:rsidP="00610A9D">
      <w:pPr>
        <w:pStyle w:val="NoSpacing"/>
        <w:numPr>
          <w:ilvl w:val="0"/>
          <w:numId w:val="43"/>
        </w:numPr>
      </w:pPr>
      <w:r w:rsidRPr="00610A9D">
        <w:t>Peer support groups,</w:t>
      </w:r>
    </w:p>
    <w:p w14:paraId="1DF8C989" w14:textId="77777777" w:rsidR="009841C9" w:rsidRPr="00610A9D" w:rsidRDefault="007A6448" w:rsidP="00610A9D">
      <w:pPr>
        <w:pStyle w:val="NoSpacing"/>
        <w:numPr>
          <w:ilvl w:val="0"/>
          <w:numId w:val="43"/>
        </w:numPr>
      </w:pPr>
      <w:r w:rsidRPr="00610A9D">
        <w:t>Assistance with work-related problems that may arise,</w:t>
      </w:r>
    </w:p>
    <w:p w14:paraId="6136F292" w14:textId="27AAF1D0" w:rsidR="009841C9" w:rsidRDefault="007A6448" w:rsidP="009841C9">
      <w:pPr>
        <w:pStyle w:val="NoSpacing"/>
        <w:numPr>
          <w:ilvl w:val="0"/>
          <w:numId w:val="43"/>
        </w:numPr>
      </w:pPr>
      <w:r w:rsidRPr="00610A9D">
        <w:t>Information about additional educational opportunities,</w:t>
      </w:r>
      <w:r w:rsidR="009841C9">
        <w:t xml:space="preserve"> and,</w:t>
      </w:r>
    </w:p>
    <w:p w14:paraId="530A6AA7" w14:textId="04D7ADE6" w:rsidR="004D0BE4" w:rsidRPr="0099700A" w:rsidRDefault="007A6448" w:rsidP="009841C9">
      <w:pPr>
        <w:pStyle w:val="NoSpacing"/>
        <w:numPr>
          <w:ilvl w:val="0"/>
          <w:numId w:val="43"/>
        </w:numPr>
      </w:pPr>
      <w:r>
        <w:t>Referral to supportive services available in the community</w:t>
      </w:r>
      <w:r w:rsidR="00A038C3">
        <w:t>.</w:t>
      </w:r>
    </w:p>
    <w:p w14:paraId="1B93A6A6" w14:textId="77777777" w:rsidR="00A835C7" w:rsidRPr="00610A9D" w:rsidRDefault="00A835C7" w:rsidP="00610A9D">
      <w:pPr>
        <w:pStyle w:val="NoSpacing"/>
        <w:rPr>
          <w:b/>
          <w:sz w:val="12"/>
        </w:rPr>
      </w:pPr>
    </w:p>
    <w:p w14:paraId="107A1F81" w14:textId="47F6F304" w:rsidR="007A6448" w:rsidRDefault="004D0BE4" w:rsidP="004D0BE4">
      <w:pPr>
        <w:pStyle w:val="NoSpacing"/>
        <w:rPr>
          <w:rFonts w:cstheme="minorHAnsi"/>
        </w:rPr>
      </w:pPr>
      <w:r w:rsidRPr="00610A9D">
        <w:t xml:space="preserve">Supportive services </w:t>
      </w:r>
      <w:r w:rsidRPr="00610A9D">
        <w:rPr>
          <w:u w:val="single"/>
        </w:rPr>
        <w:t>cannot</w:t>
      </w:r>
      <w:r w:rsidRPr="00610A9D">
        <w:t xml:space="preserve"> be provided </w:t>
      </w:r>
      <w:r>
        <w:t>as part of follow-up services after individuals have exited their program(s).</w:t>
      </w:r>
      <w:r w:rsidR="00407478">
        <w:rPr>
          <w:rStyle w:val="FootnoteReference"/>
        </w:rPr>
        <w:footnoteReference w:id="35"/>
      </w:r>
      <w:r>
        <w:t xml:space="preserve"> Supportive services can </w:t>
      </w:r>
      <w:r w:rsidRPr="00A038C3">
        <w:rPr>
          <w:u w:val="single"/>
        </w:rPr>
        <w:t>only</w:t>
      </w:r>
      <w:r>
        <w:t xml:space="preserve"> </w:t>
      </w:r>
      <w:r>
        <w:rPr>
          <w:rFonts w:cstheme="minorHAnsi"/>
        </w:rPr>
        <w:t xml:space="preserve">be provided to those </w:t>
      </w:r>
      <w:r w:rsidR="00A038C3">
        <w:rPr>
          <w:rFonts w:cstheme="minorHAnsi"/>
        </w:rPr>
        <w:t>p</w:t>
      </w:r>
      <w:r w:rsidR="00A038C3" w:rsidRPr="004E36F6">
        <w:rPr>
          <w:rFonts w:cstheme="minorHAnsi"/>
        </w:rPr>
        <w:t>articipating</w:t>
      </w:r>
      <w:r w:rsidRPr="004E36F6">
        <w:rPr>
          <w:rFonts w:cstheme="minorHAnsi"/>
        </w:rPr>
        <w:t xml:space="preserve"> in </w:t>
      </w:r>
      <w:r w:rsidR="000F5961">
        <w:rPr>
          <w:rFonts w:ascii="Calibri" w:hAnsi="Calibri" w:cs="Calibri"/>
        </w:rPr>
        <w:t>basic career services, i</w:t>
      </w:r>
      <w:r w:rsidR="000F5961" w:rsidRPr="004526E0">
        <w:rPr>
          <w:rFonts w:ascii="Calibri" w:hAnsi="Calibri" w:cs="Calibri"/>
        </w:rPr>
        <w:t xml:space="preserve">ndividualized </w:t>
      </w:r>
      <w:r w:rsidR="000F5961" w:rsidRPr="00600690">
        <w:rPr>
          <w:rFonts w:ascii="Calibri" w:hAnsi="Calibri" w:cs="Calibri"/>
        </w:rPr>
        <w:t>career services</w:t>
      </w:r>
      <w:r w:rsidR="000F5961">
        <w:rPr>
          <w:rFonts w:ascii="Calibri" w:hAnsi="Calibri" w:cs="Calibri"/>
        </w:rPr>
        <w:t xml:space="preserve"> or/and</w:t>
      </w:r>
      <w:r w:rsidR="000F5961" w:rsidRPr="00600690">
        <w:rPr>
          <w:rFonts w:ascii="Calibri" w:hAnsi="Calibri" w:cs="Calibri"/>
        </w:rPr>
        <w:t xml:space="preserve"> training </w:t>
      </w:r>
      <w:r w:rsidR="000F5961">
        <w:rPr>
          <w:rFonts w:ascii="Calibri" w:hAnsi="Calibri" w:cs="Calibri"/>
        </w:rPr>
        <w:t>services</w:t>
      </w:r>
      <w:r w:rsidR="00BE6C53">
        <w:rPr>
          <w:rFonts w:cstheme="minorHAnsi"/>
        </w:rPr>
        <w:t>.</w:t>
      </w:r>
      <w:r w:rsidR="00BE6C53">
        <w:rPr>
          <w:rStyle w:val="FootnoteReference"/>
          <w:rFonts w:cstheme="minorHAnsi"/>
        </w:rPr>
        <w:footnoteReference w:id="36"/>
      </w:r>
    </w:p>
    <w:p w14:paraId="07AE4FAA" w14:textId="77777777" w:rsidR="002471D1" w:rsidRPr="00C07F20" w:rsidRDefault="002471D1" w:rsidP="004D0BE4">
      <w:pPr>
        <w:pStyle w:val="NoSpacing"/>
        <w:rPr>
          <w:rFonts w:cstheme="minorHAnsi"/>
          <w:sz w:val="12"/>
          <w:szCs w:val="12"/>
        </w:rPr>
      </w:pPr>
    </w:p>
    <w:p w14:paraId="230185EC" w14:textId="77777777" w:rsidR="00584FF3" w:rsidRPr="00584FF3" w:rsidRDefault="002471D1" w:rsidP="00584FF3">
      <w:pPr>
        <w:pStyle w:val="NoSpacing"/>
        <w:rPr>
          <w:b/>
          <w:bCs/>
          <w:u w:val="single"/>
        </w:rPr>
      </w:pPr>
      <w:r w:rsidRPr="00584FF3">
        <w:rPr>
          <w:b/>
          <w:bCs/>
          <w:u w:val="single"/>
        </w:rPr>
        <w:t>Related Links</w:t>
      </w:r>
    </w:p>
    <w:p w14:paraId="0835C444" w14:textId="34CC7717" w:rsidR="00584FF3" w:rsidRPr="00584FF3" w:rsidRDefault="000F6FA5" w:rsidP="00C07F20">
      <w:pPr>
        <w:pStyle w:val="NoSpacing"/>
        <w:numPr>
          <w:ilvl w:val="0"/>
          <w:numId w:val="66"/>
        </w:numPr>
        <w:rPr>
          <w:b/>
          <w:bCs/>
        </w:rPr>
      </w:pPr>
      <w:hyperlink r:id="rId8" w:history="1">
        <w:r w:rsidR="00584FF3" w:rsidRPr="00957E6B">
          <w:rPr>
            <w:rStyle w:val="Hyperlink"/>
          </w:rPr>
          <w:t>Dislocated Worker and Federal Adult Programs (DWFAP) Terms and Definitions</w:t>
        </w:r>
      </w:hyperlink>
    </w:p>
    <w:p w14:paraId="49DFE5D8" w14:textId="47577830" w:rsidR="002471D1" w:rsidRDefault="002471D1" w:rsidP="00610A9D">
      <w:pPr>
        <w:pStyle w:val="NoSpacing"/>
      </w:pPr>
    </w:p>
    <w:sectPr w:rsidR="002471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1B099" w14:textId="77777777" w:rsidR="00C22B48" w:rsidRDefault="00C22B48" w:rsidP="00AD6FB4">
      <w:pPr>
        <w:spacing w:after="0" w:line="240" w:lineRule="auto"/>
      </w:pPr>
      <w:r>
        <w:separator/>
      </w:r>
    </w:p>
  </w:endnote>
  <w:endnote w:type="continuationSeparator" w:id="0">
    <w:p w14:paraId="7C46ECE7" w14:textId="77777777" w:rsidR="00C22B48" w:rsidRDefault="00C22B48" w:rsidP="00AD6FB4">
      <w:pPr>
        <w:spacing w:after="0" w:line="240" w:lineRule="auto"/>
      </w:pPr>
      <w:r>
        <w:continuationSeparator/>
      </w:r>
    </w:p>
  </w:endnote>
  <w:endnote w:type="continuationNotice" w:id="1">
    <w:p w14:paraId="0E05884F" w14:textId="77777777" w:rsidR="00C22B48" w:rsidRDefault="00C22B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520C4" w14:textId="77777777" w:rsidR="00C07F20" w:rsidRDefault="00C07F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3EA3C" w14:textId="0FD9A415" w:rsidR="001D36AA" w:rsidRPr="001D36AA" w:rsidRDefault="00CE6CEC" w:rsidP="00610A9D">
    <w:pPr>
      <w:pStyle w:val="Footer"/>
    </w:pPr>
    <w:r>
      <w:t xml:space="preserve">Last Updated </w:t>
    </w:r>
    <w:r w:rsidR="00C07F20">
      <w:t>4</w:t>
    </w:r>
    <w:r>
      <w:t>/</w:t>
    </w:r>
    <w:r w:rsidR="00C07F20">
      <w:t>16</w:t>
    </w:r>
    <w:r>
      <w:t xml:space="preserve">/25 </w:t>
    </w:r>
    <w:r>
      <w:tab/>
      <w:t xml:space="preserve">                                                                                                                                  Page |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  <w:r w:rsidR="001D36AA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3F6A1" w14:textId="77777777" w:rsidR="00C07F20" w:rsidRDefault="00C07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9679B" w14:textId="77777777" w:rsidR="00C22B48" w:rsidRDefault="00C22B48" w:rsidP="00AD6FB4">
      <w:pPr>
        <w:spacing w:after="0" w:line="240" w:lineRule="auto"/>
      </w:pPr>
      <w:r>
        <w:separator/>
      </w:r>
    </w:p>
  </w:footnote>
  <w:footnote w:type="continuationSeparator" w:id="0">
    <w:p w14:paraId="5183F641" w14:textId="77777777" w:rsidR="00C22B48" w:rsidRDefault="00C22B48" w:rsidP="00AD6FB4">
      <w:pPr>
        <w:spacing w:after="0" w:line="240" w:lineRule="auto"/>
      </w:pPr>
      <w:r>
        <w:continuationSeparator/>
      </w:r>
    </w:p>
  </w:footnote>
  <w:footnote w:type="continuationNotice" w:id="1">
    <w:p w14:paraId="44812E9B" w14:textId="77777777" w:rsidR="00C22B48" w:rsidRDefault="00C22B48">
      <w:pPr>
        <w:spacing w:after="0" w:line="240" w:lineRule="auto"/>
      </w:pPr>
    </w:p>
  </w:footnote>
  <w:footnote w:id="2">
    <w:p w14:paraId="1069032E" w14:textId="6F22E66C" w:rsidR="009D36BA" w:rsidRPr="00464C51" w:rsidRDefault="009D36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64C51">
        <w:t>20 CFR 680.900</w:t>
      </w:r>
    </w:p>
  </w:footnote>
  <w:footnote w:id="3">
    <w:p w14:paraId="35DD8CC0" w14:textId="5A297950" w:rsidR="004474AF" w:rsidRPr="00464C51" w:rsidRDefault="004474AF">
      <w:pPr>
        <w:pStyle w:val="FootnoteText"/>
      </w:pPr>
      <w:r w:rsidRPr="00464C51">
        <w:rPr>
          <w:rStyle w:val="FootnoteReference"/>
        </w:rPr>
        <w:footnoteRef/>
      </w:r>
      <w:r w:rsidRPr="00464C51">
        <w:t xml:space="preserve"> 20 CFR 680.920(a)</w:t>
      </w:r>
    </w:p>
  </w:footnote>
  <w:footnote w:id="4">
    <w:p w14:paraId="275FDBFD" w14:textId="3C2DADC3" w:rsidR="00043FF0" w:rsidRPr="00464C51" w:rsidRDefault="00043FF0">
      <w:pPr>
        <w:pStyle w:val="FootnoteText"/>
      </w:pPr>
      <w:r w:rsidRPr="00464C51">
        <w:rPr>
          <w:rStyle w:val="FootnoteReference"/>
        </w:rPr>
        <w:footnoteRef/>
      </w:r>
      <w:r w:rsidRPr="00464C51">
        <w:t xml:space="preserve"> </w:t>
      </w:r>
      <w:r w:rsidR="0065081B" w:rsidRPr="00464C51">
        <w:rPr>
          <w:rFonts w:cstheme="minorHAnsi"/>
        </w:rPr>
        <w:t>TEGL 19-16 (Page Three)</w:t>
      </w:r>
    </w:p>
  </w:footnote>
  <w:footnote w:id="5">
    <w:p w14:paraId="5AE876B7" w14:textId="77EA5EFF" w:rsidR="00F86791" w:rsidRPr="00464C51" w:rsidRDefault="00F86791">
      <w:pPr>
        <w:pStyle w:val="FootnoteText"/>
      </w:pPr>
      <w:r w:rsidRPr="00464C51">
        <w:rPr>
          <w:rStyle w:val="FootnoteReference"/>
        </w:rPr>
        <w:footnoteRef/>
      </w:r>
      <w:r w:rsidRPr="00464C51">
        <w:t xml:space="preserve"> TEGL 16-16 (Page </w:t>
      </w:r>
      <w:r w:rsidR="00DD1B60" w:rsidRPr="00464C51">
        <w:t>Five</w:t>
      </w:r>
      <w:r w:rsidRPr="00464C51">
        <w:t>)</w:t>
      </w:r>
    </w:p>
  </w:footnote>
  <w:footnote w:id="6">
    <w:p w14:paraId="0124F5EE" w14:textId="2B786E61" w:rsidR="00EC7529" w:rsidRPr="00464C51" w:rsidRDefault="00EC7529">
      <w:pPr>
        <w:pStyle w:val="FootnoteText"/>
      </w:pPr>
      <w:r w:rsidRPr="00464C51">
        <w:rPr>
          <w:rStyle w:val="FootnoteReference"/>
        </w:rPr>
        <w:footnoteRef/>
      </w:r>
      <w:r w:rsidRPr="00464C51">
        <w:t xml:space="preserve"> </w:t>
      </w:r>
      <w:r w:rsidRPr="00464C51">
        <w:rPr>
          <w:rFonts w:cstheme="minorHAnsi"/>
          <w:color w:val="333333"/>
          <w:shd w:val="clear" w:color="auto" w:fill="FFFFFF"/>
        </w:rPr>
        <w:t>20 CFR 680.9</w:t>
      </w:r>
      <w:r w:rsidR="003C6D74">
        <w:rPr>
          <w:rFonts w:cstheme="minorHAnsi"/>
          <w:color w:val="333333"/>
          <w:shd w:val="clear" w:color="auto" w:fill="FFFFFF"/>
        </w:rPr>
        <w:t>10</w:t>
      </w:r>
      <w:r w:rsidR="00464C51" w:rsidRPr="00464C51">
        <w:rPr>
          <w:rFonts w:cstheme="minorHAnsi"/>
          <w:color w:val="333333"/>
          <w:shd w:val="clear" w:color="auto" w:fill="FFFFFF"/>
        </w:rPr>
        <w:t xml:space="preserve"> and </w:t>
      </w:r>
      <w:r w:rsidR="00464C51" w:rsidRPr="00464C51">
        <w:t>TEGL 19-16 (Pages 18 and 19)</w:t>
      </w:r>
    </w:p>
  </w:footnote>
  <w:footnote w:id="7">
    <w:p w14:paraId="5F3ED4F5" w14:textId="3AFA2E5D" w:rsidR="00D63086" w:rsidRPr="00464C51" w:rsidRDefault="00D63086" w:rsidP="00D63086">
      <w:pPr>
        <w:pStyle w:val="FootnoteText"/>
      </w:pPr>
      <w:r w:rsidRPr="00464C51">
        <w:rPr>
          <w:rStyle w:val="FootnoteReference"/>
        </w:rPr>
        <w:footnoteRef/>
      </w:r>
      <w:r w:rsidRPr="00464C51">
        <w:t xml:space="preserve"> TEGL 21-22 (Pages Nine and Ten)</w:t>
      </w:r>
    </w:p>
  </w:footnote>
  <w:footnote w:id="8">
    <w:p w14:paraId="087CADA6" w14:textId="4F818B46" w:rsidR="00D63086" w:rsidRPr="00464C51" w:rsidRDefault="00D63086" w:rsidP="00D63086">
      <w:pPr>
        <w:pStyle w:val="FootnoteText"/>
      </w:pPr>
      <w:r w:rsidRPr="00464C51">
        <w:rPr>
          <w:rStyle w:val="FootnoteReference"/>
        </w:rPr>
        <w:footnoteRef/>
      </w:r>
      <w:r w:rsidRPr="00464C51">
        <w:t xml:space="preserve"> </w:t>
      </w:r>
      <w:r w:rsidRPr="00464C51">
        <w:rPr>
          <w:rFonts w:cstheme="minorHAnsi"/>
          <w:color w:val="333333"/>
          <w:shd w:val="clear" w:color="auto" w:fill="FFFFFF"/>
        </w:rPr>
        <w:t>20 CFR 680.900(d)</w:t>
      </w:r>
      <w:r w:rsidR="00543D11">
        <w:rPr>
          <w:rFonts w:cstheme="minorHAnsi"/>
          <w:color w:val="333333"/>
          <w:shd w:val="clear" w:color="auto" w:fill="FFFFFF"/>
        </w:rPr>
        <w:t xml:space="preserve">, </w:t>
      </w:r>
      <w:r w:rsidR="00543D11" w:rsidRPr="00464C51">
        <w:t>TEN 12-21, Attachment I (Page Five)</w:t>
      </w:r>
      <w:r w:rsidR="00543D11">
        <w:t xml:space="preserve">, </w:t>
      </w:r>
      <w:r w:rsidRPr="00464C51">
        <w:rPr>
          <w:rFonts w:cstheme="minorHAnsi"/>
          <w:color w:val="333333"/>
          <w:shd w:val="clear" w:color="auto" w:fill="FFFFFF"/>
        </w:rPr>
        <w:t xml:space="preserve">and </w:t>
      </w:r>
      <w:r w:rsidR="00CB00DF" w:rsidRPr="00464C51">
        <w:rPr>
          <w:rFonts w:cstheme="minorHAnsi"/>
          <w:color w:val="333333"/>
          <w:shd w:val="clear" w:color="auto" w:fill="FFFFFF"/>
        </w:rPr>
        <w:t xml:space="preserve">MN </w:t>
      </w:r>
      <w:r w:rsidRPr="00464C51">
        <w:rPr>
          <w:rFonts w:cstheme="minorHAnsi"/>
        </w:rPr>
        <w:t>State Statute 116L.17 (4)(2)</w:t>
      </w:r>
    </w:p>
  </w:footnote>
  <w:footnote w:id="9">
    <w:p w14:paraId="321E6956" w14:textId="77777777" w:rsidR="00D63086" w:rsidRPr="00464C51" w:rsidRDefault="00D63086" w:rsidP="00D63086">
      <w:pPr>
        <w:pStyle w:val="FootnoteText"/>
      </w:pPr>
      <w:r w:rsidRPr="00464C51">
        <w:rPr>
          <w:rStyle w:val="FootnoteReference"/>
        </w:rPr>
        <w:footnoteRef/>
      </w:r>
      <w:r w:rsidRPr="00464C51">
        <w:t xml:space="preserve"> </w:t>
      </w:r>
      <w:r w:rsidRPr="00464C51">
        <w:rPr>
          <w:rFonts w:cstheme="minorHAnsi"/>
          <w:color w:val="333333"/>
          <w:shd w:val="clear" w:color="auto" w:fill="FFFFFF"/>
        </w:rPr>
        <w:t xml:space="preserve">20 CFR 680.900(b) and </w:t>
      </w:r>
      <w:r w:rsidRPr="00464C51">
        <w:rPr>
          <w:rFonts w:cstheme="minorHAnsi"/>
        </w:rPr>
        <w:t>State Statute 116L.17 (4)(2)</w:t>
      </w:r>
    </w:p>
  </w:footnote>
  <w:footnote w:id="10">
    <w:p w14:paraId="114F6808" w14:textId="567427F9" w:rsidR="00B36AF0" w:rsidRDefault="00B36AF0">
      <w:pPr>
        <w:pStyle w:val="FootnoteText"/>
      </w:pPr>
      <w:r w:rsidRPr="00464C51">
        <w:rPr>
          <w:rStyle w:val="FootnoteReference"/>
        </w:rPr>
        <w:footnoteRef/>
      </w:r>
      <w:r w:rsidRPr="00464C51">
        <w:t xml:space="preserve"> </w:t>
      </w:r>
      <w:r w:rsidR="000B0A78" w:rsidRPr="00464C51">
        <w:t xml:space="preserve">MN </w:t>
      </w:r>
      <w:r w:rsidRPr="00464C51">
        <w:rPr>
          <w:rFonts w:cstheme="minorHAnsi"/>
        </w:rPr>
        <w:t>State Statute 116L.17 (4)(2)</w:t>
      </w:r>
    </w:p>
  </w:footnote>
  <w:footnote w:id="11">
    <w:p w14:paraId="556160FB" w14:textId="33F300E7" w:rsidR="005B2D79" w:rsidRDefault="005B2D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B0A78">
        <w:t xml:space="preserve">MN </w:t>
      </w:r>
      <w:r w:rsidRPr="00640336">
        <w:rPr>
          <w:rFonts w:cstheme="minorHAnsi"/>
        </w:rPr>
        <w:t>State Statute 116L.17 (4)(2)</w:t>
      </w:r>
    </w:p>
  </w:footnote>
  <w:footnote w:id="12">
    <w:p w14:paraId="2BD88658" w14:textId="1A3535DB" w:rsidR="005B2D79" w:rsidRPr="00124869" w:rsidRDefault="005B2D79">
      <w:pPr>
        <w:pStyle w:val="FootnoteText"/>
        <w:rPr>
          <w:rFonts w:cstheme="minorHAnsi"/>
        </w:rPr>
      </w:pPr>
      <w:r>
        <w:rPr>
          <w:rStyle w:val="FootnoteReference"/>
        </w:rPr>
        <w:footnoteRef/>
      </w:r>
      <w:r>
        <w:t xml:space="preserve"> </w:t>
      </w:r>
      <w:r w:rsidR="000B0A78" w:rsidRPr="00124869">
        <w:t xml:space="preserve">MN </w:t>
      </w:r>
      <w:r w:rsidRPr="00124869">
        <w:rPr>
          <w:rFonts w:cstheme="minorHAnsi"/>
        </w:rPr>
        <w:t>State Statute 116L.17 (4)(2)</w:t>
      </w:r>
    </w:p>
  </w:footnote>
  <w:footnote w:id="13">
    <w:p w14:paraId="6D40A355" w14:textId="79A3175A" w:rsidR="005B2D79" w:rsidRPr="00124869" w:rsidRDefault="005B2D79">
      <w:pPr>
        <w:pStyle w:val="FootnoteText"/>
        <w:rPr>
          <w:rFonts w:cstheme="minorHAnsi"/>
        </w:rPr>
      </w:pPr>
      <w:r w:rsidRPr="00124869">
        <w:rPr>
          <w:rStyle w:val="FootnoteReference"/>
          <w:rFonts w:cstheme="minorHAnsi"/>
        </w:rPr>
        <w:footnoteRef/>
      </w:r>
      <w:r w:rsidRPr="00124869">
        <w:rPr>
          <w:rFonts w:cstheme="minorHAnsi"/>
        </w:rPr>
        <w:t xml:space="preserve"> </w:t>
      </w:r>
      <w:r w:rsidRPr="00124869">
        <w:rPr>
          <w:rFonts w:cstheme="minorHAnsi"/>
          <w:shd w:val="clear" w:color="auto" w:fill="FFFFFF"/>
        </w:rPr>
        <w:t>20 CFR 680.900(</w:t>
      </w:r>
      <w:proofErr w:type="spellStart"/>
      <w:r w:rsidRPr="00124869">
        <w:rPr>
          <w:rFonts w:cstheme="minorHAnsi"/>
          <w:shd w:val="clear" w:color="auto" w:fill="FFFFFF"/>
        </w:rPr>
        <w:t>i</w:t>
      </w:r>
      <w:proofErr w:type="spellEnd"/>
      <w:r w:rsidRPr="00124869">
        <w:rPr>
          <w:rFonts w:cstheme="minorHAnsi"/>
          <w:shd w:val="clear" w:color="auto" w:fill="FFFFFF"/>
        </w:rPr>
        <w:t>)</w:t>
      </w:r>
    </w:p>
  </w:footnote>
  <w:footnote w:id="14">
    <w:p w14:paraId="57B39E7F" w14:textId="473C4675" w:rsidR="005B2D79" w:rsidRPr="00124869" w:rsidRDefault="005B2D79">
      <w:pPr>
        <w:pStyle w:val="FootnoteText"/>
        <w:rPr>
          <w:rFonts w:cstheme="minorHAnsi"/>
        </w:rPr>
      </w:pPr>
      <w:r w:rsidRPr="00124869">
        <w:rPr>
          <w:rStyle w:val="FootnoteReference"/>
          <w:rFonts w:cstheme="minorHAnsi"/>
        </w:rPr>
        <w:footnoteRef/>
      </w:r>
      <w:r w:rsidRPr="00124869">
        <w:rPr>
          <w:rFonts w:cstheme="minorHAnsi"/>
        </w:rPr>
        <w:t xml:space="preserve"> </w:t>
      </w:r>
      <w:r w:rsidRPr="00124869">
        <w:rPr>
          <w:rFonts w:cstheme="minorHAnsi"/>
          <w:shd w:val="clear" w:color="auto" w:fill="FFFFFF"/>
        </w:rPr>
        <w:t>20 CFR 680.900(c)</w:t>
      </w:r>
    </w:p>
  </w:footnote>
  <w:footnote w:id="15">
    <w:p w14:paraId="7ACF4A0E" w14:textId="4EA5B840" w:rsidR="005B2D79" w:rsidRPr="00124869" w:rsidRDefault="005B2D79">
      <w:pPr>
        <w:pStyle w:val="FootnoteText"/>
        <w:rPr>
          <w:rFonts w:cstheme="minorHAnsi"/>
        </w:rPr>
      </w:pPr>
      <w:r w:rsidRPr="00124869">
        <w:rPr>
          <w:rStyle w:val="FootnoteReference"/>
          <w:rFonts w:cstheme="minorHAnsi"/>
        </w:rPr>
        <w:footnoteRef/>
      </w:r>
      <w:r w:rsidRPr="00124869">
        <w:rPr>
          <w:rFonts w:cstheme="minorHAnsi"/>
        </w:rPr>
        <w:t xml:space="preserve"> </w:t>
      </w:r>
      <w:r w:rsidR="000B0A78" w:rsidRPr="00124869">
        <w:rPr>
          <w:rFonts w:cstheme="minorHAnsi"/>
        </w:rPr>
        <w:t xml:space="preserve">MN </w:t>
      </w:r>
      <w:r w:rsidRPr="00124869">
        <w:rPr>
          <w:rFonts w:cstheme="minorHAnsi"/>
        </w:rPr>
        <w:t>State Statute 116L.17 (4)(2)</w:t>
      </w:r>
    </w:p>
  </w:footnote>
  <w:footnote w:id="16">
    <w:p w14:paraId="64EDD3B4" w14:textId="17C7C476" w:rsidR="005B2D79" w:rsidRPr="00124869" w:rsidRDefault="005B2D79">
      <w:pPr>
        <w:pStyle w:val="FootnoteText"/>
        <w:rPr>
          <w:rFonts w:cstheme="minorHAnsi"/>
        </w:rPr>
      </w:pPr>
      <w:r w:rsidRPr="00124869">
        <w:rPr>
          <w:rStyle w:val="FootnoteReference"/>
          <w:rFonts w:cstheme="minorHAnsi"/>
        </w:rPr>
        <w:footnoteRef/>
      </w:r>
      <w:r w:rsidRPr="00124869">
        <w:rPr>
          <w:rFonts w:cstheme="minorHAnsi"/>
        </w:rPr>
        <w:t xml:space="preserve"> </w:t>
      </w:r>
      <w:r w:rsidR="000B0A78" w:rsidRPr="00124869">
        <w:rPr>
          <w:rFonts w:cstheme="minorHAnsi"/>
        </w:rPr>
        <w:t xml:space="preserve">MN </w:t>
      </w:r>
      <w:r w:rsidRPr="00124869">
        <w:rPr>
          <w:rFonts w:cstheme="minorHAnsi"/>
        </w:rPr>
        <w:t>State Statute 116L.17 (4)(2)</w:t>
      </w:r>
    </w:p>
  </w:footnote>
  <w:footnote w:id="17">
    <w:p w14:paraId="28A921F3" w14:textId="0ECB7749" w:rsidR="005B2D79" w:rsidRPr="00124869" w:rsidRDefault="005B2D79">
      <w:pPr>
        <w:pStyle w:val="FootnoteText"/>
        <w:rPr>
          <w:rFonts w:cstheme="minorHAnsi"/>
        </w:rPr>
      </w:pPr>
      <w:r w:rsidRPr="00124869">
        <w:rPr>
          <w:rStyle w:val="FootnoteReference"/>
          <w:rFonts w:cstheme="minorHAnsi"/>
        </w:rPr>
        <w:footnoteRef/>
      </w:r>
      <w:r w:rsidRPr="00124869">
        <w:rPr>
          <w:rFonts w:cstheme="minorHAnsi"/>
        </w:rPr>
        <w:t xml:space="preserve"> </w:t>
      </w:r>
      <w:r w:rsidRPr="00124869">
        <w:rPr>
          <w:rFonts w:cstheme="minorHAnsi"/>
          <w:shd w:val="clear" w:color="auto" w:fill="FFFFFF"/>
        </w:rPr>
        <w:t>20 CFR 680.900(h)</w:t>
      </w:r>
    </w:p>
  </w:footnote>
  <w:footnote w:id="18">
    <w:p w14:paraId="254E7EC0" w14:textId="0B242284" w:rsidR="00034325" w:rsidRPr="00124869" w:rsidRDefault="00034325">
      <w:pPr>
        <w:pStyle w:val="FootnoteText"/>
      </w:pPr>
      <w:r w:rsidRPr="00124869">
        <w:rPr>
          <w:rStyle w:val="FootnoteReference"/>
        </w:rPr>
        <w:footnoteRef/>
      </w:r>
      <w:r w:rsidRPr="00124869">
        <w:t xml:space="preserve"> </w:t>
      </w:r>
      <w:r w:rsidR="000B0A78" w:rsidRPr="00124869">
        <w:t xml:space="preserve">MN </w:t>
      </w:r>
      <w:r w:rsidRPr="00124869">
        <w:rPr>
          <w:rFonts w:cstheme="minorHAnsi"/>
        </w:rPr>
        <w:t>State Statute 116L.17 (4)(2)</w:t>
      </w:r>
    </w:p>
  </w:footnote>
  <w:footnote w:id="19">
    <w:p w14:paraId="12EB22DC" w14:textId="4CB7F36A" w:rsidR="002F3539" w:rsidRPr="00124869" w:rsidRDefault="002F3539">
      <w:pPr>
        <w:pStyle w:val="FootnoteText"/>
      </w:pPr>
      <w:r w:rsidRPr="00124869">
        <w:rPr>
          <w:rStyle w:val="FootnoteReference"/>
        </w:rPr>
        <w:footnoteRef/>
      </w:r>
      <w:r w:rsidRPr="00124869">
        <w:t xml:space="preserve"> </w:t>
      </w:r>
      <w:r w:rsidRPr="00124869">
        <w:rPr>
          <w:rFonts w:cstheme="minorHAnsi"/>
          <w:shd w:val="clear" w:color="auto" w:fill="FFFFFF"/>
        </w:rPr>
        <w:t>20 CFR 680.900(j)</w:t>
      </w:r>
    </w:p>
  </w:footnote>
  <w:footnote w:id="20">
    <w:p w14:paraId="1D459AD0" w14:textId="7883BDD7" w:rsidR="00BE7E18" w:rsidRPr="00124869" w:rsidRDefault="00BE7E18">
      <w:pPr>
        <w:pStyle w:val="FootnoteText"/>
      </w:pPr>
      <w:r w:rsidRPr="00124869">
        <w:rPr>
          <w:rStyle w:val="FootnoteReference"/>
        </w:rPr>
        <w:footnoteRef/>
      </w:r>
      <w:r w:rsidRPr="00124869">
        <w:t xml:space="preserve"> </w:t>
      </w:r>
      <w:r w:rsidR="000B0A78" w:rsidRPr="00124869">
        <w:t xml:space="preserve">MN </w:t>
      </w:r>
      <w:r w:rsidRPr="00124869">
        <w:rPr>
          <w:rFonts w:cstheme="minorHAnsi"/>
        </w:rPr>
        <w:t>State Statute 116L.17 (4)(2)</w:t>
      </w:r>
    </w:p>
  </w:footnote>
  <w:footnote w:id="21">
    <w:p w14:paraId="1D29572F" w14:textId="1A3E43D1" w:rsidR="00F1010A" w:rsidRPr="00124869" w:rsidRDefault="00F1010A">
      <w:pPr>
        <w:pStyle w:val="FootnoteText"/>
      </w:pPr>
      <w:r w:rsidRPr="00124869">
        <w:rPr>
          <w:rStyle w:val="FootnoteReference"/>
        </w:rPr>
        <w:footnoteRef/>
      </w:r>
      <w:r w:rsidRPr="00124869">
        <w:t xml:space="preserve"> </w:t>
      </w:r>
      <w:r w:rsidRPr="00124869">
        <w:rPr>
          <w:rFonts w:cstheme="minorHAnsi"/>
          <w:shd w:val="clear" w:color="auto" w:fill="FFFFFF"/>
        </w:rPr>
        <w:t>20 CFR 680.900(l)</w:t>
      </w:r>
    </w:p>
  </w:footnote>
  <w:footnote w:id="22">
    <w:p w14:paraId="5D95C584" w14:textId="41780E34" w:rsidR="00F1010A" w:rsidRPr="00124869" w:rsidRDefault="00F1010A">
      <w:pPr>
        <w:pStyle w:val="FootnoteText"/>
      </w:pPr>
      <w:r w:rsidRPr="00124869">
        <w:rPr>
          <w:rStyle w:val="FootnoteReference"/>
        </w:rPr>
        <w:footnoteRef/>
      </w:r>
      <w:r w:rsidRPr="00124869">
        <w:t xml:space="preserve"> </w:t>
      </w:r>
      <w:r w:rsidRPr="00124869">
        <w:rPr>
          <w:rFonts w:cstheme="minorHAnsi"/>
          <w:shd w:val="clear" w:color="auto" w:fill="FFFFFF"/>
        </w:rPr>
        <w:t>20 CFR 680.900(f)</w:t>
      </w:r>
    </w:p>
  </w:footnote>
  <w:footnote w:id="23">
    <w:p w14:paraId="74CDD3AC" w14:textId="578D1A2E" w:rsidR="00F1010A" w:rsidRPr="00124869" w:rsidRDefault="00F1010A">
      <w:pPr>
        <w:pStyle w:val="FootnoteText"/>
      </w:pPr>
      <w:r w:rsidRPr="00124869">
        <w:rPr>
          <w:rStyle w:val="FootnoteReference"/>
        </w:rPr>
        <w:footnoteRef/>
      </w:r>
      <w:r w:rsidRPr="00124869">
        <w:t xml:space="preserve"> </w:t>
      </w:r>
      <w:r w:rsidRPr="00124869">
        <w:rPr>
          <w:rFonts w:cstheme="minorHAnsi"/>
          <w:shd w:val="clear" w:color="auto" w:fill="FFFFFF"/>
        </w:rPr>
        <w:t>20 CFR 680.900(k)</w:t>
      </w:r>
    </w:p>
  </w:footnote>
  <w:footnote w:id="24">
    <w:p w14:paraId="4C14C6D3" w14:textId="3EB170F9" w:rsidR="00F1010A" w:rsidRPr="00124869" w:rsidRDefault="00F1010A">
      <w:pPr>
        <w:pStyle w:val="FootnoteText"/>
      </w:pPr>
      <w:r w:rsidRPr="00124869">
        <w:rPr>
          <w:rStyle w:val="FootnoteReference"/>
        </w:rPr>
        <w:footnoteRef/>
      </w:r>
      <w:r w:rsidRPr="00124869">
        <w:t xml:space="preserve"> </w:t>
      </w:r>
      <w:r w:rsidRPr="00124869">
        <w:rPr>
          <w:rFonts w:cstheme="minorHAnsi"/>
          <w:shd w:val="clear" w:color="auto" w:fill="FFFFFF"/>
        </w:rPr>
        <w:t>20 CFR 680.900(a)</w:t>
      </w:r>
    </w:p>
  </w:footnote>
  <w:footnote w:id="25">
    <w:p w14:paraId="0455A756" w14:textId="5B995E91" w:rsidR="00F1010A" w:rsidRPr="00124869" w:rsidRDefault="00F1010A">
      <w:pPr>
        <w:pStyle w:val="FootnoteText"/>
      </w:pPr>
      <w:r w:rsidRPr="00124869">
        <w:rPr>
          <w:rStyle w:val="FootnoteReference"/>
        </w:rPr>
        <w:footnoteRef/>
      </w:r>
      <w:r w:rsidRPr="00124869">
        <w:t xml:space="preserve"> </w:t>
      </w:r>
      <w:r w:rsidRPr="00124869">
        <w:rPr>
          <w:rFonts w:cstheme="minorHAnsi"/>
          <w:shd w:val="clear" w:color="auto" w:fill="FFFFFF"/>
        </w:rPr>
        <w:t>20 CFR 680.900(g)</w:t>
      </w:r>
    </w:p>
  </w:footnote>
  <w:footnote w:id="26">
    <w:p w14:paraId="53BBCC47" w14:textId="77777777" w:rsidR="00D63086" w:rsidRPr="00124869" w:rsidRDefault="00D63086" w:rsidP="00D63086">
      <w:pPr>
        <w:pStyle w:val="FootnoteText"/>
        <w:rPr>
          <w:rFonts w:cstheme="minorHAnsi"/>
        </w:rPr>
      </w:pPr>
      <w:r w:rsidRPr="00124869">
        <w:rPr>
          <w:rStyle w:val="FootnoteReference"/>
          <w:rFonts w:cstheme="minorHAnsi"/>
        </w:rPr>
        <w:footnoteRef/>
      </w:r>
      <w:r w:rsidRPr="00124869">
        <w:rPr>
          <w:rFonts w:cstheme="minorHAnsi"/>
        </w:rPr>
        <w:t xml:space="preserve"> TEN 12-21, Attachment I (Page Three)</w:t>
      </w:r>
    </w:p>
  </w:footnote>
  <w:footnote w:id="27">
    <w:p w14:paraId="669896EF" w14:textId="77777777" w:rsidR="00D63086" w:rsidRDefault="00D63086" w:rsidP="00D63086">
      <w:pPr>
        <w:pStyle w:val="EndnoteText"/>
      </w:pPr>
      <w:r w:rsidRPr="00124869">
        <w:rPr>
          <w:rStyle w:val="FootnoteReference"/>
          <w:rFonts w:cstheme="minorHAnsi"/>
        </w:rPr>
        <w:footnoteRef/>
      </w:r>
      <w:r w:rsidRPr="00124869">
        <w:rPr>
          <w:rFonts w:cstheme="minorHAnsi"/>
        </w:rPr>
        <w:t xml:space="preserve"> TEGL 18-16 Change I, Attachment I (Pages Nine and Ten)</w:t>
      </w:r>
    </w:p>
  </w:footnote>
  <w:footnote w:id="28">
    <w:p w14:paraId="652C73F9" w14:textId="043FA090" w:rsidR="00BF13CC" w:rsidRDefault="00BF13C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F13CC">
        <w:t>20 CFR 680.930</w:t>
      </w:r>
    </w:p>
  </w:footnote>
  <w:footnote w:id="29">
    <w:p w14:paraId="20BC38F5" w14:textId="78B5999B" w:rsidR="0003630D" w:rsidRDefault="0003630D">
      <w:pPr>
        <w:pStyle w:val="FootnoteText"/>
      </w:pPr>
      <w:r>
        <w:rPr>
          <w:rStyle w:val="FootnoteReference"/>
        </w:rPr>
        <w:footnoteRef/>
      </w:r>
      <w:r>
        <w:t xml:space="preserve"> TEGL 19-16 </w:t>
      </w:r>
      <w:r w:rsidR="00DF0023">
        <w:t>(Page 19)</w:t>
      </w:r>
    </w:p>
  </w:footnote>
  <w:footnote w:id="30">
    <w:p w14:paraId="04A76447" w14:textId="77777777" w:rsidR="00867E3D" w:rsidRDefault="00867E3D" w:rsidP="00867E3D">
      <w:pPr>
        <w:pStyle w:val="FootnoteText"/>
      </w:pPr>
      <w:r>
        <w:rPr>
          <w:rStyle w:val="FootnoteReference"/>
        </w:rPr>
        <w:footnoteRef/>
      </w:r>
      <w:r>
        <w:t xml:space="preserve"> TEGL 19-16 (Page 19)</w:t>
      </w:r>
    </w:p>
  </w:footnote>
  <w:footnote w:id="31">
    <w:p w14:paraId="2F4D20F2" w14:textId="2D42FE3B" w:rsidR="00D72E44" w:rsidRDefault="00D72E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25C86">
        <w:t xml:space="preserve">WIOA Sec. 134 and </w:t>
      </w:r>
      <w:r w:rsidRPr="00D72E44">
        <w:t>20 CFR 678.430(c)</w:t>
      </w:r>
    </w:p>
  </w:footnote>
  <w:footnote w:id="32">
    <w:p w14:paraId="5F82A071" w14:textId="255936DF" w:rsidR="00C82374" w:rsidRDefault="00C823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40336">
        <w:rPr>
          <w:rFonts w:cstheme="minorHAnsi"/>
          <w:shd w:val="clear" w:color="auto" w:fill="FFFFFF"/>
        </w:rPr>
        <w:t>20 CFR 678.430(c)</w:t>
      </w:r>
    </w:p>
  </w:footnote>
  <w:footnote w:id="33">
    <w:p w14:paraId="5F081630" w14:textId="46EB9F0B" w:rsidR="00D66AF4" w:rsidRDefault="00D66AF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51697">
        <w:t>TEGL 10-16, Change 3 (Page 31)</w:t>
      </w:r>
    </w:p>
  </w:footnote>
  <w:footnote w:id="34">
    <w:p w14:paraId="52C064D3" w14:textId="037761D2" w:rsidR="0065081B" w:rsidRDefault="006508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40336">
        <w:rPr>
          <w:rFonts w:cstheme="minorHAnsi"/>
        </w:rPr>
        <w:t>TEGL 19-16 (Page Three)</w:t>
      </w:r>
    </w:p>
  </w:footnote>
  <w:footnote w:id="35">
    <w:p w14:paraId="4C825AEC" w14:textId="437E13E3" w:rsidR="00407478" w:rsidRDefault="004074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40336">
        <w:rPr>
          <w:rFonts w:cstheme="minorHAnsi"/>
        </w:rPr>
        <w:t>20 CFR 680.910(a)(1)</w:t>
      </w:r>
      <w:r>
        <w:rPr>
          <w:rFonts w:cstheme="minorHAnsi"/>
        </w:rPr>
        <w:t xml:space="preserve"> and TEGL </w:t>
      </w:r>
      <w:r w:rsidR="003D6301">
        <w:rPr>
          <w:rFonts w:cstheme="minorHAnsi"/>
        </w:rPr>
        <w:t>19-16 (Page 19)</w:t>
      </w:r>
    </w:p>
  </w:footnote>
  <w:footnote w:id="36">
    <w:p w14:paraId="2FC2B2CB" w14:textId="189D40D1" w:rsidR="00BE6C53" w:rsidRDefault="00BE6C5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40336">
        <w:rPr>
          <w:rFonts w:cstheme="minorHAnsi"/>
        </w:rPr>
        <w:t>20 CFR 680.910(a)(1)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D697" w14:textId="5490ECCC" w:rsidR="00FD53FB" w:rsidRDefault="00FD53FB" w:rsidP="00610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031A" w14:textId="1BDF7C64" w:rsidR="00A744F1" w:rsidRDefault="00A744F1">
    <w:pPr>
      <w:pStyle w:val="Header"/>
    </w:pPr>
    <w:r>
      <w:rPr>
        <w:rStyle w:val="CommentSubjectCha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65408" behindDoc="1" locked="0" layoutInCell="1" allowOverlap="1" wp14:anchorId="1F5197D0" wp14:editId="1654A639">
          <wp:simplePos x="0" y="0"/>
          <wp:positionH relativeFrom="margin">
            <wp:align>center</wp:align>
          </wp:positionH>
          <wp:positionV relativeFrom="paragraph">
            <wp:posOffset>-215900</wp:posOffset>
          </wp:positionV>
          <wp:extent cx="1074240" cy="355600"/>
          <wp:effectExtent l="0" t="0" r="0" b="6350"/>
          <wp:wrapNone/>
          <wp:docPr id="1045480689" name="Picture 1" descr="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223816" name="Picture 1" descr="Logo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24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498CF5" w14:textId="56D930CA" w:rsidR="00FD53FB" w:rsidRDefault="00FD53FB" w:rsidP="00610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74AC5" w14:textId="56494961" w:rsidR="00FD53FB" w:rsidRDefault="00FD53FB" w:rsidP="00610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7DDE"/>
    <w:multiLevelType w:val="multilevel"/>
    <w:tmpl w:val="109A5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63D1A"/>
    <w:multiLevelType w:val="multilevel"/>
    <w:tmpl w:val="702A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0234A"/>
    <w:multiLevelType w:val="hybridMultilevel"/>
    <w:tmpl w:val="4380D738"/>
    <w:lvl w:ilvl="0" w:tplc="1A5ECC3A">
      <w:start w:val="20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ABD2C89"/>
    <w:multiLevelType w:val="multilevel"/>
    <w:tmpl w:val="75D6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566D89"/>
    <w:multiLevelType w:val="hybridMultilevel"/>
    <w:tmpl w:val="5A40D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30553"/>
    <w:multiLevelType w:val="hybridMultilevel"/>
    <w:tmpl w:val="318E6B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6A2786"/>
    <w:multiLevelType w:val="hybridMultilevel"/>
    <w:tmpl w:val="E6F4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C789A"/>
    <w:multiLevelType w:val="multilevel"/>
    <w:tmpl w:val="702A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D91336"/>
    <w:multiLevelType w:val="multilevel"/>
    <w:tmpl w:val="6654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8A2CBE"/>
    <w:multiLevelType w:val="multilevel"/>
    <w:tmpl w:val="702A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32CBE"/>
    <w:multiLevelType w:val="hybridMultilevel"/>
    <w:tmpl w:val="BCF2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255B2"/>
    <w:multiLevelType w:val="hybridMultilevel"/>
    <w:tmpl w:val="A67A2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B7B08"/>
    <w:multiLevelType w:val="hybridMultilevel"/>
    <w:tmpl w:val="65C4A9D2"/>
    <w:lvl w:ilvl="0" w:tplc="1A5ECC3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8778A"/>
    <w:multiLevelType w:val="multilevel"/>
    <w:tmpl w:val="702A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EC3D7A"/>
    <w:multiLevelType w:val="hybridMultilevel"/>
    <w:tmpl w:val="02BE9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E1F15"/>
    <w:multiLevelType w:val="multilevel"/>
    <w:tmpl w:val="702A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E005AA"/>
    <w:multiLevelType w:val="multilevel"/>
    <w:tmpl w:val="702A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527E53"/>
    <w:multiLevelType w:val="hybridMultilevel"/>
    <w:tmpl w:val="8A00B8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202CF"/>
    <w:multiLevelType w:val="multilevel"/>
    <w:tmpl w:val="FE9E8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03190F"/>
    <w:multiLevelType w:val="multilevel"/>
    <w:tmpl w:val="F692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7828FD"/>
    <w:multiLevelType w:val="hybridMultilevel"/>
    <w:tmpl w:val="C8621346"/>
    <w:lvl w:ilvl="0" w:tplc="D36A3B9A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750B7"/>
    <w:multiLevelType w:val="hybridMultilevel"/>
    <w:tmpl w:val="53600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2747F"/>
    <w:multiLevelType w:val="multilevel"/>
    <w:tmpl w:val="06901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800301"/>
    <w:multiLevelType w:val="hybridMultilevel"/>
    <w:tmpl w:val="B4140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154A8"/>
    <w:multiLevelType w:val="hybridMultilevel"/>
    <w:tmpl w:val="CA26A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E0D36"/>
    <w:multiLevelType w:val="hybridMultilevel"/>
    <w:tmpl w:val="19507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8661B4"/>
    <w:multiLevelType w:val="hybridMultilevel"/>
    <w:tmpl w:val="10C00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24F9F"/>
    <w:multiLevelType w:val="multilevel"/>
    <w:tmpl w:val="875C74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B835BE"/>
    <w:multiLevelType w:val="multilevel"/>
    <w:tmpl w:val="FBF0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401788"/>
    <w:multiLevelType w:val="multilevel"/>
    <w:tmpl w:val="702A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2B4F8D"/>
    <w:multiLevelType w:val="multilevel"/>
    <w:tmpl w:val="128262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9C3500"/>
    <w:multiLevelType w:val="hybridMultilevel"/>
    <w:tmpl w:val="E2EA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07B50"/>
    <w:multiLevelType w:val="hybridMultilevel"/>
    <w:tmpl w:val="8E166BFA"/>
    <w:lvl w:ilvl="0" w:tplc="D9F87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C15AF"/>
    <w:multiLevelType w:val="multilevel"/>
    <w:tmpl w:val="2B38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284677"/>
    <w:multiLevelType w:val="hybridMultilevel"/>
    <w:tmpl w:val="F2A08C7C"/>
    <w:lvl w:ilvl="0" w:tplc="FFBECA18">
      <w:start w:val="1"/>
      <w:numFmt w:val="decimal"/>
      <w:lvlText w:val="%1)"/>
      <w:lvlJc w:val="left"/>
      <w:pPr>
        <w:ind w:left="1020" w:hanging="360"/>
      </w:pPr>
    </w:lvl>
    <w:lvl w:ilvl="1" w:tplc="ADA41950">
      <w:start w:val="1"/>
      <w:numFmt w:val="decimal"/>
      <w:lvlText w:val="%2)"/>
      <w:lvlJc w:val="left"/>
      <w:pPr>
        <w:ind w:left="1020" w:hanging="360"/>
      </w:pPr>
    </w:lvl>
    <w:lvl w:ilvl="2" w:tplc="7F2ADECA">
      <w:start w:val="1"/>
      <w:numFmt w:val="decimal"/>
      <w:lvlText w:val="%3)"/>
      <w:lvlJc w:val="left"/>
      <w:pPr>
        <w:ind w:left="1020" w:hanging="360"/>
      </w:pPr>
    </w:lvl>
    <w:lvl w:ilvl="3" w:tplc="7160CA28">
      <w:start w:val="1"/>
      <w:numFmt w:val="decimal"/>
      <w:lvlText w:val="%4)"/>
      <w:lvlJc w:val="left"/>
      <w:pPr>
        <w:ind w:left="1020" w:hanging="360"/>
      </w:pPr>
    </w:lvl>
    <w:lvl w:ilvl="4" w:tplc="F8241998">
      <w:start w:val="1"/>
      <w:numFmt w:val="decimal"/>
      <w:lvlText w:val="%5)"/>
      <w:lvlJc w:val="left"/>
      <w:pPr>
        <w:ind w:left="1020" w:hanging="360"/>
      </w:pPr>
    </w:lvl>
    <w:lvl w:ilvl="5" w:tplc="4EA6B402">
      <w:start w:val="1"/>
      <w:numFmt w:val="decimal"/>
      <w:lvlText w:val="%6)"/>
      <w:lvlJc w:val="left"/>
      <w:pPr>
        <w:ind w:left="1020" w:hanging="360"/>
      </w:pPr>
    </w:lvl>
    <w:lvl w:ilvl="6" w:tplc="3C76EF70">
      <w:start w:val="1"/>
      <w:numFmt w:val="decimal"/>
      <w:lvlText w:val="%7)"/>
      <w:lvlJc w:val="left"/>
      <w:pPr>
        <w:ind w:left="1020" w:hanging="360"/>
      </w:pPr>
    </w:lvl>
    <w:lvl w:ilvl="7" w:tplc="4A749DE6">
      <w:start w:val="1"/>
      <w:numFmt w:val="decimal"/>
      <w:lvlText w:val="%8)"/>
      <w:lvlJc w:val="left"/>
      <w:pPr>
        <w:ind w:left="1020" w:hanging="360"/>
      </w:pPr>
    </w:lvl>
    <w:lvl w:ilvl="8" w:tplc="2E969E00">
      <w:start w:val="1"/>
      <w:numFmt w:val="decimal"/>
      <w:lvlText w:val="%9)"/>
      <w:lvlJc w:val="left"/>
      <w:pPr>
        <w:ind w:left="1020" w:hanging="360"/>
      </w:pPr>
    </w:lvl>
  </w:abstractNum>
  <w:abstractNum w:abstractNumId="35" w15:restartNumberingAfterBreak="0">
    <w:nsid w:val="5DB65AE2"/>
    <w:multiLevelType w:val="multilevel"/>
    <w:tmpl w:val="702A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1D73CB"/>
    <w:multiLevelType w:val="multilevel"/>
    <w:tmpl w:val="F048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6478E2"/>
    <w:multiLevelType w:val="multilevel"/>
    <w:tmpl w:val="AF9E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E2697E"/>
    <w:multiLevelType w:val="hybridMultilevel"/>
    <w:tmpl w:val="B65ED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7B68B4"/>
    <w:multiLevelType w:val="hybridMultilevel"/>
    <w:tmpl w:val="309C2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22A93"/>
    <w:multiLevelType w:val="hybridMultilevel"/>
    <w:tmpl w:val="27D8DE38"/>
    <w:lvl w:ilvl="0" w:tplc="D36A3B9A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A1675A"/>
    <w:multiLevelType w:val="multilevel"/>
    <w:tmpl w:val="7D58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0B72A2"/>
    <w:multiLevelType w:val="multilevel"/>
    <w:tmpl w:val="DD80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DD176F"/>
    <w:multiLevelType w:val="hybridMultilevel"/>
    <w:tmpl w:val="8A00B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07E78"/>
    <w:multiLevelType w:val="hybridMultilevel"/>
    <w:tmpl w:val="598CC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52021"/>
    <w:multiLevelType w:val="hybridMultilevel"/>
    <w:tmpl w:val="9A2A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BE0A72"/>
    <w:multiLevelType w:val="hybridMultilevel"/>
    <w:tmpl w:val="C06C9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A7FE2"/>
    <w:multiLevelType w:val="hybridMultilevel"/>
    <w:tmpl w:val="BA0A9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848350">
    <w:abstractNumId w:val="18"/>
  </w:num>
  <w:num w:numId="2" w16cid:durableId="931398089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2064940153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980845162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2015836080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077289372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15687318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985665482">
    <w:abstractNumId w:val="27"/>
  </w:num>
  <w:num w:numId="9" w16cid:durableId="267854435">
    <w:abstractNumId w:val="41"/>
  </w:num>
  <w:num w:numId="10" w16cid:durableId="137457596">
    <w:abstractNumId w:val="36"/>
  </w:num>
  <w:num w:numId="11" w16cid:durableId="30814143">
    <w:abstractNumId w:val="33"/>
  </w:num>
  <w:num w:numId="12" w16cid:durableId="180319782">
    <w:abstractNumId w:val="37"/>
  </w:num>
  <w:num w:numId="13" w16cid:durableId="59641658">
    <w:abstractNumId w:val="42"/>
  </w:num>
  <w:num w:numId="14" w16cid:durableId="1381400255">
    <w:abstractNumId w:val="28"/>
  </w:num>
  <w:num w:numId="15" w16cid:durableId="628978073">
    <w:abstractNumId w:val="19"/>
  </w:num>
  <w:num w:numId="16" w16cid:durableId="653879340">
    <w:abstractNumId w:val="22"/>
  </w:num>
  <w:num w:numId="17" w16cid:durableId="573391276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819762947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2093621016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654259716">
    <w:abstractNumId w:val="8"/>
  </w:num>
  <w:num w:numId="21" w16cid:durableId="1950358095">
    <w:abstractNumId w:val="43"/>
  </w:num>
  <w:num w:numId="22" w16cid:durableId="583074051">
    <w:abstractNumId w:val="31"/>
  </w:num>
  <w:num w:numId="23" w16cid:durableId="1544294948">
    <w:abstractNumId w:val="44"/>
  </w:num>
  <w:num w:numId="24" w16cid:durableId="1855999081">
    <w:abstractNumId w:val="11"/>
  </w:num>
  <w:num w:numId="25" w16cid:durableId="1044141005">
    <w:abstractNumId w:val="10"/>
  </w:num>
  <w:num w:numId="26" w16cid:durableId="2081101928">
    <w:abstractNumId w:val="46"/>
  </w:num>
  <w:num w:numId="27" w16cid:durableId="1760756580">
    <w:abstractNumId w:val="23"/>
  </w:num>
  <w:num w:numId="28" w16cid:durableId="183906891">
    <w:abstractNumId w:val="6"/>
  </w:num>
  <w:num w:numId="29" w16cid:durableId="955016699">
    <w:abstractNumId w:val="2"/>
  </w:num>
  <w:num w:numId="30" w16cid:durableId="1057631706">
    <w:abstractNumId w:val="12"/>
  </w:num>
  <w:num w:numId="31" w16cid:durableId="1105079441">
    <w:abstractNumId w:val="45"/>
  </w:num>
  <w:num w:numId="32" w16cid:durableId="88087295">
    <w:abstractNumId w:val="38"/>
  </w:num>
  <w:num w:numId="33" w16cid:durableId="552888755">
    <w:abstractNumId w:val="20"/>
  </w:num>
  <w:num w:numId="34" w16cid:durableId="1622343752">
    <w:abstractNumId w:val="40"/>
  </w:num>
  <w:num w:numId="35" w16cid:durableId="1699116165">
    <w:abstractNumId w:val="32"/>
  </w:num>
  <w:num w:numId="36" w16cid:durableId="1794130269">
    <w:abstractNumId w:val="25"/>
  </w:num>
  <w:num w:numId="37" w16cid:durableId="2034308411">
    <w:abstractNumId w:val="21"/>
  </w:num>
  <w:num w:numId="38" w16cid:durableId="1084953867">
    <w:abstractNumId w:val="39"/>
  </w:num>
  <w:num w:numId="39" w16cid:durableId="2115007491">
    <w:abstractNumId w:val="17"/>
  </w:num>
  <w:num w:numId="40" w16cid:durableId="1705204959">
    <w:abstractNumId w:val="4"/>
  </w:num>
  <w:num w:numId="41" w16cid:durableId="1094741387">
    <w:abstractNumId w:val="24"/>
  </w:num>
  <w:num w:numId="42" w16cid:durableId="1216892766">
    <w:abstractNumId w:val="47"/>
  </w:num>
  <w:num w:numId="43" w16cid:durableId="744298420">
    <w:abstractNumId w:val="5"/>
  </w:num>
  <w:num w:numId="44" w16cid:durableId="122120526">
    <w:abstractNumId w:val="14"/>
  </w:num>
  <w:num w:numId="45" w16cid:durableId="734664045">
    <w:abstractNumId w:val="3"/>
  </w:num>
  <w:num w:numId="46" w16cid:durableId="69573605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7" w16cid:durableId="117233349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8" w16cid:durableId="138467423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9" w16cid:durableId="1390348936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0" w16cid:durableId="1483503039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1" w16cid:durableId="1258320311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2" w16cid:durableId="337267390">
    <w:abstractNumId w:val="30"/>
  </w:num>
  <w:num w:numId="53" w16cid:durableId="1294019468">
    <w:abstractNumId w:val="13"/>
  </w:num>
  <w:num w:numId="54" w16cid:durableId="1705326983">
    <w:abstractNumId w:val="35"/>
  </w:num>
  <w:num w:numId="55" w16cid:durableId="1738016281">
    <w:abstractNumId w:val="16"/>
  </w:num>
  <w:num w:numId="56" w16cid:durableId="97215262">
    <w:abstractNumId w:val="7"/>
  </w:num>
  <w:num w:numId="57" w16cid:durableId="625546413">
    <w:abstractNumId w:val="15"/>
  </w:num>
  <w:num w:numId="58" w16cid:durableId="2139294631">
    <w:abstractNumId w:val="29"/>
  </w:num>
  <w:num w:numId="59" w16cid:durableId="533494328">
    <w:abstractNumId w:val="9"/>
  </w:num>
  <w:num w:numId="60" w16cid:durableId="597912221">
    <w:abstractNumId w:val="0"/>
  </w:num>
  <w:num w:numId="61" w16cid:durableId="168100766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2" w16cid:durableId="19438752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3" w16cid:durableId="11364200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4" w16cid:durableId="1519198834">
    <w:abstractNumId w:val="1"/>
  </w:num>
  <w:num w:numId="65" w16cid:durableId="119150212">
    <w:abstractNumId w:val="34"/>
  </w:num>
  <w:num w:numId="66" w16cid:durableId="1349259846">
    <w:abstractNumId w:val="2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F1"/>
    <w:rsid w:val="000011B5"/>
    <w:rsid w:val="000024F1"/>
    <w:rsid w:val="00005A31"/>
    <w:rsid w:val="00007A20"/>
    <w:rsid w:val="0001364A"/>
    <w:rsid w:val="00013F12"/>
    <w:rsid w:val="00027F29"/>
    <w:rsid w:val="00033AC5"/>
    <w:rsid w:val="00034325"/>
    <w:rsid w:val="00034E63"/>
    <w:rsid w:val="0003630D"/>
    <w:rsid w:val="00043867"/>
    <w:rsid w:val="00043FF0"/>
    <w:rsid w:val="00045FC2"/>
    <w:rsid w:val="00050511"/>
    <w:rsid w:val="0005514C"/>
    <w:rsid w:val="000566C7"/>
    <w:rsid w:val="00056F5D"/>
    <w:rsid w:val="00057C0B"/>
    <w:rsid w:val="00061741"/>
    <w:rsid w:val="00066456"/>
    <w:rsid w:val="0006674B"/>
    <w:rsid w:val="00066E60"/>
    <w:rsid w:val="000745BC"/>
    <w:rsid w:val="000767F8"/>
    <w:rsid w:val="00081E1B"/>
    <w:rsid w:val="00086228"/>
    <w:rsid w:val="000969F1"/>
    <w:rsid w:val="00097F30"/>
    <w:rsid w:val="000A0A2F"/>
    <w:rsid w:val="000A16DF"/>
    <w:rsid w:val="000A4D69"/>
    <w:rsid w:val="000B0A78"/>
    <w:rsid w:val="000B1B9A"/>
    <w:rsid w:val="000B45C6"/>
    <w:rsid w:val="000C3859"/>
    <w:rsid w:val="000C6547"/>
    <w:rsid w:val="000E14E6"/>
    <w:rsid w:val="000F4212"/>
    <w:rsid w:val="000F5961"/>
    <w:rsid w:val="000F6FA5"/>
    <w:rsid w:val="000F7837"/>
    <w:rsid w:val="000F7B16"/>
    <w:rsid w:val="001002E1"/>
    <w:rsid w:val="001052C0"/>
    <w:rsid w:val="00105562"/>
    <w:rsid w:val="001072C4"/>
    <w:rsid w:val="00114100"/>
    <w:rsid w:val="00120831"/>
    <w:rsid w:val="0012458B"/>
    <w:rsid w:val="00124869"/>
    <w:rsid w:val="00130E09"/>
    <w:rsid w:val="001313B6"/>
    <w:rsid w:val="00134DB7"/>
    <w:rsid w:val="00136AD8"/>
    <w:rsid w:val="0013776C"/>
    <w:rsid w:val="00144F57"/>
    <w:rsid w:val="00146C41"/>
    <w:rsid w:val="00152E8F"/>
    <w:rsid w:val="00173877"/>
    <w:rsid w:val="00173C80"/>
    <w:rsid w:val="001861FC"/>
    <w:rsid w:val="0018774F"/>
    <w:rsid w:val="00193400"/>
    <w:rsid w:val="0019403B"/>
    <w:rsid w:val="0019410C"/>
    <w:rsid w:val="001A1082"/>
    <w:rsid w:val="001A6A01"/>
    <w:rsid w:val="001B5835"/>
    <w:rsid w:val="001C05D5"/>
    <w:rsid w:val="001C05D9"/>
    <w:rsid w:val="001C3767"/>
    <w:rsid w:val="001D36AA"/>
    <w:rsid w:val="001D5393"/>
    <w:rsid w:val="001D6F7C"/>
    <w:rsid w:val="001E04F8"/>
    <w:rsid w:val="001E66D1"/>
    <w:rsid w:val="001F37E3"/>
    <w:rsid w:val="001F66E3"/>
    <w:rsid w:val="0020302B"/>
    <w:rsid w:val="002065CD"/>
    <w:rsid w:val="00210727"/>
    <w:rsid w:val="002148C7"/>
    <w:rsid w:val="002154F1"/>
    <w:rsid w:val="002213BE"/>
    <w:rsid w:val="00235817"/>
    <w:rsid w:val="002400A0"/>
    <w:rsid w:val="002471D1"/>
    <w:rsid w:val="00251A61"/>
    <w:rsid w:val="002640DC"/>
    <w:rsid w:val="00272020"/>
    <w:rsid w:val="002729F3"/>
    <w:rsid w:val="00280CEE"/>
    <w:rsid w:val="00281487"/>
    <w:rsid w:val="0029370B"/>
    <w:rsid w:val="002976D2"/>
    <w:rsid w:val="002B096B"/>
    <w:rsid w:val="002B7214"/>
    <w:rsid w:val="002C6AAB"/>
    <w:rsid w:val="002D0BCF"/>
    <w:rsid w:val="002D3240"/>
    <w:rsid w:val="002E27DF"/>
    <w:rsid w:val="002F3539"/>
    <w:rsid w:val="002F3691"/>
    <w:rsid w:val="002F6816"/>
    <w:rsid w:val="00301A38"/>
    <w:rsid w:val="00301F0D"/>
    <w:rsid w:val="00302ACD"/>
    <w:rsid w:val="0030559C"/>
    <w:rsid w:val="00305F4F"/>
    <w:rsid w:val="0031310C"/>
    <w:rsid w:val="00315D5C"/>
    <w:rsid w:val="003244E4"/>
    <w:rsid w:val="0033511D"/>
    <w:rsid w:val="00336E1E"/>
    <w:rsid w:val="003370C8"/>
    <w:rsid w:val="00341A89"/>
    <w:rsid w:val="00347FFC"/>
    <w:rsid w:val="00357816"/>
    <w:rsid w:val="00374940"/>
    <w:rsid w:val="003779BC"/>
    <w:rsid w:val="003816C8"/>
    <w:rsid w:val="003823AD"/>
    <w:rsid w:val="00393598"/>
    <w:rsid w:val="003A1746"/>
    <w:rsid w:val="003A6E29"/>
    <w:rsid w:val="003B5FC4"/>
    <w:rsid w:val="003C6D74"/>
    <w:rsid w:val="003D43F6"/>
    <w:rsid w:val="003D6301"/>
    <w:rsid w:val="003E1B9F"/>
    <w:rsid w:val="003E641A"/>
    <w:rsid w:val="003E7026"/>
    <w:rsid w:val="00406513"/>
    <w:rsid w:val="00407478"/>
    <w:rsid w:val="004117CA"/>
    <w:rsid w:val="00411C5A"/>
    <w:rsid w:val="00415C99"/>
    <w:rsid w:val="004161B6"/>
    <w:rsid w:val="004164FB"/>
    <w:rsid w:val="004234F9"/>
    <w:rsid w:val="0042768F"/>
    <w:rsid w:val="00433911"/>
    <w:rsid w:val="00433B7C"/>
    <w:rsid w:val="004346AD"/>
    <w:rsid w:val="00444432"/>
    <w:rsid w:val="004453CA"/>
    <w:rsid w:val="004474AF"/>
    <w:rsid w:val="00451697"/>
    <w:rsid w:val="00464C51"/>
    <w:rsid w:val="00467E15"/>
    <w:rsid w:val="004702CC"/>
    <w:rsid w:val="004820EA"/>
    <w:rsid w:val="00490A82"/>
    <w:rsid w:val="00492A75"/>
    <w:rsid w:val="00494C38"/>
    <w:rsid w:val="0049698F"/>
    <w:rsid w:val="004B0F81"/>
    <w:rsid w:val="004B3BAB"/>
    <w:rsid w:val="004C4898"/>
    <w:rsid w:val="004D0BE4"/>
    <w:rsid w:val="004D465E"/>
    <w:rsid w:val="004E36F6"/>
    <w:rsid w:val="004E5383"/>
    <w:rsid w:val="004F2C52"/>
    <w:rsid w:val="00500ACF"/>
    <w:rsid w:val="00502462"/>
    <w:rsid w:val="00503031"/>
    <w:rsid w:val="00504850"/>
    <w:rsid w:val="00505D0F"/>
    <w:rsid w:val="00527945"/>
    <w:rsid w:val="005366DF"/>
    <w:rsid w:val="005375F8"/>
    <w:rsid w:val="00543D11"/>
    <w:rsid w:val="00550098"/>
    <w:rsid w:val="005602EA"/>
    <w:rsid w:val="00561A47"/>
    <w:rsid w:val="005643B8"/>
    <w:rsid w:val="00565B6B"/>
    <w:rsid w:val="00573E87"/>
    <w:rsid w:val="00580628"/>
    <w:rsid w:val="00581000"/>
    <w:rsid w:val="00581358"/>
    <w:rsid w:val="00584FF3"/>
    <w:rsid w:val="0058701A"/>
    <w:rsid w:val="005917F1"/>
    <w:rsid w:val="005965FD"/>
    <w:rsid w:val="005A7A8D"/>
    <w:rsid w:val="005B12FF"/>
    <w:rsid w:val="005B1344"/>
    <w:rsid w:val="005B2D79"/>
    <w:rsid w:val="005E57D7"/>
    <w:rsid w:val="0060130E"/>
    <w:rsid w:val="006028D9"/>
    <w:rsid w:val="0060734E"/>
    <w:rsid w:val="00610A9D"/>
    <w:rsid w:val="00625AA3"/>
    <w:rsid w:val="00631C42"/>
    <w:rsid w:val="00632AEC"/>
    <w:rsid w:val="00632D4D"/>
    <w:rsid w:val="006356CF"/>
    <w:rsid w:val="00640336"/>
    <w:rsid w:val="0064115D"/>
    <w:rsid w:val="00642D61"/>
    <w:rsid w:val="006440C5"/>
    <w:rsid w:val="0065081B"/>
    <w:rsid w:val="00670860"/>
    <w:rsid w:val="00673B4A"/>
    <w:rsid w:val="0068140B"/>
    <w:rsid w:val="00681447"/>
    <w:rsid w:val="00697855"/>
    <w:rsid w:val="006A0E2B"/>
    <w:rsid w:val="006A2BD1"/>
    <w:rsid w:val="006A7793"/>
    <w:rsid w:val="006A7A0A"/>
    <w:rsid w:val="006D2521"/>
    <w:rsid w:val="006D2B56"/>
    <w:rsid w:val="006D72C4"/>
    <w:rsid w:val="006F6351"/>
    <w:rsid w:val="006F6885"/>
    <w:rsid w:val="00702859"/>
    <w:rsid w:val="00711AAA"/>
    <w:rsid w:val="007163E0"/>
    <w:rsid w:val="00717342"/>
    <w:rsid w:val="00723891"/>
    <w:rsid w:val="00726E57"/>
    <w:rsid w:val="00730B9B"/>
    <w:rsid w:val="00732ADB"/>
    <w:rsid w:val="007334B4"/>
    <w:rsid w:val="00735F7D"/>
    <w:rsid w:val="00736940"/>
    <w:rsid w:val="00741294"/>
    <w:rsid w:val="00742124"/>
    <w:rsid w:val="0074490B"/>
    <w:rsid w:val="00745919"/>
    <w:rsid w:val="00746BE2"/>
    <w:rsid w:val="00753E00"/>
    <w:rsid w:val="0077663F"/>
    <w:rsid w:val="007770B7"/>
    <w:rsid w:val="00777CDF"/>
    <w:rsid w:val="007856EE"/>
    <w:rsid w:val="007953A3"/>
    <w:rsid w:val="007A6448"/>
    <w:rsid w:val="007B41B7"/>
    <w:rsid w:val="007B44B0"/>
    <w:rsid w:val="007B67FC"/>
    <w:rsid w:val="007B743A"/>
    <w:rsid w:val="007C233A"/>
    <w:rsid w:val="007C4E09"/>
    <w:rsid w:val="007C5061"/>
    <w:rsid w:val="007E1018"/>
    <w:rsid w:val="007E5273"/>
    <w:rsid w:val="007E61A4"/>
    <w:rsid w:val="007F1679"/>
    <w:rsid w:val="007F4B25"/>
    <w:rsid w:val="00805593"/>
    <w:rsid w:val="00806B9E"/>
    <w:rsid w:val="008130DB"/>
    <w:rsid w:val="00815F5E"/>
    <w:rsid w:val="00820ED5"/>
    <w:rsid w:val="00825EB1"/>
    <w:rsid w:val="008266EA"/>
    <w:rsid w:val="008315BF"/>
    <w:rsid w:val="00832BFE"/>
    <w:rsid w:val="008342DC"/>
    <w:rsid w:val="00841E1A"/>
    <w:rsid w:val="00867E3D"/>
    <w:rsid w:val="008707EE"/>
    <w:rsid w:val="008907E4"/>
    <w:rsid w:val="00893571"/>
    <w:rsid w:val="00893D47"/>
    <w:rsid w:val="008A416F"/>
    <w:rsid w:val="008B67B9"/>
    <w:rsid w:val="008D0A18"/>
    <w:rsid w:val="008D1928"/>
    <w:rsid w:val="008D5738"/>
    <w:rsid w:val="008F08BA"/>
    <w:rsid w:val="008F3335"/>
    <w:rsid w:val="008F59D9"/>
    <w:rsid w:val="009014BE"/>
    <w:rsid w:val="009045CF"/>
    <w:rsid w:val="00905925"/>
    <w:rsid w:val="009154CE"/>
    <w:rsid w:val="009162EE"/>
    <w:rsid w:val="00920BD8"/>
    <w:rsid w:val="00925C86"/>
    <w:rsid w:val="00927275"/>
    <w:rsid w:val="00927C2E"/>
    <w:rsid w:val="00931E84"/>
    <w:rsid w:val="00933845"/>
    <w:rsid w:val="00942F38"/>
    <w:rsid w:val="00962074"/>
    <w:rsid w:val="00963C14"/>
    <w:rsid w:val="00963C27"/>
    <w:rsid w:val="009654E2"/>
    <w:rsid w:val="009712BB"/>
    <w:rsid w:val="00980C57"/>
    <w:rsid w:val="009841C9"/>
    <w:rsid w:val="00990210"/>
    <w:rsid w:val="009960BA"/>
    <w:rsid w:val="0099700A"/>
    <w:rsid w:val="009A275A"/>
    <w:rsid w:val="009B1B26"/>
    <w:rsid w:val="009B3E92"/>
    <w:rsid w:val="009D36BA"/>
    <w:rsid w:val="009D5BF0"/>
    <w:rsid w:val="009D6FAE"/>
    <w:rsid w:val="009E0118"/>
    <w:rsid w:val="009E2F92"/>
    <w:rsid w:val="00A038C3"/>
    <w:rsid w:val="00A06A27"/>
    <w:rsid w:val="00A16BDC"/>
    <w:rsid w:val="00A230DC"/>
    <w:rsid w:val="00A25137"/>
    <w:rsid w:val="00A461F3"/>
    <w:rsid w:val="00A607E8"/>
    <w:rsid w:val="00A744F1"/>
    <w:rsid w:val="00A76FB3"/>
    <w:rsid w:val="00A80A18"/>
    <w:rsid w:val="00A80B44"/>
    <w:rsid w:val="00A835C7"/>
    <w:rsid w:val="00A85A68"/>
    <w:rsid w:val="00A90CF8"/>
    <w:rsid w:val="00A96402"/>
    <w:rsid w:val="00AA3E8F"/>
    <w:rsid w:val="00AB1702"/>
    <w:rsid w:val="00AB3D06"/>
    <w:rsid w:val="00AC1E10"/>
    <w:rsid w:val="00AD07BB"/>
    <w:rsid w:val="00AD63BE"/>
    <w:rsid w:val="00AD6FB4"/>
    <w:rsid w:val="00AE2D59"/>
    <w:rsid w:val="00AE3CF0"/>
    <w:rsid w:val="00AF2D25"/>
    <w:rsid w:val="00B026AB"/>
    <w:rsid w:val="00B04F53"/>
    <w:rsid w:val="00B110D3"/>
    <w:rsid w:val="00B3381C"/>
    <w:rsid w:val="00B36AF0"/>
    <w:rsid w:val="00B4166B"/>
    <w:rsid w:val="00B4611E"/>
    <w:rsid w:val="00B53A22"/>
    <w:rsid w:val="00B57BF9"/>
    <w:rsid w:val="00B629A9"/>
    <w:rsid w:val="00B63EA8"/>
    <w:rsid w:val="00B83D83"/>
    <w:rsid w:val="00B959D9"/>
    <w:rsid w:val="00B9692F"/>
    <w:rsid w:val="00B97615"/>
    <w:rsid w:val="00BA38AE"/>
    <w:rsid w:val="00BA4698"/>
    <w:rsid w:val="00BB0C29"/>
    <w:rsid w:val="00BB5443"/>
    <w:rsid w:val="00BC25C4"/>
    <w:rsid w:val="00BD21B7"/>
    <w:rsid w:val="00BD3FDC"/>
    <w:rsid w:val="00BE3E55"/>
    <w:rsid w:val="00BE5C3E"/>
    <w:rsid w:val="00BE60AF"/>
    <w:rsid w:val="00BE6C53"/>
    <w:rsid w:val="00BE7E18"/>
    <w:rsid w:val="00BF13CC"/>
    <w:rsid w:val="00C04D44"/>
    <w:rsid w:val="00C05B44"/>
    <w:rsid w:val="00C07F20"/>
    <w:rsid w:val="00C1545A"/>
    <w:rsid w:val="00C167DA"/>
    <w:rsid w:val="00C22B48"/>
    <w:rsid w:val="00C3637A"/>
    <w:rsid w:val="00C36D01"/>
    <w:rsid w:val="00C471DF"/>
    <w:rsid w:val="00C51CAA"/>
    <w:rsid w:val="00C53CEA"/>
    <w:rsid w:val="00C6031D"/>
    <w:rsid w:val="00C65512"/>
    <w:rsid w:val="00C666B8"/>
    <w:rsid w:val="00C7105F"/>
    <w:rsid w:val="00C736AF"/>
    <w:rsid w:val="00C73E71"/>
    <w:rsid w:val="00C82374"/>
    <w:rsid w:val="00C85394"/>
    <w:rsid w:val="00CA7D83"/>
    <w:rsid w:val="00CB00DF"/>
    <w:rsid w:val="00CB07A6"/>
    <w:rsid w:val="00CB3F90"/>
    <w:rsid w:val="00CD1DA3"/>
    <w:rsid w:val="00CE2C94"/>
    <w:rsid w:val="00CE6CEC"/>
    <w:rsid w:val="00D00094"/>
    <w:rsid w:val="00D0606A"/>
    <w:rsid w:val="00D06189"/>
    <w:rsid w:val="00D14707"/>
    <w:rsid w:val="00D1715A"/>
    <w:rsid w:val="00D20C2C"/>
    <w:rsid w:val="00D269BB"/>
    <w:rsid w:val="00D27116"/>
    <w:rsid w:val="00D32136"/>
    <w:rsid w:val="00D4222B"/>
    <w:rsid w:val="00D440EA"/>
    <w:rsid w:val="00D4735B"/>
    <w:rsid w:val="00D51244"/>
    <w:rsid w:val="00D54665"/>
    <w:rsid w:val="00D63086"/>
    <w:rsid w:val="00D63A8C"/>
    <w:rsid w:val="00D664E6"/>
    <w:rsid w:val="00D66AF4"/>
    <w:rsid w:val="00D71A59"/>
    <w:rsid w:val="00D71C27"/>
    <w:rsid w:val="00D72E44"/>
    <w:rsid w:val="00D814BC"/>
    <w:rsid w:val="00D84F42"/>
    <w:rsid w:val="00D94FFD"/>
    <w:rsid w:val="00DB5BFF"/>
    <w:rsid w:val="00DB641A"/>
    <w:rsid w:val="00DB7205"/>
    <w:rsid w:val="00DC4680"/>
    <w:rsid w:val="00DC704B"/>
    <w:rsid w:val="00DD0DEA"/>
    <w:rsid w:val="00DD1B60"/>
    <w:rsid w:val="00DE0DBF"/>
    <w:rsid w:val="00DE11AD"/>
    <w:rsid w:val="00DE3AB8"/>
    <w:rsid w:val="00DE5841"/>
    <w:rsid w:val="00DE7A92"/>
    <w:rsid w:val="00DF0023"/>
    <w:rsid w:val="00DF34C1"/>
    <w:rsid w:val="00DF3EA8"/>
    <w:rsid w:val="00DF602C"/>
    <w:rsid w:val="00E03226"/>
    <w:rsid w:val="00E05955"/>
    <w:rsid w:val="00E11FC3"/>
    <w:rsid w:val="00E14D32"/>
    <w:rsid w:val="00E302E6"/>
    <w:rsid w:val="00E31311"/>
    <w:rsid w:val="00E31565"/>
    <w:rsid w:val="00E41F6A"/>
    <w:rsid w:val="00E421CC"/>
    <w:rsid w:val="00E51705"/>
    <w:rsid w:val="00E63605"/>
    <w:rsid w:val="00E76CCB"/>
    <w:rsid w:val="00E8068C"/>
    <w:rsid w:val="00E83B66"/>
    <w:rsid w:val="00E85605"/>
    <w:rsid w:val="00E8709E"/>
    <w:rsid w:val="00E95F5F"/>
    <w:rsid w:val="00EA1821"/>
    <w:rsid w:val="00EA7CA7"/>
    <w:rsid w:val="00EB0462"/>
    <w:rsid w:val="00EB4F1A"/>
    <w:rsid w:val="00EC4A03"/>
    <w:rsid w:val="00EC7529"/>
    <w:rsid w:val="00ED4030"/>
    <w:rsid w:val="00EE35D0"/>
    <w:rsid w:val="00EE4AFB"/>
    <w:rsid w:val="00EF3F5E"/>
    <w:rsid w:val="00EF4287"/>
    <w:rsid w:val="00F01C6D"/>
    <w:rsid w:val="00F1010A"/>
    <w:rsid w:val="00F16AEF"/>
    <w:rsid w:val="00F17C54"/>
    <w:rsid w:val="00F22CCE"/>
    <w:rsid w:val="00F27895"/>
    <w:rsid w:val="00F3734B"/>
    <w:rsid w:val="00F37BF0"/>
    <w:rsid w:val="00F4203E"/>
    <w:rsid w:val="00F46742"/>
    <w:rsid w:val="00F51CAC"/>
    <w:rsid w:val="00F62B91"/>
    <w:rsid w:val="00F65FE8"/>
    <w:rsid w:val="00F7715D"/>
    <w:rsid w:val="00F804CA"/>
    <w:rsid w:val="00F80620"/>
    <w:rsid w:val="00F86791"/>
    <w:rsid w:val="00F945D3"/>
    <w:rsid w:val="00F94C0E"/>
    <w:rsid w:val="00FA5492"/>
    <w:rsid w:val="00FA7028"/>
    <w:rsid w:val="00FB39F3"/>
    <w:rsid w:val="00FC5BB3"/>
    <w:rsid w:val="00FD4456"/>
    <w:rsid w:val="00FD53FB"/>
    <w:rsid w:val="00FE13F9"/>
    <w:rsid w:val="00FF137C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EB368"/>
  <w15:chartTrackingRefBased/>
  <w15:docId w15:val="{8F27412E-7344-4506-AD2C-0A5F9F5E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E36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F37B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6">
    <w:name w:val="heading 6"/>
    <w:basedOn w:val="Normal"/>
    <w:link w:val="Heading6Char"/>
    <w:uiPriority w:val="9"/>
    <w:qFormat/>
    <w:rsid w:val="004E36F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69F1"/>
    <w:pPr>
      <w:spacing w:after="0" w:line="240" w:lineRule="auto"/>
    </w:pPr>
  </w:style>
  <w:style w:type="paragraph" w:customStyle="1" w:styleId="indent-2">
    <w:name w:val="indent-2"/>
    <w:basedOn w:val="Normal"/>
    <w:rsid w:val="0062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aragraph-hierarchy">
    <w:name w:val="paragraph-hierarchy"/>
    <w:basedOn w:val="DefaultParagraphFont"/>
    <w:rsid w:val="00625AA3"/>
  </w:style>
  <w:style w:type="character" w:customStyle="1" w:styleId="paren">
    <w:name w:val="paren"/>
    <w:basedOn w:val="DefaultParagraphFont"/>
    <w:rsid w:val="00625AA3"/>
  </w:style>
  <w:style w:type="character" w:customStyle="1" w:styleId="Heading2Char">
    <w:name w:val="Heading 2 Char"/>
    <w:basedOn w:val="DefaultParagraphFont"/>
    <w:link w:val="Heading2"/>
    <w:uiPriority w:val="9"/>
    <w:rsid w:val="004E36F6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4E36F6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paragraph" w:customStyle="1" w:styleId="indent-1">
    <w:name w:val="indent-1"/>
    <w:basedOn w:val="Normal"/>
    <w:rsid w:val="004E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EndnoteText">
    <w:name w:val="endnote text"/>
    <w:basedOn w:val="Normal"/>
    <w:link w:val="EndnoteTextChar"/>
    <w:uiPriority w:val="99"/>
    <w:unhideWhenUsed/>
    <w:rsid w:val="00AD6FB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D6FB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D6FB4"/>
    <w:rPr>
      <w:vertAlign w:val="superscript"/>
    </w:rPr>
  </w:style>
  <w:style w:type="table" w:styleId="TableGrid">
    <w:name w:val="Table Grid"/>
    <w:basedOn w:val="TableNormal"/>
    <w:uiPriority w:val="39"/>
    <w:rsid w:val="008D5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D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768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960B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A4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46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46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69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5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061"/>
  </w:style>
  <w:style w:type="paragraph" w:styleId="Footer">
    <w:name w:val="footer"/>
    <w:basedOn w:val="Normal"/>
    <w:link w:val="FooterChar"/>
    <w:uiPriority w:val="99"/>
    <w:unhideWhenUsed/>
    <w:rsid w:val="007C5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061"/>
  </w:style>
  <w:style w:type="paragraph" w:styleId="FootnoteText">
    <w:name w:val="footnote text"/>
    <w:basedOn w:val="Normal"/>
    <w:link w:val="FootnoteTextChar"/>
    <w:uiPriority w:val="99"/>
    <w:semiHidden/>
    <w:unhideWhenUsed/>
    <w:rsid w:val="00C823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23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2374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F37BF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abelsmallcap">
    <w:name w:val="labelsmallcap"/>
    <w:basedOn w:val="DefaultParagraphFont"/>
    <w:rsid w:val="00F37BF0"/>
  </w:style>
  <w:style w:type="character" w:customStyle="1" w:styleId="label">
    <w:name w:val="label"/>
    <w:basedOn w:val="DefaultParagraphFont"/>
    <w:rsid w:val="00F37BF0"/>
  </w:style>
  <w:style w:type="character" w:styleId="Strong">
    <w:name w:val="Strong"/>
    <w:basedOn w:val="DefaultParagraphFont"/>
    <w:uiPriority w:val="22"/>
    <w:qFormat/>
    <w:rsid w:val="00F37BF0"/>
    <w:rPr>
      <w:b/>
      <w:bCs/>
    </w:rPr>
  </w:style>
  <w:style w:type="character" w:styleId="Emphasis">
    <w:name w:val="Emphasis"/>
    <w:basedOn w:val="DefaultParagraphFont"/>
    <w:uiPriority w:val="20"/>
    <w:qFormat/>
    <w:rsid w:val="00F37BF0"/>
    <w:rPr>
      <w:i/>
      <w:iCs/>
    </w:rPr>
  </w:style>
  <w:style w:type="paragraph" w:styleId="Revision">
    <w:name w:val="Revision"/>
    <w:hidden/>
    <w:uiPriority w:val="99"/>
    <w:semiHidden/>
    <w:rsid w:val="00F420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1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3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1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8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14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08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3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7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n.gov/deed/assets/dwfap-terms-definitions_tcm1045-648050.doc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mn.gov/de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E1140-14D0-42B3-B982-DBDF8C98A7D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1215</Words>
  <Characters>6932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Alec (He/Him/His) (DEED)</dc:creator>
  <cp:keywords/>
  <dc:description/>
  <cp:lastModifiedBy>Smith, Alec (He/Him/His) (DEED)</cp:lastModifiedBy>
  <cp:revision>2</cp:revision>
  <dcterms:created xsi:type="dcterms:W3CDTF">2025-04-16T23:02:00Z</dcterms:created>
  <dcterms:modified xsi:type="dcterms:W3CDTF">2025-04-16T23:02:00Z</dcterms:modified>
</cp:coreProperties>
</file>