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E4F0" w14:textId="47781949" w:rsidR="00677033" w:rsidRPr="004D46CE" w:rsidRDefault="00677033" w:rsidP="005D628A">
      <w:pPr>
        <w:rPr>
          <w:b/>
          <w:bCs/>
        </w:rPr>
      </w:pPr>
      <w:r w:rsidRPr="004D46CE">
        <w:rPr>
          <w:b/>
          <w:bCs/>
        </w:rPr>
        <w:t>Dislocated Worker (WIOA &amp; State)</w:t>
      </w:r>
    </w:p>
    <w:p w14:paraId="16831F72" w14:textId="2754CD14" w:rsidR="005D628A" w:rsidRPr="00BA706A" w:rsidRDefault="005D628A" w:rsidP="005D628A">
      <w:pPr>
        <w:rPr>
          <w:b/>
          <w:bCs/>
        </w:rPr>
      </w:pPr>
      <w:r w:rsidRPr="00BA706A">
        <w:rPr>
          <w:b/>
          <w:bCs/>
        </w:rPr>
        <w:t>Supplemental Funding to Serve Small Layoffs</w:t>
      </w:r>
    </w:p>
    <w:p w14:paraId="3F5A05BF" w14:textId="1E63ABA9" w:rsidR="005D628A" w:rsidRPr="005D628A" w:rsidRDefault="005D628A" w:rsidP="005D628A">
      <w:r w:rsidRPr="005D628A">
        <w:rPr>
          <w:b/>
          <w:bCs/>
        </w:rPr>
        <w:t>Summary</w:t>
      </w:r>
      <w:r w:rsidRPr="005D628A">
        <w:br/>
      </w:r>
      <w:r w:rsidR="00CA4734">
        <w:t xml:space="preserve">State </w:t>
      </w:r>
      <w:r w:rsidRPr="005D628A">
        <w:t xml:space="preserve">Dislocated Worker </w:t>
      </w:r>
      <w:r>
        <w:t xml:space="preserve">(DW) </w:t>
      </w:r>
      <w:r w:rsidRPr="005D628A">
        <w:t xml:space="preserve">providers </w:t>
      </w:r>
      <w:r w:rsidR="004F1DFB">
        <w:t xml:space="preserve">may </w:t>
      </w:r>
      <w:r w:rsidRPr="005D628A">
        <w:t>request supplemental funding to serve individuals impacted by small layoffs when local participant demand outpaces available funding. This policy establishes the criteria which will be used by the M</w:t>
      </w:r>
      <w:r>
        <w:t xml:space="preserve">innesota </w:t>
      </w:r>
      <w:r w:rsidRPr="005D628A">
        <w:t>J</w:t>
      </w:r>
      <w:r>
        <w:t xml:space="preserve">ob </w:t>
      </w:r>
      <w:r w:rsidRPr="005D628A">
        <w:t>S</w:t>
      </w:r>
      <w:r>
        <w:t xml:space="preserve">kills </w:t>
      </w:r>
      <w:r w:rsidRPr="005D628A">
        <w:t>P</w:t>
      </w:r>
      <w:r>
        <w:t>artnership</w:t>
      </w:r>
      <w:r w:rsidRPr="005D628A">
        <w:t xml:space="preserve"> </w:t>
      </w:r>
      <w:r>
        <w:t xml:space="preserve">(MJSP) </w:t>
      </w:r>
      <w:r w:rsidRPr="005D628A">
        <w:t xml:space="preserve">Board when evaluating the merits of requests for additional funding. Supplemental funding requests will be available to both </w:t>
      </w:r>
      <w:r w:rsidR="004F1DFB">
        <w:t>Workforce Development Areas (WDAs)</w:t>
      </w:r>
      <w:r w:rsidRPr="005D628A">
        <w:t xml:space="preserve"> and the Small Layoff Independent Grant</w:t>
      </w:r>
      <w:r w:rsidR="004F1DFB">
        <w:t>ees</w:t>
      </w:r>
      <w:r w:rsidRPr="005D628A">
        <w:t xml:space="preserve"> (SLIGs).</w:t>
      </w:r>
    </w:p>
    <w:p w14:paraId="7B9B461A" w14:textId="24C15DE8" w:rsidR="005D628A" w:rsidRPr="005D628A" w:rsidRDefault="005D628A" w:rsidP="005D628A">
      <w:r w:rsidRPr="005D628A">
        <w:rPr>
          <w:b/>
          <w:bCs/>
        </w:rPr>
        <w:t>Relevant Laws, Rules, or Policies</w:t>
      </w:r>
      <w:r w:rsidRPr="005D628A">
        <w:br/>
      </w:r>
      <w:r w:rsidR="003E7E4D" w:rsidRPr="004D46CE">
        <w:t>Minnesota State Statute</w:t>
      </w:r>
      <w:r w:rsidR="004F1DFB">
        <w:t xml:space="preserve">, </w:t>
      </w:r>
      <w:r w:rsidR="003E7E4D" w:rsidRPr="004D46CE">
        <w:t>Section 116L</w:t>
      </w:r>
      <w:r w:rsidR="00260297">
        <w:rPr>
          <w:rFonts w:cstheme="minorHAnsi"/>
        </w:rPr>
        <w:t xml:space="preserve"> (et seq)</w:t>
      </w:r>
    </w:p>
    <w:p w14:paraId="0EDD4BDC" w14:textId="77777777" w:rsidR="005D628A" w:rsidRPr="005D628A" w:rsidRDefault="005D628A" w:rsidP="005D628A">
      <w:r w:rsidRPr="005D628A">
        <w:rPr>
          <w:b/>
          <w:bCs/>
        </w:rPr>
        <w:t>Effective Date</w:t>
      </w:r>
      <w:r w:rsidRPr="005D628A">
        <w:br/>
        <w:t>4/14/2017</w:t>
      </w:r>
    </w:p>
    <w:p w14:paraId="5AB3E680" w14:textId="711C27A4" w:rsidR="005D628A" w:rsidRPr="005D628A" w:rsidRDefault="005D628A" w:rsidP="005D628A">
      <w:r w:rsidRPr="005D628A">
        <w:rPr>
          <w:b/>
          <w:bCs/>
        </w:rPr>
        <w:t>Last Updated</w:t>
      </w:r>
      <w:r w:rsidRPr="005D628A">
        <w:br/>
      </w:r>
      <w:r w:rsidR="00615C9A">
        <w:t>4</w:t>
      </w:r>
      <w:r w:rsidR="004D46CE">
        <w:t>/</w:t>
      </w:r>
      <w:r w:rsidR="00615C9A">
        <w:t>1</w:t>
      </w:r>
      <w:r w:rsidR="007C17A4">
        <w:t>8</w:t>
      </w:r>
      <w:r w:rsidR="004D46CE">
        <w:t>/20</w:t>
      </w:r>
      <w:r w:rsidR="00615C9A">
        <w:t>25</w:t>
      </w:r>
    </w:p>
    <w:p w14:paraId="3596F90D" w14:textId="1710AECC" w:rsidR="004D46CE" w:rsidRPr="00615C9A" w:rsidRDefault="005D628A" w:rsidP="00615C9A">
      <w:pPr>
        <w:spacing w:after="0"/>
        <w:jc w:val="both"/>
        <w:rPr>
          <w:color w:val="FF0000"/>
          <w:sz w:val="24"/>
          <w:szCs w:val="24"/>
        </w:rPr>
      </w:pPr>
      <w:r w:rsidRPr="005D628A">
        <w:rPr>
          <w:b/>
          <w:bCs/>
        </w:rPr>
        <w:t>Contact</w:t>
      </w:r>
      <w:r w:rsidRPr="005D628A">
        <w:br/>
      </w:r>
      <w:proofErr w:type="spellStart"/>
      <w:r w:rsidR="004D46CE" w:rsidRPr="003160CF">
        <w:rPr>
          <w:b/>
          <w:bCs/>
        </w:rPr>
        <w:t>Email:</w:t>
      </w:r>
      <w:r w:rsidR="004D46CE" w:rsidRPr="003160CF">
        <w:t>DWFAPrograms.DEED@state.mn.us</w:t>
      </w:r>
      <w:proofErr w:type="spellEnd"/>
      <w:r w:rsidR="004D46CE" w:rsidRPr="003160CF">
        <w:br/>
      </w:r>
      <w:r w:rsidR="004D46CE" w:rsidRPr="003160CF">
        <w:rPr>
          <w:b/>
          <w:bCs/>
        </w:rPr>
        <w:t xml:space="preserve">Tel: </w:t>
      </w:r>
      <w:r w:rsidR="004D46CE" w:rsidRPr="003160CF">
        <w:rPr>
          <w:color w:val="242424"/>
          <w:shd w:val="clear" w:color="auto" w:fill="FFFFFF"/>
        </w:rPr>
        <w:t>651-259-7503</w:t>
      </w:r>
    </w:p>
    <w:p w14:paraId="236049E9" w14:textId="77777777" w:rsidR="00615C9A" w:rsidRPr="00615C9A" w:rsidRDefault="00615C9A" w:rsidP="00615C9A">
      <w:pPr>
        <w:pStyle w:val="NoSpacing"/>
        <w:rPr>
          <w:sz w:val="12"/>
          <w:szCs w:val="12"/>
        </w:rPr>
      </w:pPr>
    </w:p>
    <w:p w14:paraId="5AF162A5" w14:textId="760E730A" w:rsidR="005D628A" w:rsidRPr="005D628A" w:rsidRDefault="005D628A" w:rsidP="005D628A">
      <w:r w:rsidRPr="005D628A">
        <w:rPr>
          <w:b/>
          <w:bCs/>
        </w:rPr>
        <w:t>Policy</w:t>
      </w:r>
    </w:p>
    <w:p w14:paraId="4799F6C9" w14:textId="7188F0CC" w:rsidR="005D628A" w:rsidRPr="005D628A" w:rsidRDefault="005D628A" w:rsidP="005D628A">
      <w:r w:rsidRPr="005D628A">
        <w:t xml:space="preserve">Providers requesting additional funding to serve individuals impacted by small layoffs must provide sufficient justification for their request and use the additional funding in accordance with their justification. A key component of the justification should demonstrate the increased demand for services in the local area, and how the requested funding will best meet these needs. </w:t>
      </w:r>
      <w:r>
        <w:t xml:space="preserve">Minnesota Department of Employment and Economic Development (DEED) </w:t>
      </w:r>
      <w:r w:rsidRPr="005D628A">
        <w:t xml:space="preserve">will verify the appropriate use of this funding and </w:t>
      </w:r>
      <w:r w:rsidR="004F1DFB">
        <w:t>may provide reports to the MJSP as requested</w:t>
      </w:r>
      <w:r w:rsidRPr="005D628A">
        <w:t>.</w:t>
      </w:r>
      <w:r w:rsidR="00615C9A">
        <w:t xml:space="preserve"> </w:t>
      </w:r>
      <w:r w:rsidRPr="004D46CE">
        <w:t xml:space="preserve">Requests </w:t>
      </w:r>
      <w:r w:rsidRPr="00615C9A">
        <w:rPr>
          <w:u w:val="single"/>
        </w:rPr>
        <w:t>must</w:t>
      </w:r>
      <w:r w:rsidRPr="004D46CE">
        <w:t xml:space="preserve"> be received by DEED</w:t>
      </w:r>
      <w:r w:rsidR="004F1DFB">
        <w:t xml:space="preserve"> </w:t>
      </w:r>
      <w:r w:rsidRPr="004D46CE">
        <w:t>at least 30 days prior to the Board meeting date.</w:t>
      </w:r>
    </w:p>
    <w:p w14:paraId="014BBF72" w14:textId="6BFF3AAF" w:rsidR="00CA4734" w:rsidRDefault="005D628A" w:rsidP="005D628A">
      <w:r w:rsidRPr="005D628A">
        <w:t xml:space="preserve">The following criteria will be used by the MJSP Board when evaluating the merits of requests for additional funding. A provider does not need to meet or exceed all criteria in order to request supplemental funding, however the Board may choose to not approve supplemental funding for providers who cannot demonstrate sufficient need. </w:t>
      </w:r>
    </w:p>
    <w:p w14:paraId="20504902" w14:textId="4ABA1A6D" w:rsidR="009C0BF2" w:rsidRDefault="003E7E4D" w:rsidP="005D628A">
      <w:r>
        <w:t>P</w:t>
      </w:r>
      <w:r w:rsidRPr="005D628A">
        <w:t>roviders</w:t>
      </w:r>
      <w:r w:rsidR="005D628A" w:rsidRPr="005D628A">
        <w:t xml:space="preserve"> may submit the request to the Dislocated Worker Grants Coordinator via email using the attached spreadsheet (</w:t>
      </w:r>
      <w:r w:rsidR="004A0162">
        <w:t>See link in the “Related Links” section in the bottom of this policy for additional information</w:t>
      </w:r>
      <w:r w:rsidR="005D628A" w:rsidRPr="005D628A">
        <w:t xml:space="preserve">), and </w:t>
      </w:r>
      <w:r w:rsidR="005D628A" w:rsidRPr="004D46CE">
        <w:rPr>
          <w:u w:val="single"/>
        </w:rPr>
        <w:t>must</w:t>
      </w:r>
      <w:r w:rsidR="005D628A" w:rsidRPr="005D628A">
        <w:t xml:space="preserve"> include a separate, written narrative that includes</w:t>
      </w:r>
      <w:r w:rsidR="009C0BF2">
        <w:t xml:space="preserve"> the</w:t>
      </w:r>
      <w:r w:rsidR="004F1DFB">
        <w:t xml:space="preserve"> following</w:t>
      </w:r>
      <w:r w:rsidR="009C0BF2">
        <w:t xml:space="preserve">: </w:t>
      </w:r>
    </w:p>
    <w:p w14:paraId="49EE60DE" w14:textId="5599643C" w:rsidR="009C0BF2" w:rsidRDefault="009C0BF2" w:rsidP="009C0BF2">
      <w:pPr>
        <w:pStyle w:val="ListParagraph"/>
        <w:numPr>
          <w:ilvl w:val="0"/>
          <w:numId w:val="1"/>
        </w:numPr>
      </w:pPr>
      <w:r>
        <w:t>T</w:t>
      </w:r>
      <w:r w:rsidR="005D628A" w:rsidRPr="005D628A">
        <w:t xml:space="preserve">otal amount of funding requested, </w:t>
      </w:r>
      <w:r>
        <w:t>and</w:t>
      </w:r>
    </w:p>
    <w:p w14:paraId="6E2148C1" w14:textId="78A72830" w:rsidR="009C0BF2" w:rsidRDefault="009C0BF2" w:rsidP="009C0BF2">
      <w:pPr>
        <w:pStyle w:val="ListParagraph"/>
        <w:numPr>
          <w:ilvl w:val="0"/>
          <w:numId w:val="1"/>
        </w:numPr>
      </w:pPr>
      <w:r>
        <w:t>T</w:t>
      </w:r>
      <w:r w:rsidR="005D628A" w:rsidRPr="005D628A">
        <w:t>otal number of participants to be served, and</w:t>
      </w:r>
      <w:r>
        <w:t>,</w:t>
      </w:r>
    </w:p>
    <w:p w14:paraId="5D825833" w14:textId="1290058E" w:rsidR="004F1DFB" w:rsidRDefault="005D628A" w:rsidP="004D46CE">
      <w:pPr>
        <w:pStyle w:val="ListParagraph"/>
        <w:numPr>
          <w:ilvl w:val="1"/>
          <w:numId w:val="1"/>
        </w:numPr>
      </w:pPr>
      <w:r w:rsidRPr="005D628A">
        <w:t xml:space="preserve"> </w:t>
      </w:r>
      <w:r w:rsidR="009C0BF2">
        <w:t>A</w:t>
      </w:r>
      <w:r w:rsidRPr="005D628A">
        <w:t>ddress</w:t>
      </w:r>
      <w:r w:rsidR="004F1DFB">
        <w:t xml:space="preserve"> </w:t>
      </w:r>
      <w:r w:rsidRPr="005D628A">
        <w:t>the following statutory requirements </w:t>
      </w:r>
      <w:r w:rsidRPr="004D46CE">
        <w:t xml:space="preserve">when </w:t>
      </w:r>
      <w:r w:rsidR="009C0BF2">
        <w:t xml:space="preserve">the information below is </w:t>
      </w:r>
      <w:r w:rsidRPr="004D46CE">
        <w:t>available and</w:t>
      </w:r>
      <w:r w:rsidR="009C0BF2">
        <w:t>/or</w:t>
      </w:r>
      <w:r w:rsidRPr="004D46CE">
        <w:t xml:space="preserve"> applicable</w:t>
      </w:r>
      <w:r w:rsidRPr="005D628A">
        <w:t>:</w:t>
      </w:r>
      <w:r w:rsidR="004D46CE">
        <w:t xml:space="preserve"> </w:t>
      </w:r>
    </w:p>
    <w:p w14:paraId="15CA4D06" w14:textId="4965B29F" w:rsidR="009C0BF2" w:rsidRPr="005D628A" w:rsidRDefault="005D628A" w:rsidP="00BA706A">
      <w:pPr>
        <w:pStyle w:val="ListParagraph"/>
        <w:numPr>
          <w:ilvl w:val="2"/>
          <w:numId w:val="1"/>
        </w:numPr>
      </w:pPr>
      <w:r w:rsidRPr="005D628A">
        <w:t>The number of substantial layoffs to date,</w:t>
      </w:r>
    </w:p>
    <w:p w14:paraId="2BF07476" w14:textId="4056D0CC" w:rsidR="009C0BF2" w:rsidRPr="005D628A" w:rsidRDefault="005D628A" w:rsidP="00BA706A">
      <w:pPr>
        <w:pStyle w:val="ListParagraph"/>
        <w:numPr>
          <w:ilvl w:val="2"/>
          <w:numId w:val="1"/>
        </w:numPr>
      </w:pPr>
      <w:r w:rsidRPr="005D628A">
        <w:t>Notices of substantial layoffs for the remainder of the fiscal year,</w:t>
      </w:r>
    </w:p>
    <w:p w14:paraId="1BAD0D17" w14:textId="3A31CC36" w:rsidR="004F1DFB" w:rsidRPr="005D628A" w:rsidRDefault="005D628A" w:rsidP="00BA706A">
      <w:pPr>
        <w:pStyle w:val="ListParagraph"/>
        <w:numPr>
          <w:ilvl w:val="2"/>
          <w:numId w:val="1"/>
        </w:numPr>
      </w:pPr>
      <w:r w:rsidRPr="005D628A">
        <w:lastRenderedPageBreak/>
        <w:t>Evidence of declining industries,</w:t>
      </w:r>
    </w:p>
    <w:p w14:paraId="0B10B9A8" w14:textId="398F340F" w:rsidR="009C0BF2" w:rsidRPr="005D628A" w:rsidRDefault="005D628A" w:rsidP="00BA706A">
      <w:pPr>
        <w:pStyle w:val="ListParagraph"/>
        <w:numPr>
          <w:ilvl w:val="2"/>
          <w:numId w:val="1"/>
        </w:numPr>
      </w:pPr>
      <w:r w:rsidRPr="005D628A">
        <w:t>The number of permanently separated individuals applying for unemployment benefits by workforce development area, and</w:t>
      </w:r>
      <w:r w:rsidR="009C0BF2">
        <w:t xml:space="preserve">, </w:t>
      </w:r>
    </w:p>
    <w:p w14:paraId="017BD07E" w14:textId="77777777" w:rsidR="005D628A" w:rsidRPr="005D628A" w:rsidRDefault="005D628A" w:rsidP="00BA706A">
      <w:pPr>
        <w:pStyle w:val="ListParagraph"/>
        <w:numPr>
          <w:ilvl w:val="2"/>
          <w:numId w:val="1"/>
        </w:numPr>
      </w:pPr>
      <w:r w:rsidRPr="005D628A">
        <w:t>The number of individuals exhausting unemployment benefits by workforce development area.</w:t>
      </w:r>
    </w:p>
    <w:p w14:paraId="67180992" w14:textId="5829DCB5" w:rsidR="005D628A" w:rsidRPr="00BA706A" w:rsidRDefault="00E27986" w:rsidP="00615C9A">
      <w:pPr>
        <w:pStyle w:val="NoSpacing"/>
        <w:jc w:val="center"/>
        <w:rPr>
          <w:b/>
          <w:bCs/>
        </w:rPr>
      </w:pPr>
      <w:r w:rsidRPr="00BA706A">
        <w:rPr>
          <w:b/>
          <w:bCs/>
        </w:rPr>
        <w:t>Table One:</w:t>
      </w:r>
      <w:r w:rsidR="004F1DFB" w:rsidRPr="00BA706A">
        <w:rPr>
          <w:b/>
          <w:bCs/>
        </w:rPr>
        <w:t xml:space="preserve"> MJSP</w:t>
      </w:r>
      <w:r w:rsidRPr="00BA706A">
        <w:rPr>
          <w:b/>
          <w:bCs/>
        </w:rPr>
        <w:t xml:space="preserve"> </w:t>
      </w:r>
      <w:r w:rsidR="004F1DFB" w:rsidRPr="00BA706A">
        <w:rPr>
          <w:b/>
          <w:bCs/>
        </w:rPr>
        <w:t>Board</w:t>
      </w:r>
      <w:r w:rsidRPr="00BA706A">
        <w:rPr>
          <w:b/>
          <w:bCs/>
        </w:rPr>
        <w:t xml:space="preserve"> Established Evaluation Guidelines</w:t>
      </w:r>
    </w:p>
    <w:tbl>
      <w:tblPr>
        <w:tblStyle w:val="TableGrid"/>
        <w:tblW w:w="11165" w:type="dxa"/>
        <w:tblInd w:w="-905" w:type="dxa"/>
        <w:tblLook w:val="04A0" w:firstRow="1" w:lastRow="0" w:firstColumn="1" w:lastColumn="0" w:noHBand="0" w:noVBand="1"/>
      </w:tblPr>
      <w:tblGrid>
        <w:gridCol w:w="1710"/>
        <w:gridCol w:w="6586"/>
        <w:gridCol w:w="2869"/>
      </w:tblGrid>
      <w:tr w:rsidR="00CA4734" w:rsidRPr="005D628A" w14:paraId="64D8A9DB" w14:textId="77777777" w:rsidTr="00615C9A">
        <w:tc>
          <w:tcPr>
            <w:tcW w:w="1710" w:type="dxa"/>
          </w:tcPr>
          <w:p w14:paraId="53803786" w14:textId="07918EC6" w:rsidR="00CA4734" w:rsidRPr="005D628A" w:rsidRDefault="00CA4734" w:rsidP="00E27986">
            <w:pPr>
              <w:jc w:val="center"/>
              <w:rPr>
                <w:b/>
                <w:bCs/>
              </w:rPr>
            </w:pPr>
            <w:r>
              <w:rPr>
                <w:b/>
                <w:bCs/>
              </w:rPr>
              <w:t>Criteria Number</w:t>
            </w:r>
          </w:p>
        </w:tc>
        <w:tc>
          <w:tcPr>
            <w:tcW w:w="6586" w:type="dxa"/>
            <w:hideMark/>
          </w:tcPr>
          <w:p w14:paraId="20340ADA" w14:textId="7B8F78D2" w:rsidR="00CA4734" w:rsidRPr="005D628A" w:rsidRDefault="00CA4734" w:rsidP="00E27986">
            <w:pPr>
              <w:jc w:val="center"/>
              <w:rPr>
                <w:b/>
                <w:bCs/>
              </w:rPr>
            </w:pPr>
            <w:r>
              <w:rPr>
                <w:b/>
                <w:bCs/>
              </w:rPr>
              <w:t>Criteria</w:t>
            </w:r>
            <w:r w:rsidRPr="005D628A">
              <w:rPr>
                <w:b/>
                <w:bCs/>
              </w:rPr>
              <w:t xml:space="preserve"> to Demonstrate Need</w:t>
            </w:r>
          </w:p>
        </w:tc>
        <w:tc>
          <w:tcPr>
            <w:tcW w:w="2869" w:type="dxa"/>
            <w:hideMark/>
          </w:tcPr>
          <w:p w14:paraId="07911B80" w14:textId="77777777" w:rsidR="00CA4734" w:rsidRPr="005D628A" w:rsidRDefault="00CA4734" w:rsidP="00E27986">
            <w:pPr>
              <w:jc w:val="center"/>
              <w:rPr>
                <w:b/>
                <w:bCs/>
              </w:rPr>
            </w:pPr>
            <w:r w:rsidRPr="005D628A">
              <w:rPr>
                <w:b/>
                <w:bCs/>
              </w:rPr>
              <w:t>Evaluation Guidelines</w:t>
            </w:r>
          </w:p>
        </w:tc>
      </w:tr>
      <w:tr w:rsidR="00CA4734" w:rsidRPr="005D628A" w14:paraId="41EB7049" w14:textId="77777777" w:rsidTr="00615C9A">
        <w:trPr>
          <w:trHeight w:val="3267"/>
        </w:trPr>
        <w:tc>
          <w:tcPr>
            <w:tcW w:w="1710" w:type="dxa"/>
          </w:tcPr>
          <w:p w14:paraId="19CB6F56" w14:textId="37126938" w:rsidR="00CA4734" w:rsidRPr="005D628A" w:rsidRDefault="00CB09B3" w:rsidP="004D46CE">
            <w:pPr>
              <w:jc w:val="center"/>
            </w:pPr>
            <w:r>
              <w:t>1</w:t>
            </w:r>
          </w:p>
        </w:tc>
        <w:tc>
          <w:tcPr>
            <w:tcW w:w="6586" w:type="dxa"/>
            <w:hideMark/>
          </w:tcPr>
          <w:p w14:paraId="66F924C7" w14:textId="6A2DEB68" w:rsidR="00CA4734" w:rsidRPr="005D628A" w:rsidRDefault="00CA4734" w:rsidP="00615C9A">
            <w:r w:rsidRPr="005D628A">
              <w:t>Number of </w:t>
            </w:r>
            <w:r w:rsidRPr="005D628A">
              <w:rPr>
                <w:b/>
                <w:bCs/>
              </w:rPr>
              <w:t>participants</w:t>
            </w:r>
            <w:r w:rsidRPr="005D628A">
              <w:t> currently enrolled by each funding stream (based on W</w:t>
            </w:r>
            <w:r>
              <w:t>ork Force One (W</w:t>
            </w:r>
            <w:r w:rsidRPr="005D628A">
              <w:t>F1</w:t>
            </w:r>
            <w:r>
              <w:t>)</w:t>
            </w:r>
            <w:r w:rsidRPr="005D628A">
              <w:t xml:space="preserve"> enrollment) compared to planned participants through most current quarter by each funding stream (based on submitted work plan).</w:t>
            </w:r>
          </w:p>
          <w:p w14:paraId="7F04C78C" w14:textId="77777777" w:rsidR="00CA4734" w:rsidRPr="005D628A" w:rsidRDefault="00CA4734" w:rsidP="00615C9A">
            <w:r w:rsidRPr="005D628A">
              <w:t>For example:</w:t>
            </w:r>
          </w:p>
          <w:p w14:paraId="75683D38" w14:textId="7EACEE50" w:rsidR="00CA4734" w:rsidRPr="005D628A" w:rsidRDefault="00CA4734" w:rsidP="00615C9A">
            <w:r w:rsidRPr="005D628A">
              <w:t>WF1 shows 80 participants enrolled in State</w:t>
            </w:r>
            <w:r>
              <w:t xml:space="preserve"> DW</w:t>
            </w:r>
            <w:r w:rsidRPr="005D628A">
              <w:t xml:space="preserve"> through the most recent quarter compared to 100 planned participants for the entire grant. This would meet the 80% enrollment requirement.</w:t>
            </w:r>
          </w:p>
        </w:tc>
        <w:tc>
          <w:tcPr>
            <w:tcW w:w="2869" w:type="dxa"/>
            <w:hideMark/>
          </w:tcPr>
          <w:p w14:paraId="3B0174D2" w14:textId="77777777" w:rsidR="00CA4734" w:rsidRPr="005D628A" w:rsidRDefault="00CA4734" w:rsidP="00615C9A">
            <w:r w:rsidRPr="005D628A">
              <w:t>At least 80% of total planned participants for the current program year have been enrolled at the time of the request.</w:t>
            </w:r>
          </w:p>
        </w:tc>
      </w:tr>
      <w:tr w:rsidR="00CA4734" w:rsidRPr="005D628A" w14:paraId="4B71204C" w14:textId="77777777" w:rsidTr="00615C9A">
        <w:tc>
          <w:tcPr>
            <w:tcW w:w="1710" w:type="dxa"/>
          </w:tcPr>
          <w:p w14:paraId="05C362B9" w14:textId="585B5851" w:rsidR="00CA4734" w:rsidRPr="005D628A" w:rsidRDefault="00CB09B3" w:rsidP="004D46CE">
            <w:pPr>
              <w:jc w:val="center"/>
            </w:pPr>
            <w:r>
              <w:t>2</w:t>
            </w:r>
          </w:p>
        </w:tc>
        <w:tc>
          <w:tcPr>
            <w:tcW w:w="6586" w:type="dxa"/>
            <w:hideMark/>
          </w:tcPr>
          <w:p w14:paraId="003F6BC0" w14:textId="7FF53E7B" w:rsidR="00CA4734" w:rsidRPr="005D628A" w:rsidRDefault="00CA4734" w:rsidP="005D628A">
            <w:r w:rsidRPr="005D628A">
              <w:t xml:space="preserve">Current accrued expenditures and obligations for the present fiscal year, broken down by cost category and by funding stream. For the purposes of this policy, "obligations" are inclusive of known staff and administrative commitments, whether or not those expenditures are recorded on a provider's </w:t>
            </w:r>
            <w:r w:rsidRPr="00677033">
              <w:rPr>
                <w:rFonts w:cstheme="minorHAnsi"/>
              </w:rPr>
              <w:t>monthly</w:t>
            </w:r>
            <w:r w:rsidR="00677033" w:rsidRPr="00677033">
              <w:rPr>
                <w:rFonts w:cstheme="minorHAnsi"/>
              </w:rPr>
              <w:t xml:space="preserve"> </w:t>
            </w:r>
            <w:r w:rsidR="00677033" w:rsidRPr="004D46CE">
              <w:rPr>
                <w:rStyle w:val="cf01"/>
                <w:rFonts w:asciiTheme="minorHAnsi" w:hAnsiTheme="minorHAnsi" w:cstheme="minorHAnsi"/>
                <w:sz w:val="22"/>
                <w:szCs w:val="22"/>
              </w:rPr>
              <w:t xml:space="preserve">Reimbursement Payment Request </w:t>
            </w:r>
            <w:r w:rsidR="00677033">
              <w:rPr>
                <w:rFonts w:cstheme="minorHAnsi"/>
              </w:rPr>
              <w:t>(</w:t>
            </w:r>
            <w:r w:rsidRPr="00677033">
              <w:rPr>
                <w:rFonts w:cstheme="minorHAnsi"/>
              </w:rPr>
              <w:t>RPR</w:t>
            </w:r>
            <w:r w:rsidR="00677033">
              <w:rPr>
                <w:rFonts w:cstheme="minorHAnsi"/>
              </w:rPr>
              <w:t>)</w:t>
            </w:r>
            <w:r w:rsidRPr="00677033">
              <w:rPr>
                <w:rFonts w:cstheme="minorHAnsi"/>
              </w:rPr>
              <w:t xml:space="preserve"> or </w:t>
            </w:r>
            <w:r w:rsidR="00677033" w:rsidRPr="00677033">
              <w:t>Financial Status Report</w:t>
            </w:r>
            <w:r w:rsidR="00677033">
              <w:t xml:space="preserve"> (</w:t>
            </w:r>
            <w:r w:rsidRPr="005D628A">
              <w:t>FSR</w:t>
            </w:r>
            <w:r w:rsidR="00677033">
              <w:t>)</w:t>
            </w:r>
            <w:r w:rsidRPr="005D628A">
              <w:t>. Providers must include any federal funding that was transferred between W</w:t>
            </w:r>
            <w:r>
              <w:t xml:space="preserve">orkforce </w:t>
            </w:r>
            <w:r w:rsidRPr="005D628A">
              <w:t>I</w:t>
            </w:r>
            <w:r>
              <w:t xml:space="preserve">nnovation and </w:t>
            </w:r>
            <w:r w:rsidRPr="005D628A">
              <w:t>O</w:t>
            </w:r>
            <w:r>
              <w:t xml:space="preserve">pportunity </w:t>
            </w:r>
            <w:r w:rsidRPr="005D628A">
              <w:t>A</w:t>
            </w:r>
            <w:r>
              <w:t>ct (WIOA)</w:t>
            </w:r>
            <w:r w:rsidRPr="005D628A">
              <w:t xml:space="preserve"> Adult and WIOA DW programs.</w:t>
            </w:r>
          </w:p>
          <w:p w14:paraId="1C156651" w14:textId="77777777" w:rsidR="00CA4734" w:rsidRPr="005D628A" w:rsidRDefault="00CA4734" w:rsidP="005D628A">
            <w:r w:rsidRPr="005D628A">
              <w:t>For example:</w:t>
            </w:r>
          </w:p>
          <w:p w14:paraId="7C02E26D" w14:textId="77777777" w:rsidR="00CA4734" w:rsidRPr="005D628A" w:rsidRDefault="00CA4734" w:rsidP="005D628A">
            <w:r w:rsidRPr="005D628A">
              <w:t>A provider transferred $100,000 from their WIOA Adult to their WIOA DW grant for a total of $200,000. Current accrued expenditures and obligations show $140,000 committed through the most recent quarter. This would meet the 70% funding requirement.</w:t>
            </w:r>
          </w:p>
          <w:p w14:paraId="15B5763F" w14:textId="4CFB9CAD" w:rsidR="00CA4734" w:rsidRPr="005D628A" w:rsidRDefault="00CA4734" w:rsidP="005D628A">
            <w:r w:rsidRPr="005D628A">
              <w:rPr>
                <w:i/>
                <w:iCs/>
              </w:rPr>
              <w:t>Providers should include verification of expenditure rate between reporting periods</w:t>
            </w:r>
            <w:r w:rsidR="00754EF6">
              <w:rPr>
                <w:i/>
                <w:iCs/>
              </w:rPr>
              <w:t>.</w:t>
            </w:r>
          </w:p>
        </w:tc>
        <w:tc>
          <w:tcPr>
            <w:tcW w:w="2869" w:type="dxa"/>
            <w:hideMark/>
          </w:tcPr>
          <w:p w14:paraId="6D861218" w14:textId="77777777" w:rsidR="00CA4734" w:rsidRPr="005D628A" w:rsidRDefault="00CA4734" w:rsidP="005D628A">
            <w:r w:rsidRPr="005D628A">
              <w:t>At least 70% of total grant funds are obligated or expended.</w:t>
            </w:r>
          </w:p>
        </w:tc>
      </w:tr>
      <w:tr w:rsidR="00CA4734" w:rsidRPr="005D628A" w14:paraId="0D2B73C4" w14:textId="77777777" w:rsidTr="00615C9A">
        <w:tc>
          <w:tcPr>
            <w:tcW w:w="1710" w:type="dxa"/>
          </w:tcPr>
          <w:p w14:paraId="5B418906" w14:textId="43580680" w:rsidR="00CA4734" w:rsidRPr="005D628A" w:rsidRDefault="00CB09B3" w:rsidP="004D46CE">
            <w:pPr>
              <w:jc w:val="center"/>
            </w:pPr>
            <w:r>
              <w:t>3</w:t>
            </w:r>
          </w:p>
        </w:tc>
        <w:tc>
          <w:tcPr>
            <w:tcW w:w="6586" w:type="dxa"/>
            <w:hideMark/>
          </w:tcPr>
          <w:p w14:paraId="4DF0EDEF" w14:textId="7E6ADFD4" w:rsidR="00CA4734" w:rsidRPr="005D628A" w:rsidRDefault="00CA4734" w:rsidP="00615C9A">
            <w:r w:rsidRPr="005D628A">
              <w:t>Current </w:t>
            </w:r>
            <w:r w:rsidRPr="005D628A">
              <w:rPr>
                <w:b/>
                <w:bCs/>
              </w:rPr>
              <w:t>accrued expenditures and obligations for the preceding fiscal year</w:t>
            </w:r>
            <w:r w:rsidRPr="005D628A">
              <w:t> (grantees have two years to spend grant funds), broken down by cost category and by funding stream. For the purposes of this policy, "obligations" are inclusive of known staff and administrative commitments, whether or not those expenditures are recorded on a provider's monthly RPR or FSR. Providers must include any federal funding that was transferred between WIOA Adult and WIOA DW programs.</w:t>
            </w:r>
          </w:p>
          <w:p w14:paraId="2EE4BA00" w14:textId="77777777" w:rsidR="00CA4734" w:rsidRPr="005D628A" w:rsidRDefault="00CA4734" w:rsidP="00615C9A">
            <w:r w:rsidRPr="005D628A">
              <w:t>For example:</w:t>
            </w:r>
          </w:p>
          <w:p w14:paraId="17C0531E" w14:textId="6519BEA0" w:rsidR="00CA4734" w:rsidRPr="005D628A" w:rsidRDefault="00CA4734" w:rsidP="00615C9A">
            <w:pPr>
              <w:pStyle w:val="NoSpacing"/>
            </w:pPr>
            <w:r w:rsidRPr="005D628A">
              <w:t>A provider shows $135,000 in obligations and expenditures of their previous year's State</w:t>
            </w:r>
            <w:r>
              <w:t xml:space="preserve"> DW</w:t>
            </w:r>
            <w:r w:rsidRPr="005D628A">
              <w:t xml:space="preserve"> grant. The total grant amount was $150,000. </w:t>
            </w:r>
            <w:r w:rsidRPr="005D628A">
              <w:lastRenderedPageBreak/>
              <w:t>Even if not all individual cost categories are 90% expended, if the total grant amount is at least 90% expended, it meets the 90% requirement.</w:t>
            </w:r>
          </w:p>
        </w:tc>
        <w:tc>
          <w:tcPr>
            <w:tcW w:w="2869" w:type="dxa"/>
            <w:hideMark/>
          </w:tcPr>
          <w:p w14:paraId="48415374" w14:textId="77777777" w:rsidR="00CA4734" w:rsidRPr="005D628A" w:rsidRDefault="00CA4734" w:rsidP="00615C9A">
            <w:r w:rsidRPr="005D628A">
              <w:lastRenderedPageBreak/>
              <w:t>At least 90% of total funds are expended or obligated at the time of the request.</w:t>
            </w:r>
          </w:p>
        </w:tc>
      </w:tr>
      <w:tr w:rsidR="00CA4734" w:rsidRPr="005D628A" w14:paraId="39016FEC" w14:textId="77777777" w:rsidTr="00615C9A">
        <w:tc>
          <w:tcPr>
            <w:tcW w:w="1710" w:type="dxa"/>
          </w:tcPr>
          <w:p w14:paraId="39AFDC48" w14:textId="5B25C732" w:rsidR="00CA4734" w:rsidRPr="005D628A" w:rsidRDefault="00CA4734" w:rsidP="004D46CE">
            <w:pPr>
              <w:jc w:val="center"/>
            </w:pPr>
            <w:r>
              <w:t>3.1</w:t>
            </w:r>
          </w:p>
        </w:tc>
        <w:tc>
          <w:tcPr>
            <w:tcW w:w="6586" w:type="dxa"/>
            <w:hideMark/>
          </w:tcPr>
          <w:p w14:paraId="5704EBE3" w14:textId="16596231" w:rsidR="00CA4734" w:rsidRPr="005D628A" w:rsidRDefault="00CA4734" w:rsidP="00615C9A">
            <w:pPr>
              <w:pStyle w:val="NoSpacing"/>
            </w:pPr>
            <w:r w:rsidRPr="005D628A">
              <w:t>History of supplemental funding requests by provider (year and total request</w:t>
            </w:r>
            <w:r w:rsidR="00754EF6">
              <w:t>s</w:t>
            </w:r>
            <w:r w:rsidRPr="005D628A">
              <w:t>)</w:t>
            </w:r>
            <w:r w:rsidR="00615C9A">
              <w:t>.</w:t>
            </w:r>
          </w:p>
        </w:tc>
        <w:tc>
          <w:tcPr>
            <w:tcW w:w="2869" w:type="dxa"/>
            <w:hideMark/>
          </w:tcPr>
          <w:p w14:paraId="72DA3A74" w14:textId="77777777" w:rsidR="00CA4734" w:rsidRPr="005D628A" w:rsidRDefault="00CA4734" w:rsidP="00615C9A">
            <w:pPr>
              <w:pStyle w:val="NoSpacing"/>
            </w:pPr>
            <w:r w:rsidRPr="005D628A">
              <w:t xml:space="preserve">History of requests is to track demand in a given local area year-to-year and is not used to evaluate the merits of the current request. Providers will </w:t>
            </w:r>
            <w:r w:rsidRPr="004D46CE">
              <w:rPr>
                <w:u w:val="single"/>
              </w:rPr>
              <w:t>not</w:t>
            </w:r>
            <w:r w:rsidRPr="005D628A">
              <w:t xml:space="preserve"> be penalized for past requests.</w:t>
            </w:r>
          </w:p>
        </w:tc>
      </w:tr>
      <w:tr w:rsidR="00CA4734" w:rsidRPr="005D628A" w14:paraId="7159064F" w14:textId="77777777" w:rsidTr="00615C9A">
        <w:tc>
          <w:tcPr>
            <w:tcW w:w="1710" w:type="dxa"/>
          </w:tcPr>
          <w:p w14:paraId="3889862C" w14:textId="5EA412F7" w:rsidR="00CA4734" w:rsidRPr="005D628A" w:rsidRDefault="00CA4734" w:rsidP="004D46CE">
            <w:pPr>
              <w:jc w:val="center"/>
            </w:pPr>
            <w:r>
              <w:t>3.2</w:t>
            </w:r>
          </w:p>
        </w:tc>
        <w:tc>
          <w:tcPr>
            <w:tcW w:w="6586" w:type="dxa"/>
            <w:hideMark/>
          </w:tcPr>
          <w:p w14:paraId="46A577AC" w14:textId="77777777" w:rsidR="00615C9A" w:rsidRDefault="00CA4734" w:rsidP="00615C9A">
            <w:pPr>
              <w:pStyle w:val="NoSpacing"/>
            </w:pPr>
            <w:r w:rsidRPr="005D628A">
              <w:t>Metrics for existing small layoff grant including:</w:t>
            </w:r>
          </w:p>
          <w:p w14:paraId="49C1BE5B" w14:textId="77777777" w:rsidR="00615C9A" w:rsidRDefault="00CA4734" w:rsidP="00615C9A">
            <w:pPr>
              <w:pStyle w:val="NoSpacing"/>
              <w:numPr>
                <w:ilvl w:val="0"/>
                <w:numId w:val="5"/>
              </w:numPr>
            </w:pPr>
            <w:r w:rsidRPr="005D628A">
              <w:t>Average cost per participant</w:t>
            </w:r>
          </w:p>
          <w:p w14:paraId="3CE69E0A" w14:textId="77777777" w:rsidR="00615C9A" w:rsidRDefault="00CA4734" w:rsidP="00615C9A">
            <w:pPr>
              <w:pStyle w:val="NoSpacing"/>
              <w:numPr>
                <w:ilvl w:val="0"/>
                <w:numId w:val="5"/>
              </w:numPr>
            </w:pPr>
            <w:r w:rsidRPr="005D628A">
              <w:t>Number served</w:t>
            </w:r>
          </w:p>
          <w:p w14:paraId="4792BED0" w14:textId="77777777" w:rsidR="00615C9A" w:rsidRDefault="00CA4734" w:rsidP="00615C9A">
            <w:pPr>
              <w:pStyle w:val="NoSpacing"/>
              <w:numPr>
                <w:ilvl w:val="0"/>
                <w:numId w:val="5"/>
              </w:numPr>
            </w:pPr>
            <w:r w:rsidRPr="005D628A">
              <w:t>Number exited</w:t>
            </w:r>
          </w:p>
          <w:p w14:paraId="7163DEFE" w14:textId="1045246A" w:rsidR="00CA4734" w:rsidRPr="005D628A" w:rsidRDefault="00CA4734" w:rsidP="00615C9A">
            <w:pPr>
              <w:pStyle w:val="NoSpacing"/>
              <w:numPr>
                <w:ilvl w:val="0"/>
                <w:numId w:val="5"/>
              </w:numPr>
            </w:pPr>
            <w:r w:rsidRPr="005D628A">
              <w:t>Number currently enrolled</w:t>
            </w:r>
          </w:p>
        </w:tc>
        <w:tc>
          <w:tcPr>
            <w:tcW w:w="2869" w:type="dxa"/>
            <w:hideMark/>
          </w:tcPr>
          <w:p w14:paraId="1F6E9BBB" w14:textId="167A06B6" w:rsidR="00CA4734" w:rsidRPr="005D628A" w:rsidRDefault="00CA4734" w:rsidP="00615C9A">
            <w:r w:rsidRPr="005D628A">
              <w:t>-Not to exceed $</w:t>
            </w:r>
            <w:r>
              <w:t xml:space="preserve">6,000 </w:t>
            </w:r>
            <w:r w:rsidRPr="00CA4734">
              <w:t>average</w:t>
            </w:r>
            <w:r w:rsidRPr="005D628A">
              <w:t xml:space="preserve"> cost per participant</w:t>
            </w:r>
            <w:r w:rsidR="00754EF6">
              <w:t xml:space="preserve"> unless a wavier is completed and approved</w:t>
            </w:r>
            <w:r>
              <w:t>.</w:t>
            </w:r>
          </w:p>
        </w:tc>
      </w:tr>
      <w:tr w:rsidR="00CA4734" w:rsidRPr="005D628A" w14:paraId="19B467CB" w14:textId="77777777" w:rsidTr="00615C9A">
        <w:tc>
          <w:tcPr>
            <w:tcW w:w="1710" w:type="dxa"/>
          </w:tcPr>
          <w:p w14:paraId="39FBF28D" w14:textId="7EF0B044" w:rsidR="00CA4734" w:rsidRPr="005D628A" w:rsidRDefault="00CA4734" w:rsidP="004D46CE">
            <w:pPr>
              <w:jc w:val="center"/>
            </w:pPr>
            <w:r>
              <w:t>3.3</w:t>
            </w:r>
          </w:p>
        </w:tc>
        <w:tc>
          <w:tcPr>
            <w:tcW w:w="6586" w:type="dxa"/>
            <w:hideMark/>
          </w:tcPr>
          <w:p w14:paraId="7F53F96F" w14:textId="0EED2047" w:rsidR="00CA4734" w:rsidRPr="005D628A" w:rsidRDefault="00CA4734" w:rsidP="00615C9A">
            <w:pPr>
              <w:pStyle w:val="NoSpacing"/>
            </w:pPr>
            <w:r w:rsidRPr="005D628A">
              <w:t>Justification of increased participant demand is supported by local labor market information or other supporting documentation.</w:t>
            </w:r>
          </w:p>
        </w:tc>
        <w:tc>
          <w:tcPr>
            <w:tcW w:w="2869" w:type="dxa"/>
            <w:hideMark/>
          </w:tcPr>
          <w:p w14:paraId="53951787" w14:textId="77777777" w:rsidR="00CA4734" w:rsidRPr="005D628A" w:rsidRDefault="00CA4734" w:rsidP="00E27986">
            <w:pPr>
              <w:jc w:val="center"/>
            </w:pPr>
            <w:r w:rsidRPr="005D628A">
              <w:t>-</w:t>
            </w:r>
          </w:p>
        </w:tc>
      </w:tr>
      <w:tr w:rsidR="00CA4734" w:rsidRPr="005D628A" w14:paraId="3930251E" w14:textId="77777777" w:rsidTr="00615C9A">
        <w:tc>
          <w:tcPr>
            <w:tcW w:w="1710" w:type="dxa"/>
          </w:tcPr>
          <w:p w14:paraId="145E93F1" w14:textId="551F5726" w:rsidR="00CA4734" w:rsidRPr="005D628A" w:rsidRDefault="00CA4734" w:rsidP="004D46CE">
            <w:pPr>
              <w:jc w:val="center"/>
            </w:pPr>
            <w:r>
              <w:t>3.4</w:t>
            </w:r>
          </w:p>
        </w:tc>
        <w:tc>
          <w:tcPr>
            <w:tcW w:w="6586" w:type="dxa"/>
            <w:hideMark/>
          </w:tcPr>
          <w:p w14:paraId="38FE90BE" w14:textId="3E00821C" w:rsidR="00CA4734" w:rsidRPr="00615C9A" w:rsidRDefault="00CA4734" w:rsidP="00615C9A">
            <w:pPr>
              <w:pStyle w:val="NoSpacing"/>
            </w:pPr>
            <w:r w:rsidRPr="005D628A">
              <w:t>Additional need should be contextualized with needs of current and future customers (i.e., if more customers need training, the funding should be dedicated as such)</w:t>
            </w:r>
            <w:r w:rsidR="00615C9A">
              <w:t>.</w:t>
            </w:r>
          </w:p>
        </w:tc>
        <w:tc>
          <w:tcPr>
            <w:tcW w:w="2869" w:type="dxa"/>
            <w:hideMark/>
          </w:tcPr>
          <w:p w14:paraId="19039321" w14:textId="77777777" w:rsidR="00CA4734" w:rsidRPr="005D628A" w:rsidRDefault="00CA4734" w:rsidP="00615C9A">
            <w:pPr>
              <w:pStyle w:val="NoSpacing"/>
            </w:pPr>
            <w:r w:rsidRPr="005D628A">
              <w:t>Cost category spending should be reflective of request and justification.</w:t>
            </w:r>
          </w:p>
        </w:tc>
      </w:tr>
      <w:tr w:rsidR="00CA4734" w:rsidRPr="005D628A" w14:paraId="1CA72541" w14:textId="77777777" w:rsidTr="00615C9A">
        <w:tc>
          <w:tcPr>
            <w:tcW w:w="1710" w:type="dxa"/>
          </w:tcPr>
          <w:p w14:paraId="3910F0C9" w14:textId="3E4B4D76" w:rsidR="00CA4734" w:rsidRPr="005D628A" w:rsidRDefault="00CA4734" w:rsidP="004D46CE">
            <w:pPr>
              <w:jc w:val="center"/>
            </w:pPr>
            <w:r>
              <w:t>3.5</w:t>
            </w:r>
          </w:p>
        </w:tc>
        <w:tc>
          <w:tcPr>
            <w:tcW w:w="6586" w:type="dxa"/>
            <w:hideMark/>
          </w:tcPr>
          <w:p w14:paraId="412C3AD7" w14:textId="280E180B" w:rsidR="00CA4734" w:rsidRDefault="00CA4734" w:rsidP="00615C9A">
            <w:pPr>
              <w:rPr>
                <w:i/>
                <w:iCs/>
              </w:rPr>
            </w:pPr>
            <w:r w:rsidRPr="005D628A">
              <w:t xml:space="preserve">Information required under statutory requirements are met </w:t>
            </w:r>
            <w:r>
              <w:rPr>
                <w:i/>
                <w:iCs/>
              </w:rPr>
              <w:t>“</w:t>
            </w:r>
            <w:r w:rsidRPr="005D628A">
              <w:rPr>
                <w:i/>
                <w:iCs/>
              </w:rPr>
              <w:t>Following the initial allocation, the board may consider additional allocations to provide services to individual dislocated workers. The board's decision to allocate additional funds shall be based on relevant economic indicators including:</w:t>
            </w:r>
          </w:p>
          <w:p w14:paraId="220AA183" w14:textId="34E82B6F" w:rsidR="00CA4734" w:rsidRDefault="00CA4734" w:rsidP="00615C9A">
            <w:pPr>
              <w:pStyle w:val="ListParagraph"/>
              <w:numPr>
                <w:ilvl w:val="0"/>
                <w:numId w:val="3"/>
              </w:numPr>
            </w:pPr>
            <w:r>
              <w:t>T</w:t>
            </w:r>
            <w:r w:rsidRPr="00260297">
              <w:t xml:space="preserve">he number of substantial layoffs to date, </w:t>
            </w:r>
          </w:p>
          <w:p w14:paraId="32B83C9D" w14:textId="6437C33D" w:rsidR="00CA4734" w:rsidRDefault="00CA4734" w:rsidP="00615C9A">
            <w:pPr>
              <w:pStyle w:val="ListParagraph"/>
              <w:numPr>
                <w:ilvl w:val="0"/>
                <w:numId w:val="3"/>
              </w:numPr>
            </w:pPr>
            <w:r>
              <w:t>N</w:t>
            </w:r>
            <w:r w:rsidRPr="00260297">
              <w:t xml:space="preserve">otices of substantial layoffs for the remainder of the fiscal year, </w:t>
            </w:r>
          </w:p>
          <w:p w14:paraId="0C419E30" w14:textId="4AC782AD" w:rsidR="00CA4734" w:rsidRDefault="00CA4734" w:rsidP="00615C9A">
            <w:pPr>
              <w:pStyle w:val="ListParagraph"/>
              <w:numPr>
                <w:ilvl w:val="0"/>
                <w:numId w:val="3"/>
              </w:numPr>
            </w:pPr>
            <w:r>
              <w:t>E</w:t>
            </w:r>
            <w:r w:rsidRPr="00260297">
              <w:t xml:space="preserve">vidence of declining industries, </w:t>
            </w:r>
          </w:p>
          <w:p w14:paraId="730D72EC" w14:textId="77777777" w:rsidR="00CA4734" w:rsidRDefault="00CA4734" w:rsidP="00615C9A">
            <w:pPr>
              <w:pStyle w:val="ListParagraph"/>
              <w:numPr>
                <w:ilvl w:val="0"/>
                <w:numId w:val="3"/>
              </w:numPr>
            </w:pPr>
            <w:r>
              <w:t>T</w:t>
            </w:r>
            <w:r w:rsidRPr="00260297">
              <w:t>he number of permanently separated individuals applying for unemployment benefits by workforce development area, and</w:t>
            </w:r>
            <w:r>
              <w:t xml:space="preserve">, </w:t>
            </w:r>
          </w:p>
          <w:p w14:paraId="0E094757" w14:textId="77981D15" w:rsidR="00CA4734" w:rsidRPr="005D628A" w:rsidRDefault="00CA4734" w:rsidP="00615C9A">
            <w:pPr>
              <w:pStyle w:val="ListParagraph"/>
              <w:numPr>
                <w:ilvl w:val="0"/>
                <w:numId w:val="3"/>
              </w:numPr>
            </w:pPr>
            <w:r>
              <w:t>T</w:t>
            </w:r>
            <w:r w:rsidRPr="00260297">
              <w:t>he number of individuals exhausting unemployment benefits by workforce development area.</w:t>
            </w:r>
            <w:r>
              <w:t>”</w:t>
            </w:r>
            <w:r>
              <w:rPr>
                <w:rStyle w:val="FootnoteReference"/>
              </w:rPr>
              <w:footnoteReference w:id="1"/>
            </w:r>
          </w:p>
        </w:tc>
        <w:tc>
          <w:tcPr>
            <w:tcW w:w="2869" w:type="dxa"/>
            <w:hideMark/>
          </w:tcPr>
          <w:p w14:paraId="150284A3" w14:textId="77777777" w:rsidR="00CA4734" w:rsidRPr="005D628A" w:rsidRDefault="00CA4734" w:rsidP="00E27986">
            <w:pPr>
              <w:jc w:val="center"/>
            </w:pPr>
            <w:r w:rsidRPr="005D628A">
              <w:t>-</w:t>
            </w:r>
          </w:p>
        </w:tc>
      </w:tr>
      <w:tr w:rsidR="00CA4734" w:rsidRPr="005D628A" w14:paraId="205F27DF" w14:textId="77777777" w:rsidTr="00615C9A">
        <w:tc>
          <w:tcPr>
            <w:tcW w:w="1710" w:type="dxa"/>
          </w:tcPr>
          <w:p w14:paraId="3713F441" w14:textId="396531BA" w:rsidR="00CA4734" w:rsidRPr="004D46CE" w:rsidRDefault="00CA4734" w:rsidP="004D46CE">
            <w:pPr>
              <w:jc w:val="center"/>
            </w:pPr>
            <w:r>
              <w:t>3.6</w:t>
            </w:r>
          </w:p>
        </w:tc>
        <w:tc>
          <w:tcPr>
            <w:tcW w:w="6586" w:type="dxa"/>
            <w:hideMark/>
          </w:tcPr>
          <w:p w14:paraId="534CDF64" w14:textId="59F214C7" w:rsidR="00CA4734" w:rsidRPr="005D628A" w:rsidRDefault="00CA4734" w:rsidP="00615C9A">
            <w:pPr>
              <w:pStyle w:val="NoSpacing"/>
            </w:pPr>
            <w:r>
              <w:t>“</w:t>
            </w:r>
            <w:r w:rsidRPr="005D628A">
              <w:t>The board must also consider expenditures for allocations to workforce development areas under paragraph (b) made during the first two quarters of the fiscal year and federal resources that have been or are likely to be allocated to Minnesota for the purposes of serving dislocated workers affected by substantial layoffs of plant closings</w:t>
            </w:r>
            <w:r>
              <w:t>”</w:t>
            </w:r>
            <w:r>
              <w:rPr>
                <w:rStyle w:val="FootnoteReference"/>
                <w:i/>
                <w:iCs/>
              </w:rPr>
              <w:footnoteReference w:id="2"/>
            </w:r>
            <w:r w:rsidRPr="005D628A">
              <w:t xml:space="preserve"> </w:t>
            </w:r>
            <w:r w:rsidRPr="004D46CE">
              <w:t>(this is covered above).</w:t>
            </w:r>
          </w:p>
        </w:tc>
        <w:tc>
          <w:tcPr>
            <w:tcW w:w="2869" w:type="dxa"/>
            <w:hideMark/>
          </w:tcPr>
          <w:p w14:paraId="4722E2AF" w14:textId="77777777" w:rsidR="00CA4734" w:rsidRPr="005D628A" w:rsidRDefault="00CA4734" w:rsidP="004A0162">
            <w:r w:rsidRPr="005D628A">
              <w:t>Note: this requirement applies to current year funding and excludes any carry-over funding for previous grant years.</w:t>
            </w:r>
          </w:p>
        </w:tc>
      </w:tr>
      <w:tr w:rsidR="00CA4734" w:rsidRPr="005D628A" w14:paraId="45D2BFBE" w14:textId="77777777" w:rsidTr="00615C9A">
        <w:tc>
          <w:tcPr>
            <w:tcW w:w="1710" w:type="dxa"/>
          </w:tcPr>
          <w:p w14:paraId="5143F18E" w14:textId="1FE0DC3E" w:rsidR="00CA4734" w:rsidRPr="005D628A" w:rsidRDefault="00CB09B3" w:rsidP="004D46CE">
            <w:pPr>
              <w:jc w:val="center"/>
            </w:pPr>
            <w:r>
              <w:t>4</w:t>
            </w:r>
          </w:p>
        </w:tc>
        <w:tc>
          <w:tcPr>
            <w:tcW w:w="6586" w:type="dxa"/>
            <w:hideMark/>
          </w:tcPr>
          <w:p w14:paraId="7D8956BF" w14:textId="3FBD307E" w:rsidR="00CA4734" w:rsidRPr="005D628A" w:rsidRDefault="00CA4734" w:rsidP="00615C9A">
            <w:pPr>
              <w:pStyle w:val="NoSpacing"/>
            </w:pPr>
            <w:r w:rsidRPr="005D628A">
              <w:t xml:space="preserve">Application for additional funding received by DW program staff at least 30 days prior to the quarterly MJSP </w:t>
            </w:r>
            <w:r>
              <w:t>B</w:t>
            </w:r>
            <w:r w:rsidRPr="005D628A">
              <w:t>oard meeting to ensure sufficient time for verification.</w:t>
            </w:r>
          </w:p>
        </w:tc>
        <w:tc>
          <w:tcPr>
            <w:tcW w:w="2869" w:type="dxa"/>
            <w:hideMark/>
          </w:tcPr>
          <w:p w14:paraId="18D1DB32" w14:textId="77777777" w:rsidR="00CA4734" w:rsidRPr="005D628A" w:rsidRDefault="00CA4734" w:rsidP="004A0162">
            <w:r w:rsidRPr="005D628A">
              <w:t>DW program staff will verify for the board.</w:t>
            </w:r>
          </w:p>
        </w:tc>
      </w:tr>
      <w:tr w:rsidR="00CA4734" w:rsidRPr="005D628A" w14:paraId="29635C5F" w14:textId="77777777" w:rsidTr="00615C9A">
        <w:tc>
          <w:tcPr>
            <w:tcW w:w="1710" w:type="dxa"/>
          </w:tcPr>
          <w:p w14:paraId="4F074DC0" w14:textId="106E0C18" w:rsidR="00CA4734" w:rsidRPr="005D628A" w:rsidRDefault="00CB09B3" w:rsidP="004D46CE">
            <w:pPr>
              <w:jc w:val="center"/>
            </w:pPr>
            <w:r>
              <w:t>5</w:t>
            </w:r>
          </w:p>
        </w:tc>
        <w:tc>
          <w:tcPr>
            <w:tcW w:w="6586" w:type="dxa"/>
            <w:hideMark/>
          </w:tcPr>
          <w:p w14:paraId="4112A6CD" w14:textId="71B64DF5" w:rsidR="00CA4734" w:rsidRPr="005D628A" w:rsidRDefault="00CA4734" w:rsidP="00615C9A">
            <w:pPr>
              <w:pStyle w:val="NoSpacing"/>
            </w:pPr>
            <w:r w:rsidRPr="005D628A">
              <w:t xml:space="preserve">Providers must notify DEED of any intent to transfer funds between WIOA Dislocated Worker and WIOA Adult within the next six months at the time of the supplemental funding request. Transfers must be </w:t>
            </w:r>
            <w:r w:rsidRPr="005D628A">
              <w:lastRenderedPageBreak/>
              <w:t>requested according to DEED's Transferability of Funds policy</w:t>
            </w:r>
            <w:r w:rsidR="009C0BF2">
              <w:t xml:space="preserve"> (See “Transferability of </w:t>
            </w:r>
            <w:r w:rsidR="009C0BF2" w:rsidRPr="009C0BF2">
              <w:t>Transferability of Funds between WIOA Adult and WIOA Dislocated Worker Policy</w:t>
            </w:r>
            <w:r w:rsidR="009C0BF2">
              <w:t>” in the “Related Links” section in the bottom of this policy for additional information</w:t>
            </w:r>
            <w:r w:rsidR="004A0162">
              <w:t>).</w:t>
            </w:r>
          </w:p>
        </w:tc>
        <w:tc>
          <w:tcPr>
            <w:tcW w:w="2869" w:type="dxa"/>
            <w:hideMark/>
          </w:tcPr>
          <w:p w14:paraId="0395EAF5" w14:textId="77777777" w:rsidR="00CA4734" w:rsidRPr="005D628A" w:rsidRDefault="00CA4734" w:rsidP="004A0162">
            <w:r w:rsidRPr="005D628A">
              <w:lastRenderedPageBreak/>
              <w:t>DW program staff will verify for the board.</w:t>
            </w:r>
          </w:p>
        </w:tc>
      </w:tr>
    </w:tbl>
    <w:p w14:paraId="39B85CD6" w14:textId="77777777" w:rsidR="00BA706A" w:rsidRPr="00615C9A" w:rsidRDefault="00BA706A" w:rsidP="00BA706A">
      <w:pPr>
        <w:pStyle w:val="NoSpacing"/>
        <w:rPr>
          <w:sz w:val="12"/>
          <w:szCs w:val="12"/>
        </w:rPr>
      </w:pPr>
    </w:p>
    <w:p w14:paraId="57D1548F" w14:textId="7A065FFA" w:rsidR="00BA706A" w:rsidRPr="005D628A" w:rsidRDefault="00BA706A" w:rsidP="00BA706A">
      <w:pPr>
        <w:pStyle w:val="NoSpacing"/>
      </w:pPr>
      <w:r w:rsidRPr="00615C9A">
        <w:rPr>
          <w:b/>
          <w:bCs/>
        </w:rPr>
        <w:t>Note:</w:t>
      </w:r>
      <w:r>
        <w:t xml:space="preserve"> </w:t>
      </w:r>
      <w:r w:rsidR="00615C9A">
        <w:t>Table One criteria are not</w:t>
      </w:r>
      <w:r w:rsidRPr="005D628A">
        <w:t xml:space="preserve"> pass/fail criteria.</w:t>
      </w:r>
    </w:p>
    <w:p w14:paraId="41D9ADA9" w14:textId="77777777" w:rsidR="004A0162" w:rsidRDefault="004A0162" w:rsidP="006B205E">
      <w:pPr>
        <w:pStyle w:val="NoSpacing"/>
        <w:rPr>
          <w:b/>
          <w:bCs/>
          <w:sz w:val="12"/>
          <w:szCs w:val="12"/>
        </w:rPr>
      </w:pPr>
    </w:p>
    <w:p w14:paraId="2F49F35D" w14:textId="6094A70E" w:rsidR="009C0BF2" w:rsidRDefault="005D628A" w:rsidP="006B205E">
      <w:pPr>
        <w:pStyle w:val="NoSpacing"/>
      </w:pPr>
      <w:r w:rsidRPr="004A0162">
        <w:rPr>
          <w:b/>
          <w:bCs/>
          <w:u w:val="single"/>
        </w:rPr>
        <w:t>Related Links</w:t>
      </w:r>
      <w:r w:rsidRPr="005D628A">
        <w:br/>
      </w:r>
      <w:hyperlink r:id="rId7" w:tgtFrame="_blank" w:tooltip="Minnesota Job Skills Partnership Board" w:history="1">
        <w:r w:rsidRPr="005D628A">
          <w:rPr>
            <w:rStyle w:val="Hyperlink"/>
          </w:rPr>
          <w:t>Minnesota Job Skills Partnership Board</w:t>
        </w:r>
      </w:hyperlink>
      <w:r w:rsidRPr="005D628A">
        <w:br/>
      </w:r>
      <w:hyperlink r:id="rId8" w:tgtFrame="_blank" w:tooltip="Supplemental Funding Request Workbook" w:history="1">
        <w:r w:rsidRPr="005D628A">
          <w:rPr>
            <w:rStyle w:val="Hyperlink"/>
          </w:rPr>
          <w:t>Supplemental Funding Request Workbook</w:t>
        </w:r>
      </w:hyperlink>
    </w:p>
    <w:p w14:paraId="7DC3A32F" w14:textId="23D81C9F" w:rsidR="006B205E" w:rsidRPr="00BA706A" w:rsidRDefault="000E3044" w:rsidP="00BA706A">
      <w:hyperlink r:id="rId9" w:history="1">
        <w:r w:rsidR="009C0BF2" w:rsidRPr="009C0BF2">
          <w:rPr>
            <w:rStyle w:val="Hyperlink"/>
          </w:rPr>
          <w:t>Transferability of Funds between WIOA Adult and WIOA Dislocated Worker Policy</w:t>
        </w:r>
      </w:hyperlink>
    </w:p>
    <w:sectPr w:rsidR="006B205E" w:rsidRPr="00BA70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5ADE" w14:textId="77777777" w:rsidR="00245F92" w:rsidRDefault="00245F92" w:rsidP="005D628A">
      <w:pPr>
        <w:spacing w:after="0" w:line="240" w:lineRule="auto"/>
      </w:pPr>
      <w:r>
        <w:separator/>
      </w:r>
    </w:p>
  </w:endnote>
  <w:endnote w:type="continuationSeparator" w:id="0">
    <w:p w14:paraId="4F4334FE" w14:textId="77777777" w:rsidR="00245F92" w:rsidRDefault="00245F92" w:rsidP="005D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0F01" w14:textId="5E5C19B7" w:rsidR="00677033" w:rsidRPr="00677033" w:rsidRDefault="00677033" w:rsidP="00677033">
    <w:pPr>
      <w:pStyle w:val="Footer"/>
    </w:pPr>
    <w:r>
      <w:t xml:space="preserve">Last Updated: </w:t>
    </w:r>
    <w:r w:rsidR="000317F8">
      <w:t>4</w:t>
    </w:r>
    <w:r>
      <w:t>/</w:t>
    </w:r>
    <w:r w:rsidR="000317F8">
      <w:t>1</w:t>
    </w:r>
    <w:r w:rsidR="00A53966">
      <w:t>8</w:t>
    </w:r>
    <w:r>
      <w:t xml:space="preserve">/2025                                                                                                                             Page |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6A43A" w14:textId="77777777" w:rsidR="00245F92" w:rsidRDefault="00245F92" w:rsidP="005D628A">
      <w:pPr>
        <w:spacing w:after="0" w:line="240" w:lineRule="auto"/>
      </w:pPr>
      <w:r>
        <w:separator/>
      </w:r>
    </w:p>
  </w:footnote>
  <w:footnote w:type="continuationSeparator" w:id="0">
    <w:p w14:paraId="290578D2" w14:textId="77777777" w:rsidR="00245F92" w:rsidRDefault="00245F92" w:rsidP="005D628A">
      <w:pPr>
        <w:spacing w:after="0" w:line="240" w:lineRule="auto"/>
      </w:pPr>
      <w:r>
        <w:continuationSeparator/>
      </w:r>
    </w:p>
  </w:footnote>
  <w:footnote w:id="1">
    <w:p w14:paraId="21A0A308" w14:textId="55D62A7A" w:rsidR="00CA4734" w:rsidRDefault="00CA4734">
      <w:pPr>
        <w:pStyle w:val="FootnoteText"/>
      </w:pPr>
      <w:r>
        <w:rPr>
          <w:rStyle w:val="FootnoteReference"/>
        </w:rPr>
        <w:footnoteRef/>
      </w:r>
      <w:r>
        <w:t xml:space="preserve"> MSS 116.17 subd. 2(c)</w:t>
      </w:r>
    </w:p>
  </w:footnote>
  <w:footnote w:id="2">
    <w:p w14:paraId="53DE6E15" w14:textId="0FB252F3" w:rsidR="00CA4734" w:rsidRDefault="00CA4734">
      <w:pPr>
        <w:pStyle w:val="FootnoteText"/>
      </w:pPr>
      <w:r>
        <w:rPr>
          <w:rStyle w:val="FootnoteReference"/>
        </w:rPr>
        <w:footnoteRef/>
      </w:r>
      <w:r>
        <w:t xml:space="preserve"> MSS 116.17 subd. 2(c)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6CF7" w14:textId="71D80FF9" w:rsidR="00754EF6" w:rsidRDefault="00754EF6">
    <w:pPr>
      <w:pStyle w:val="Header"/>
    </w:pPr>
    <w:r>
      <w:rPr>
        <w:noProof/>
      </w:rPr>
      <w:drawing>
        <wp:anchor distT="0" distB="0" distL="114300" distR="114300" simplePos="0" relativeHeight="251658240" behindDoc="1" locked="0" layoutInCell="1" allowOverlap="1" wp14:anchorId="16C4716B" wp14:editId="4C8F8836">
          <wp:simplePos x="0" y="0"/>
          <wp:positionH relativeFrom="column">
            <wp:posOffset>2432050</wp:posOffset>
          </wp:positionH>
          <wp:positionV relativeFrom="paragraph">
            <wp:posOffset>-165100</wp:posOffset>
          </wp:positionV>
          <wp:extent cx="1073785" cy="355600"/>
          <wp:effectExtent l="0" t="0" r="0" b="0"/>
          <wp:wrapNone/>
          <wp:docPr id="191622381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23816"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785" cy="355600"/>
                  </a:xfrm>
                  <a:prstGeom prst="rect">
                    <a:avLst/>
                  </a:prstGeom>
                  <a:noFill/>
                  <a:ln>
                    <a:noFill/>
                  </a:ln>
                </pic:spPr>
              </pic:pic>
            </a:graphicData>
          </a:graphic>
        </wp:anchor>
      </w:drawing>
    </w:r>
  </w:p>
  <w:p w14:paraId="0E5CDF84" w14:textId="1FEF7E87" w:rsidR="005D628A" w:rsidRDefault="005D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834"/>
    <w:multiLevelType w:val="hybridMultilevel"/>
    <w:tmpl w:val="D730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82528"/>
    <w:multiLevelType w:val="hybridMultilevel"/>
    <w:tmpl w:val="6BE0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763FE"/>
    <w:multiLevelType w:val="multilevel"/>
    <w:tmpl w:val="B25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A4198"/>
    <w:multiLevelType w:val="multilevel"/>
    <w:tmpl w:val="702A6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73FB4"/>
    <w:multiLevelType w:val="hybridMultilevel"/>
    <w:tmpl w:val="6102D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043227">
    <w:abstractNumId w:val="3"/>
  </w:num>
  <w:num w:numId="2" w16cid:durableId="1203131757">
    <w:abstractNumId w:val="2"/>
  </w:num>
  <w:num w:numId="3" w16cid:durableId="1822380734">
    <w:abstractNumId w:val="0"/>
  </w:num>
  <w:num w:numId="4" w16cid:durableId="1167937370">
    <w:abstractNumId w:val="4"/>
  </w:num>
  <w:num w:numId="5" w16cid:durableId="1835683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8A"/>
    <w:rsid w:val="000317F8"/>
    <w:rsid w:val="00194A8B"/>
    <w:rsid w:val="001C05D9"/>
    <w:rsid w:val="00245F92"/>
    <w:rsid w:val="00260297"/>
    <w:rsid w:val="002D3455"/>
    <w:rsid w:val="002D6411"/>
    <w:rsid w:val="003A6331"/>
    <w:rsid w:val="003E7E4D"/>
    <w:rsid w:val="00492E16"/>
    <w:rsid w:val="004A0162"/>
    <w:rsid w:val="004C79D5"/>
    <w:rsid w:val="004D46CE"/>
    <w:rsid w:val="004F1DFB"/>
    <w:rsid w:val="0050137A"/>
    <w:rsid w:val="00571FB6"/>
    <w:rsid w:val="005B47ED"/>
    <w:rsid w:val="005D628A"/>
    <w:rsid w:val="00615C9A"/>
    <w:rsid w:val="00677033"/>
    <w:rsid w:val="006B205E"/>
    <w:rsid w:val="006F0B48"/>
    <w:rsid w:val="00754EF6"/>
    <w:rsid w:val="007C17A4"/>
    <w:rsid w:val="007C2CCC"/>
    <w:rsid w:val="0081736D"/>
    <w:rsid w:val="00830744"/>
    <w:rsid w:val="00833AAC"/>
    <w:rsid w:val="009C0BF2"/>
    <w:rsid w:val="00A5376F"/>
    <w:rsid w:val="00A53966"/>
    <w:rsid w:val="00AF07F6"/>
    <w:rsid w:val="00BA706A"/>
    <w:rsid w:val="00BC057E"/>
    <w:rsid w:val="00C20395"/>
    <w:rsid w:val="00C23144"/>
    <w:rsid w:val="00CA4734"/>
    <w:rsid w:val="00CB09B3"/>
    <w:rsid w:val="00D3738D"/>
    <w:rsid w:val="00DC3865"/>
    <w:rsid w:val="00DE0DBF"/>
    <w:rsid w:val="00E27986"/>
    <w:rsid w:val="00EA123A"/>
    <w:rsid w:val="00ED1B90"/>
    <w:rsid w:val="00EF7363"/>
    <w:rsid w:val="00F972B1"/>
    <w:rsid w:val="00FA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44B4C"/>
  <w15:docId w15:val="{A53F39FC-78E5-4D4A-9964-4025D55E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28A"/>
  </w:style>
  <w:style w:type="paragraph" w:styleId="Footer">
    <w:name w:val="footer"/>
    <w:basedOn w:val="Normal"/>
    <w:link w:val="FooterChar"/>
    <w:uiPriority w:val="99"/>
    <w:unhideWhenUsed/>
    <w:rsid w:val="005D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28A"/>
  </w:style>
  <w:style w:type="character" w:styleId="Hyperlink">
    <w:name w:val="Hyperlink"/>
    <w:basedOn w:val="DefaultParagraphFont"/>
    <w:uiPriority w:val="99"/>
    <w:unhideWhenUsed/>
    <w:rsid w:val="005D628A"/>
    <w:rPr>
      <w:color w:val="0563C1" w:themeColor="hyperlink"/>
      <w:u w:val="single"/>
    </w:rPr>
  </w:style>
  <w:style w:type="character" w:styleId="UnresolvedMention">
    <w:name w:val="Unresolved Mention"/>
    <w:basedOn w:val="DefaultParagraphFont"/>
    <w:uiPriority w:val="99"/>
    <w:semiHidden/>
    <w:unhideWhenUsed/>
    <w:rsid w:val="005D628A"/>
    <w:rPr>
      <w:color w:val="605E5C"/>
      <w:shd w:val="clear" w:color="auto" w:fill="E1DFDD"/>
    </w:rPr>
  </w:style>
  <w:style w:type="paragraph" w:styleId="Revision">
    <w:name w:val="Revision"/>
    <w:hidden/>
    <w:uiPriority w:val="99"/>
    <w:semiHidden/>
    <w:rsid w:val="005D628A"/>
    <w:pPr>
      <w:spacing w:after="0" w:line="240" w:lineRule="auto"/>
    </w:pPr>
  </w:style>
  <w:style w:type="character" w:styleId="CommentReference">
    <w:name w:val="annotation reference"/>
    <w:basedOn w:val="DefaultParagraphFont"/>
    <w:uiPriority w:val="99"/>
    <w:semiHidden/>
    <w:unhideWhenUsed/>
    <w:rsid w:val="005D628A"/>
    <w:rPr>
      <w:sz w:val="16"/>
      <w:szCs w:val="16"/>
    </w:rPr>
  </w:style>
  <w:style w:type="paragraph" w:styleId="CommentText">
    <w:name w:val="annotation text"/>
    <w:basedOn w:val="Normal"/>
    <w:link w:val="CommentTextChar"/>
    <w:uiPriority w:val="99"/>
    <w:unhideWhenUsed/>
    <w:rsid w:val="005D628A"/>
    <w:pPr>
      <w:spacing w:line="240" w:lineRule="auto"/>
    </w:pPr>
    <w:rPr>
      <w:sz w:val="20"/>
      <w:szCs w:val="20"/>
    </w:rPr>
  </w:style>
  <w:style w:type="character" w:customStyle="1" w:styleId="CommentTextChar">
    <w:name w:val="Comment Text Char"/>
    <w:basedOn w:val="DefaultParagraphFont"/>
    <w:link w:val="CommentText"/>
    <w:uiPriority w:val="99"/>
    <w:rsid w:val="005D628A"/>
    <w:rPr>
      <w:sz w:val="20"/>
      <w:szCs w:val="20"/>
    </w:rPr>
  </w:style>
  <w:style w:type="paragraph" w:styleId="CommentSubject">
    <w:name w:val="annotation subject"/>
    <w:basedOn w:val="CommentText"/>
    <w:next w:val="CommentText"/>
    <w:link w:val="CommentSubjectChar"/>
    <w:uiPriority w:val="99"/>
    <w:semiHidden/>
    <w:unhideWhenUsed/>
    <w:rsid w:val="005D628A"/>
    <w:rPr>
      <w:b/>
      <w:bCs/>
    </w:rPr>
  </w:style>
  <w:style w:type="character" w:customStyle="1" w:styleId="CommentSubjectChar">
    <w:name w:val="Comment Subject Char"/>
    <w:basedOn w:val="CommentTextChar"/>
    <w:link w:val="CommentSubject"/>
    <w:uiPriority w:val="99"/>
    <w:semiHidden/>
    <w:rsid w:val="005D628A"/>
    <w:rPr>
      <w:b/>
      <w:bCs/>
      <w:sz w:val="20"/>
      <w:szCs w:val="20"/>
    </w:rPr>
  </w:style>
  <w:style w:type="character" w:styleId="FollowedHyperlink">
    <w:name w:val="FollowedHyperlink"/>
    <w:basedOn w:val="DefaultParagraphFont"/>
    <w:uiPriority w:val="99"/>
    <w:semiHidden/>
    <w:unhideWhenUsed/>
    <w:rsid w:val="003E7E4D"/>
    <w:rPr>
      <w:color w:val="954F72" w:themeColor="followedHyperlink"/>
      <w:u w:val="single"/>
    </w:rPr>
  </w:style>
  <w:style w:type="paragraph" w:styleId="ListParagraph">
    <w:name w:val="List Paragraph"/>
    <w:basedOn w:val="Normal"/>
    <w:uiPriority w:val="34"/>
    <w:qFormat/>
    <w:rsid w:val="00260297"/>
    <w:pPr>
      <w:ind w:left="720"/>
      <w:contextualSpacing/>
    </w:pPr>
  </w:style>
  <w:style w:type="paragraph" w:styleId="FootnoteText">
    <w:name w:val="footnote text"/>
    <w:basedOn w:val="Normal"/>
    <w:link w:val="FootnoteTextChar"/>
    <w:uiPriority w:val="99"/>
    <w:semiHidden/>
    <w:unhideWhenUsed/>
    <w:rsid w:val="00260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0297"/>
    <w:rPr>
      <w:sz w:val="20"/>
      <w:szCs w:val="20"/>
    </w:rPr>
  </w:style>
  <w:style w:type="character" w:styleId="FootnoteReference">
    <w:name w:val="footnote reference"/>
    <w:basedOn w:val="DefaultParagraphFont"/>
    <w:uiPriority w:val="99"/>
    <w:semiHidden/>
    <w:unhideWhenUsed/>
    <w:rsid w:val="00260297"/>
    <w:rPr>
      <w:vertAlign w:val="superscript"/>
    </w:rPr>
  </w:style>
  <w:style w:type="character" w:customStyle="1" w:styleId="cf01">
    <w:name w:val="cf01"/>
    <w:basedOn w:val="DefaultParagraphFont"/>
    <w:rsid w:val="00677033"/>
    <w:rPr>
      <w:rFonts w:ascii="Segoe UI" w:hAnsi="Segoe UI" w:cs="Segoe UI" w:hint="default"/>
      <w:sz w:val="18"/>
      <w:szCs w:val="18"/>
    </w:rPr>
  </w:style>
  <w:style w:type="table" w:styleId="TableGrid">
    <w:name w:val="Table Grid"/>
    <w:basedOn w:val="TableNormal"/>
    <w:uiPriority w:val="39"/>
    <w:rsid w:val="006B2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20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88903">
      <w:bodyDiv w:val="1"/>
      <w:marLeft w:val="0"/>
      <w:marRight w:val="0"/>
      <w:marTop w:val="0"/>
      <w:marBottom w:val="0"/>
      <w:divBdr>
        <w:top w:val="none" w:sz="0" w:space="0" w:color="auto"/>
        <w:left w:val="none" w:sz="0" w:space="0" w:color="auto"/>
        <w:bottom w:val="none" w:sz="0" w:space="0" w:color="auto"/>
        <w:right w:val="none" w:sz="0" w:space="0" w:color="auto"/>
      </w:divBdr>
      <w:divsChild>
        <w:div w:id="634287783">
          <w:blockQuote w:val="1"/>
          <w:marLeft w:val="720"/>
          <w:marRight w:val="720"/>
          <w:marTop w:val="100"/>
          <w:marBottom w:val="100"/>
          <w:divBdr>
            <w:top w:val="none" w:sz="0" w:space="0" w:color="auto"/>
            <w:left w:val="none" w:sz="0" w:space="0" w:color="auto"/>
            <w:bottom w:val="none" w:sz="0" w:space="0" w:color="auto"/>
            <w:right w:val="none" w:sz="0" w:space="0" w:color="auto"/>
          </w:divBdr>
        </w:div>
        <w:div w:id="71913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73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0460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06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87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s.deed.state.mn.us/assets/policies/xls/supplemental-funding-request.xls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n.gov/deed/business/financing-business/training-gra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ps.deed.state.mn.us/ddp/PolicyDetail.aspx?pol=5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Alec (He/Him/His) (DEED)</dc:creator>
  <cp:keywords/>
  <dc:description/>
  <cp:lastModifiedBy>Smith, Alec (He/Him/His) (DEED)</cp:lastModifiedBy>
  <cp:revision>2</cp:revision>
  <cp:lastPrinted>2025-01-31T19:01:00Z</cp:lastPrinted>
  <dcterms:created xsi:type="dcterms:W3CDTF">2025-04-18T17:56:00Z</dcterms:created>
  <dcterms:modified xsi:type="dcterms:W3CDTF">2025-04-18T17:56:00Z</dcterms:modified>
</cp:coreProperties>
</file>