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7EA5" w14:textId="77777777" w:rsidR="00345B35" w:rsidRDefault="00345B35" w:rsidP="00345B35">
      <w:pPr>
        <w:pStyle w:val="NoSpacing"/>
      </w:pPr>
    </w:p>
    <w:p w14:paraId="43C034E8" w14:textId="794803CA" w:rsidR="007A4854" w:rsidRPr="00FB3850" w:rsidRDefault="00345B35" w:rsidP="00FB3850">
      <w:pPr>
        <w:pStyle w:val="NoSpacing"/>
        <w:jc w:val="center"/>
        <w:rPr>
          <w:b/>
          <w:bCs/>
          <w:sz w:val="28"/>
          <w:szCs w:val="28"/>
        </w:rPr>
      </w:pPr>
      <w:r w:rsidRPr="00FB3850">
        <w:rPr>
          <w:b/>
          <w:bCs/>
          <w:noProof/>
          <w:sz w:val="28"/>
          <w:szCs w:val="28"/>
        </w:rPr>
        <w:drawing>
          <wp:anchor distT="0" distB="0" distL="0" distR="0" simplePos="0" relativeHeight="251659264" behindDoc="0" locked="0" layoutInCell="1" allowOverlap="0" wp14:anchorId="01A823C0" wp14:editId="6F57B432">
            <wp:simplePos x="0" y="0"/>
            <wp:positionH relativeFrom="page">
              <wp:posOffset>6350</wp:posOffset>
            </wp:positionH>
            <wp:positionV relativeFrom="page">
              <wp:align>top</wp:align>
            </wp:positionV>
            <wp:extent cx="7772400" cy="1249680"/>
            <wp:effectExtent l="0" t="0" r="0" b="7620"/>
            <wp:wrapSquare wrapText="bothSides"/>
            <wp:docPr id="2" name="Picture 2" descr="Minnesota Department of Employment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nesota Department of Employment and Economic Develop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2400" cy="1249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3850">
        <w:rPr>
          <w:b/>
          <w:bCs/>
          <w:sz w:val="28"/>
          <w:szCs w:val="28"/>
        </w:rPr>
        <w:t>State Dislocated Worker Program Desk Reference</w:t>
      </w:r>
    </w:p>
    <w:p w14:paraId="07FD0B1B" w14:textId="0AED7B3C" w:rsidR="00FB3850" w:rsidRPr="00FB3850" w:rsidRDefault="00FB3850" w:rsidP="00FB3850">
      <w:pPr>
        <w:pStyle w:val="NoSpacing"/>
        <w:jc w:val="center"/>
        <w:rPr>
          <w:b/>
          <w:bCs/>
        </w:rPr>
      </w:pPr>
      <w:r w:rsidRPr="00FB3850">
        <w:rPr>
          <w:b/>
          <w:bCs/>
        </w:rPr>
        <w:t>For Non-</w:t>
      </w:r>
      <w:r w:rsidR="00373A74" w:rsidRPr="00FB3850">
        <w:rPr>
          <w:b/>
          <w:bCs/>
        </w:rPr>
        <w:t>Work-Related</w:t>
      </w:r>
      <w:r w:rsidRPr="00FB3850">
        <w:rPr>
          <w:b/>
          <w:bCs/>
        </w:rPr>
        <w:t xml:space="preserve"> Injuries and Illnesses</w:t>
      </w:r>
    </w:p>
    <w:p w14:paraId="78BB5C31" w14:textId="5C51EC62" w:rsidR="00345B35" w:rsidRDefault="000C05C5" w:rsidP="00FB3850">
      <w:pPr>
        <w:rPr>
          <w:b/>
          <w:bCs/>
          <w:sz w:val="28"/>
          <w:szCs w:val="28"/>
        </w:rPr>
      </w:pPr>
      <w:r>
        <w:rPr>
          <w:b/>
          <w:bCs/>
          <w:sz w:val="28"/>
          <w:szCs w:val="28"/>
        </w:rPr>
        <w:pict w14:anchorId="7BA39405">
          <v:rect id="_x0000_i1025" style="width:462.85pt;height:1.5pt" o:hrpct="989" o:hralign="center" o:hrstd="t" o:hr="t" fillcolor="#a0a0a0" stroked="f"/>
        </w:pict>
      </w:r>
    </w:p>
    <w:p w14:paraId="35FBA965" w14:textId="166FC861" w:rsidR="00345B35" w:rsidRDefault="00FB3850" w:rsidP="00940C55">
      <w:pPr>
        <w:pStyle w:val="NoSpacing"/>
      </w:pPr>
      <w:r>
        <w:t xml:space="preserve">2024 </w:t>
      </w:r>
      <w:r w:rsidR="00260AAA">
        <w:t xml:space="preserve">legislative </w:t>
      </w:r>
      <w:r>
        <w:t xml:space="preserve">updates to the State Dislocated Worker </w:t>
      </w:r>
      <w:r w:rsidR="00260AAA">
        <w:t xml:space="preserve">Program </w:t>
      </w:r>
      <w:r>
        <w:t xml:space="preserve">(DW) have expanded the </w:t>
      </w:r>
      <w:r w:rsidR="00CD2C28">
        <w:t>eligibility</w:t>
      </w:r>
      <w:r>
        <w:t xml:space="preserve"> criteria to new populations</w:t>
      </w:r>
      <w:r w:rsidR="001D46CC">
        <w:t>, i</w:t>
      </w:r>
      <w:r>
        <w:t xml:space="preserve">ncluding those with </w:t>
      </w:r>
      <w:r w:rsidR="00CD2C28">
        <w:t>n</w:t>
      </w:r>
      <w:r w:rsidRPr="00FB3850">
        <w:t>on-</w:t>
      </w:r>
      <w:r w:rsidR="00CD2C28">
        <w:t>w</w:t>
      </w:r>
      <w:r w:rsidR="00CD2C28" w:rsidRPr="00FB3850">
        <w:t>ork-related</w:t>
      </w:r>
      <w:r w:rsidRPr="00FB3850">
        <w:t xml:space="preserve"> </w:t>
      </w:r>
      <w:r w:rsidR="00CD2C28">
        <w:t>i</w:t>
      </w:r>
      <w:r w:rsidRPr="00FB3850">
        <w:t xml:space="preserve">njuries and </w:t>
      </w:r>
      <w:r w:rsidR="00CD2C28">
        <w:t>i</w:t>
      </w:r>
      <w:r w:rsidRPr="00FB3850">
        <w:t>llnesses</w:t>
      </w:r>
      <w:r>
        <w:t xml:space="preserve">. </w:t>
      </w:r>
      <w:r w:rsidR="00CD2C28">
        <w:t xml:space="preserve">This Desk Reference provides guidance </w:t>
      </w:r>
      <w:r w:rsidR="001D46CC">
        <w:t xml:space="preserve">on </w:t>
      </w:r>
      <w:r w:rsidR="00CD2C28">
        <w:t>eligibility requirements, best practices, and FAQs</w:t>
      </w:r>
      <w:r w:rsidR="001D46CC">
        <w:t>,</w:t>
      </w:r>
      <w:r w:rsidR="001D46CC" w:rsidRPr="001D46CC">
        <w:t xml:space="preserve"> </w:t>
      </w:r>
      <w:r w:rsidR="001D46CC">
        <w:t>to stakeholders</w:t>
      </w:r>
      <w:r w:rsidR="00CD2C28">
        <w:t>.</w:t>
      </w:r>
    </w:p>
    <w:p w14:paraId="0E4A9B84" w14:textId="77777777" w:rsidR="00940C55" w:rsidRPr="00940C55" w:rsidRDefault="00940C55" w:rsidP="00940C55">
      <w:pPr>
        <w:pStyle w:val="NoSpacing"/>
        <w:rPr>
          <w:sz w:val="12"/>
          <w:szCs w:val="12"/>
        </w:rPr>
      </w:pPr>
    </w:p>
    <w:p w14:paraId="5B82877B" w14:textId="0BE85B67" w:rsidR="00CD2C28" w:rsidRPr="00940C55" w:rsidRDefault="00CD2C28" w:rsidP="00CD2C28">
      <w:pPr>
        <w:pStyle w:val="NoSpacing"/>
        <w:jc w:val="center"/>
        <w:rPr>
          <w:b/>
          <w:bCs/>
          <w:u w:val="single"/>
        </w:rPr>
      </w:pPr>
      <w:r w:rsidRPr="00940C55">
        <w:rPr>
          <w:b/>
          <w:bCs/>
          <w:u w:val="single"/>
        </w:rPr>
        <w:t>Required Criteria</w:t>
      </w:r>
    </w:p>
    <w:p w14:paraId="0F17D685" w14:textId="46938935" w:rsidR="00CD2C28" w:rsidRDefault="00CD2C28" w:rsidP="00CD2C28">
      <w:pPr>
        <w:pStyle w:val="NoSpacing"/>
      </w:pPr>
      <w:r>
        <w:t>Eligibility for State DW Program for n</w:t>
      </w:r>
      <w:r w:rsidRPr="00FB3850">
        <w:t>on-</w:t>
      </w:r>
      <w:r>
        <w:t>w</w:t>
      </w:r>
      <w:r w:rsidRPr="00FB3850">
        <w:t xml:space="preserve">ork-related </w:t>
      </w:r>
      <w:r>
        <w:t>i</w:t>
      </w:r>
      <w:r w:rsidRPr="00FB3850">
        <w:t xml:space="preserve">njuries and </w:t>
      </w:r>
      <w:r>
        <w:t>i</w:t>
      </w:r>
      <w:r w:rsidRPr="00FB3850">
        <w:t>llnesses</w:t>
      </w:r>
      <w:r>
        <w:t xml:space="preserve"> includes individuals who: </w:t>
      </w:r>
    </w:p>
    <w:p w14:paraId="178A5A10" w14:textId="77777777" w:rsidR="00CD2C28" w:rsidRPr="00CD2C28" w:rsidRDefault="00CD2C28" w:rsidP="00CD2C28">
      <w:pPr>
        <w:pStyle w:val="NoSpacing"/>
        <w:rPr>
          <w:sz w:val="12"/>
          <w:szCs w:val="12"/>
        </w:rPr>
      </w:pPr>
    </w:p>
    <w:p w14:paraId="5219E84E" w14:textId="71410165" w:rsidR="00CD2C28" w:rsidRDefault="00CD2C28" w:rsidP="00CD2C28">
      <w:pPr>
        <w:pStyle w:val="NoSpacing"/>
        <w:numPr>
          <w:ilvl w:val="0"/>
          <w:numId w:val="2"/>
        </w:numPr>
        <w:rPr>
          <w:rFonts w:cstheme="minorHAnsi"/>
          <w:kern w:val="0"/>
        </w:rPr>
      </w:pPr>
      <w:r>
        <w:t>Ha</w:t>
      </w:r>
      <w:r w:rsidR="00260AAA">
        <w:t>ve</w:t>
      </w:r>
      <w:r>
        <w:t xml:space="preserve"> a </w:t>
      </w:r>
      <w:r w:rsidRPr="00BF0195">
        <w:rPr>
          <w:rFonts w:cstheme="minorHAnsi"/>
          <w:spacing w:val="15"/>
          <w:kern w:val="0"/>
        </w:rPr>
        <w:t xml:space="preserve">non-work-related </w:t>
      </w:r>
      <w:r w:rsidR="00260AAA">
        <w:rPr>
          <w:rFonts w:cstheme="minorHAnsi"/>
          <w:spacing w:val="15"/>
          <w:kern w:val="0"/>
        </w:rPr>
        <w:t>i</w:t>
      </w:r>
      <w:r w:rsidRPr="00BF0195">
        <w:rPr>
          <w:rFonts w:cstheme="minorHAnsi"/>
          <w:spacing w:val="15"/>
          <w:kern w:val="0"/>
        </w:rPr>
        <w:t>njur</w:t>
      </w:r>
      <w:r w:rsidR="00260AAA">
        <w:rPr>
          <w:rFonts w:cstheme="minorHAnsi"/>
          <w:spacing w:val="15"/>
          <w:kern w:val="0"/>
        </w:rPr>
        <w:t>y</w:t>
      </w:r>
      <w:r w:rsidRPr="00BF0195">
        <w:rPr>
          <w:rFonts w:cstheme="minorHAnsi"/>
          <w:spacing w:val="15"/>
          <w:kern w:val="0"/>
        </w:rPr>
        <w:t xml:space="preserve"> </w:t>
      </w:r>
      <w:r w:rsidRPr="00BF0195">
        <w:rPr>
          <w:rFonts w:cstheme="minorHAnsi"/>
          <w:spacing w:val="15"/>
          <w:kern w:val="0"/>
          <w:u w:val="single"/>
        </w:rPr>
        <w:t>or</w:t>
      </w:r>
      <w:r w:rsidRPr="00BF0195">
        <w:rPr>
          <w:rFonts w:cstheme="minorHAnsi"/>
          <w:spacing w:val="15"/>
          <w:kern w:val="0"/>
        </w:rPr>
        <w:t xml:space="preserve"> illness</w:t>
      </w:r>
      <w:r w:rsidR="00FB51F0">
        <w:rPr>
          <w:rFonts w:cstheme="minorHAnsi"/>
          <w:spacing w:val="15"/>
          <w:kern w:val="0"/>
        </w:rPr>
        <w:t>(</w:t>
      </w:r>
      <w:r w:rsidRPr="00BF0195">
        <w:rPr>
          <w:rFonts w:cstheme="minorHAnsi"/>
          <w:spacing w:val="15"/>
          <w:kern w:val="0"/>
        </w:rPr>
        <w:t>es</w:t>
      </w:r>
      <w:r w:rsidR="00FB51F0">
        <w:rPr>
          <w:rFonts w:cstheme="minorHAnsi"/>
          <w:spacing w:val="15"/>
          <w:kern w:val="0"/>
        </w:rPr>
        <w:t>)</w:t>
      </w:r>
      <w:r>
        <w:rPr>
          <w:rFonts w:cstheme="minorHAnsi"/>
          <w:kern w:val="0"/>
        </w:rPr>
        <w:t xml:space="preserve">, </w:t>
      </w:r>
      <w:r w:rsidRPr="00CD2C28">
        <w:rPr>
          <w:rFonts w:cstheme="minorHAnsi"/>
          <w:kern w:val="0"/>
          <w:u w:val="single"/>
        </w:rPr>
        <w:t>and</w:t>
      </w:r>
      <w:r>
        <w:rPr>
          <w:rFonts w:cstheme="minorHAnsi"/>
          <w:kern w:val="0"/>
        </w:rPr>
        <w:t>,</w:t>
      </w:r>
    </w:p>
    <w:p w14:paraId="1307DC70" w14:textId="4440E8DB" w:rsidR="00CD2C28" w:rsidRPr="00CD2C28" w:rsidRDefault="00CD2C28" w:rsidP="00CD2C28">
      <w:pPr>
        <w:pStyle w:val="NoSpacing"/>
        <w:numPr>
          <w:ilvl w:val="0"/>
          <w:numId w:val="2"/>
        </w:numPr>
        <w:rPr>
          <w:rFonts w:cstheme="minorHAnsi"/>
          <w:kern w:val="0"/>
        </w:rPr>
      </w:pPr>
      <w:r>
        <w:rPr>
          <w:rFonts w:cstheme="minorHAnsi"/>
          <w:shd w:val="clear" w:color="auto" w:fill="FFFFFF"/>
        </w:rPr>
        <w:t>D</w:t>
      </w:r>
      <w:r w:rsidRPr="00CD2C28">
        <w:rPr>
          <w:rFonts w:cstheme="minorHAnsi"/>
          <w:shd w:val="clear" w:color="auto" w:fill="FFFFFF"/>
        </w:rPr>
        <w:t>oes not have a</w:t>
      </w:r>
      <w:r w:rsidRPr="00CD2C28">
        <w:rPr>
          <w:rFonts w:cstheme="minorHAnsi"/>
        </w:rPr>
        <w:t xml:space="preserve"> </w:t>
      </w:r>
      <w:r w:rsidRPr="00CD2C28">
        <w:rPr>
          <w:rFonts w:cstheme="minorHAnsi"/>
          <w:shd w:val="clear" w:color="auto" w:fill="FFFFFF"/>
        </w:rPr>
        <w:t>workers' compensation case</w:t>
      </w:r>
      <w:r>
        <w:rPr>
          <w:rFonts w:cstheme="minorHAnsi"/>
          <w:shd w:val="clear" w:color="auto" w:fill="FFFFFF"/>
        </w:rPr>
        <w:t xml:space="preserve">, </w:t>
      </w:r>
      <w:r w:rsidRPr="00CD2C28">
        <w:rPr>
          <w:rFonts w:cstheme="minorHAnsi"/>
          <w:u w:val="single"/>
          <w:shd w:val="clear" w:color="auto" w:fill="FFFFFF"/>
        </w:rPr>
        <w:t>and</w:t>
      </w:r>
      <w:r>
        <w:rPr>
          <w:rFonts w:cstheme="minorHAnsi"/>
          <w:shd w:val="clear" w:color="auto" w:fill="FFFFFF"/>
        </w:rPr>
        <w:t xml:space="preserve"> </w:t>
      </w:r>
    </w:p>
    <w:p w14:paraId="125AFE79" w14:textId="1523A891" w:rsidR="00CD2C28" w:rsidRPr="00CD2C28" w:rsidRDefault="00CD2C28" w:rsidP="00CD2C28">
      <w:pPr>
        <w:pStyle w:val="NoSpacing"/>
        <w:numPr>
          <w:ilvl w:val="0"/>
          <w:numId w:val="2"/>
        </w:numPr>
        <w:rPr>
          <w:rFonts w:cstheme="minorHAnsi"/>
          <w:kern w:val="0"/>
        </w:rPr>
      </w:pPr>
      <w:r>
        <w:rPr>
          <w:rFonts w:cstheme="minorHAnsi"/>
          <w:shd w:val="clear" w:color="auto" w:fill="FFFFFF"/>
        </w:rPr>
        <w:t>N</w:t>
      </w:r>
      <w:r w:rsidRPr="00CD2C28">
        <w:rPr>
          <w:rFonts w:cstheme="minorHAnsi"/>
          <w:shd w:val="clear" w:color="auto" w:fill="FFFFFF"/>
        </w:rPr>
        <w:t>eeds support to reenter or remain in the workforce.</w:t>
      </w:r>
    </w:p>
    <w:p w14:paraId="5BEBE662" w14:textId="77777777" w:rsidR="00CD2C28" w:rsidRPr="00940C55" w:rsidRDefault="00CD2C28" w:rsidP="00CD2C28">
      <w:pPr>
        <w:pStyle w:val="NoSpacing"/>
        <w:rPr>
          <w:rFonts w:cstheme="minorHAnsi"/>
          <w:sz w:val="12"/>
          <w:szCs w:val="12"/>
          <w:shd w:val="clear" w:color="auto" w:fill="FFFFFF"/>
        </w:rPr>
      </w:pPr>
    </w:p>
    <w:tbl>
      <w:tblPr>
        <w:tblStyle w:val="TableGrid"/>
        <w:tblW w:w="0" w:type="auto"/>
        <w:tblLook w:val="04A0" w:firstRow="1" w:lastRow="0" w:firstColumn="1" w:lastColumn="0" w:noHBand="0" w:noVBand="1"/>
      </w:tblPr>
      <w:tblGrid>
        <w:gridCol w:w="9350"/>
      </w:tblGrid>
      <w:tr w:rsidR="00CD2C28" w14:paraId="7C5EE14D" w14:textId="77777777" w:rsidTr="6CDB5652">
        <w:tc>
          <w:tcPr>
            <w:tcW w:w="9350" w:type="dxa"/>
            <w:shd w:val="clear" w:color="auto" w:fill="BDD6EE" w:themeFill="accent5" w:themeFillTint="66"/>
          </w:tcPr>
          <w:p w14:paraId="6E6A3ACE" w14:textId="7C197D8D" w:rsidR="00CD2C28" w:rsidRDefault="00CD2C28" w:rsidP="00CD2C28">
            <w:pPr>
              <w:pStyle w:val="NoSpacing"/>
              <w:jc w:val="center"/>
              <w:rPr>
                <w:rFonts w:cstheme="minorHAnsi"/>
                <w:kern w:val="0"/>
              </w:rPr>
            </w:pPr>
            <w:r w:rsidRPr="00CD2C28">
              <w:rPr>
                <w:rFonts w:cstheme="minorHAnsi"/>
                <w:b/>
                <w:bCs/>
                <w:kern w:val="0"/>
              </w:rPr>
              <w:t>Defining “</w:t>
            </w:r>
            <w:r w:rsidR="00940C55">
              <w:rPr>
                <w:rFonts w:cstheme="minorHAnsi"/>
                <w:b/>
                <w:bCs/>
                <w:kern w:val="0"/>
              </w:rPr>
              <w:t>N</w:t>
            </w:r>
            <w:r w:rsidRPr="00CD2C28">
              <w:rPr>
                <w:rFonts w:cstheme="minorHAnsi"/>
                <w:b/>
                <w:bCs/>
                <w:spacing w:val="15"/>
                <w:kern w:val="0"/>
              </w:rPr>
              <w:t>on-</w:t>
            </w:r>
            <w:r w:rsidR="00940C55">
              <w:rPr>
                <w:rFonts w:cstheme="minorHAnsi"/>
                <w:b/>
                <w:bCs/>
                <w:spacing w:val="15"/>
                <w:kern w:val="0"/>
              </w:rPr>
              <w:t>W</w:t>
            </w:r>
            <w:r w:rsidRPr="00CD2C28">
              <w:rPr>
                <w:rFonts w:cstheme="minorHAnsi"/>
                <w:b/>
                <w:bCs/>
                <w:spacing w:val="15"/>
                <w:kern w:val="0"/>
              </w:rPr>
              <w:t>ork-</w:t>
            </w:r>
            <w:r w:rsidR="00940C55">
              <w:rPr>
                <w:rFonts w:cstheme="minorHAnsi"/>
                <w:b/>
                <w:bCs/>
                <w:spacing w:val="15"/>
                <w:kern w:val="0"/>
              </w:rPr>
              <w:t>R</w:t>
            </w:r>
            <w:r w:rsidRPr="00CD2C28">
              <w:rPr>
                <w:rFonts w:cstheme="minorHAnsi"/>
                <w:b/>
                <w:bCs/>
                <w:spacing w:val="15"/>
                <w:kern w:val="0"/>
              </w:rPr>
              <w:t xml:space="preserve">elated Injuries </w:t>
            </w:r>
            <w:r w:rsidRPr="00CD2C28">
              <w:rPr>
                <w:rFonts w:cstheme="minorHAnsi"/>
                <w:b/>
                <w:bCs/>
                <w:spacing w:val="15"/>
                <w:kern w:val="0"/>
                <w:u w:val="single"/>
              </w:rPr>
              <w:t>or</w:t>
            </w:r>
            <w:r w:rsidRPr="00CD2C28">
              <w:rPr>
                <w:rFonts w:cstheme="minorHAnsi"/>
                <w:b/>
                <w:bCs/>
                <w:spacing w:val="15"/>
                <w:kern w:val="0"/>
              </w:rPr>
              <w:t xml:space="preserve"> </w:t>
            </w:r>
            <w:r w:rsidR="00940C55">
              <w:rPr>
                <w:rFonts w:cstheme="minorHAnsi"/>
                <w:b/>
                <w:bCs/>
                <w:spacing w:val="15"/>
                <w:kern w:val="0"/>
              </w:rPr>
              <w:t>I</w:t>
            </w:r>
            <w:r w:rsidRPr="00CD2C28">
              <w:rPr>
                <w:rFonts w:cstheme="minorHAnsi"/>
                <w:b/>
                <w:bCs/>
                <w:spacing w:val="15"/>
                <w:kern w:val="0"/>
              </w:rPr>
              <w:t>llnesses”</w:t>
            </w:r>
          </w:p>
        </w:tc>
      </w:tr>
      <w:tr w:rsidR="00CD2C28" w14:paraId="4D453FFA" w14:textId="77777777" w:rsidTr="6CDB5652">
        <w:tc>
          <w:tcPr>
            <w:tcW w:w="9350" w:type="dxa"/>
          </w:tcPr>
          <w:p w14:paraId="3ABD5931" w14:textId="396A8F1A" w:rsidR="00CD2C28" w:rsidRDefault="00940C55" w:rsidP="00CD2C28">
            <w:pPr>
              <w:pStyle w:val="NoSpacing"/>
              <w:rPr>
                <w:rFonts w:cstheme="minorHAnsi"/>
                <w:kern w:val="0"/>
              </w:rPr>
            </w:pPr>
            <w:r>
              <w:rPr>
                <w:rFonts w:cstheme="minorHAnsi"/>
                <w:kern w:val="0"/>
              </w:rPr>
              <w:t xml:space="preserve">This includes injuries and illness that: </w:t>
            </w:r>
          </w:p>
          <w:p w14:paraId="270A32A2" w14:textId="579FBBB2" w:rsidR="00940C55" w:rsidRPr="00940C55" w:rsidRDefault="00DE7DD7" w:rsidP="00940C55">
            <w:pPr>
              <w:pStyle w:val="ListParagraph"/>
              <w:numPr>
                <w:ilvl w:val="0"/>
                <w:numId w:val="3"/>
              </w:numPr>
              <w:spacing w:after="160" w:line="259" w:lineRule="auto"/>
            </w:pPr>
            <w:r>
              <w:t xml:space="preserve">Are </w:t>
            </w:r>
            <w:r w:rsidR="00940C55">
              <w:t xml:space="preserve">the result of </w:t>
            </w:r>
            <w:r>
              <w:t xml:space="preserve">activities, accidents, or other </w:t>
            </w:r>
            <w:r w:rsidR="00940C55">
              <w:t>personal tasks unrelated to employment</w:t>
            </w:r>
            <w:r w:rsidR="009B4A38">
              <w:t xml:space="preserve"> or outside the work environment*</w:t>
            </w:r>
            <w:r>
              <w:t xml:space="preserve"> </w:t>
            </w:r>
            <w:r w:rsidR="00260AAA">
              <w:t xml:space="preserve">and </w:t>
            </w:r>
            <w:r>
              <w:t>may leave an individual unable to work for at least 4 weeks.</w:t>
            </w:r>
          </w:p>
        </w:tc>
      </w:tr>
    </w:tbl>
    <w:p w14:paraId="1C5D5D23" w14:textId="134F6CCB" w:rsidR="00940C55" w:rsidRDefault="00940C55" w:rsidP="00940C55">
      <w:pPr>
        <w:pStyle w:val="NoSpacing"/>
        <w:rPr>
          <w:rFonts w:cstheme="minorHAnsi"/>
          <w:b/>
          <w:bCs/>
          <w:kern w:val="0"/>
        </w:rPr>
      </w:pPr>
    </w:p>
    <w:tbl>
      <w:tblPr>
        <w:tblStyle w:val="TableGrid"/>
        <w:tblW w:w="0" w:type="auto"/>
        <w:tblLook w:val="04A0" w:firstRow="1" w:lastRow="0" w:firstColumn="1" w:lastColumn="0" w:noHBand="0" w:noVBand="1"/>
      </w:tblPr>
      <w:tblGrid>
        <w:gridCol w:w="9350"/>
      </w:tblGrid>
      <w:tr w:rsidR="00DE7DD7" w14:paraId="356F6A28" w14:textId="77777777" w:rsidTr="23E5AA43">
        <w:tc>
          <w:tcPr>
            <w:tcW w:w="9350" w:type="dxa"/>
            <w:shd w:val="clear" w:color="auto" w:fill="BDD6EE" w:themeFill="accent5" w:themeFillTint="66"/>
          </w:tcPr>
          <w:p w14:paraId="076E819F" w14:textId="57838E61" w:rsidR="00DE7DD7" w:rsidRDefault="00DE7DD7" w:rsidP="00A04314">
            <w:pPr>
              <w:pStyle w:val="NoSpacing"/>
              <w:jc w:val="center"/>
              <w:rPr>
                <w:rFonts w:cstheme="minorHAnsi"/>
                <w:kern w:val="0"/>
              </w:rPr>
            </w:pPr>
            <w:r>
              <w:rPr>
                <w:rFonts w:cstheme="minorHAnsi"/>
                <w:b/>
                <w:bCs/>
                <w:kern w:val="0"/>
              </w:rPr>
              <w:t xml:space="preserve">Supplemental Documentation </w:t>
            </w:r>
          </w:p>
        </w:tc>
      </w:tr>
      <w:tr w:rsidR="00DE7DD7" w14:paraId="7B5C25A5" w14:textId="77777777" w:rsidTr="23E5AA43">
        <w:tc>
          <w:tcPr>
            <w:tcW w:w="9350" w:type="dxa"/>
          </w:tcPr>
          <w:p w14:paraId="1FF66071" w14:textId="352A81D8" w:rsidR="00DE7DD7" w:rsidRDefault="265F63EE" w:rsidP="23E5AA43">
            <w:pPr>
              <w:pStyle w:val="ListParagraph"/>
              <w:numPr>
                <w:ilvl w:val="0"/>
                <w:numId w:val="3"/>
              </w:numPr>
              <w:spacing w:after="160" w:line="259" w:lineRule="auto"/>
            </w:pPr>
            <w:r w:rsidRPr="6CDB5652">
              <w:rPr>
                <w:b/>
                <w:bCs/>
                <w:kern w:val="0"/>
              </w:rPr>
              <w:t xml:space="preserve">Required </w:t>
            </w:r>
            <w:r w:rsidR="00373A74" w:rsidRPr="6CDB5652">
              <w:rPr>
                <w:kern w:val="0"/>
              </w:rPr>
              <w:t>–</w:t>
            </w:r>
            <w:r w:rsidRPr="6CDB5652">
              <w:rPr>
                <w:kern w:val="0"/>
              </w:rPr>
              <w:t xml:space="preserve"> </w:t>
            </w:r>
            <w:r w:rsidR="09724423" w:rsidRPr="23E5AA43">
              <w:t>Documentation of injury/illness conditions (i.e., written note/form documentation in electronic medical record prior to enrollment) including referrals to healthcare</w:t>
            </w:r>
          </w:p>
          <w:p w14:paraId="667D98CF" w14:textId="0B01CC9B" w:rsidR="00DE7DD7" w:rsidRPr="00940C55" w:rsidRDefault="00B771E4" w:rsidP="00A04314">
            <w:pPr>
              <w:pStyle w:val="ListParagraph"/>
              <w:numPr>
                <w:ilvl w:val="0"/>
                <w:numId w:val="3"/>
              </w:numPr>
              <w:spacing w:after="160" w:line="259" w:lineRule="auto"/>
            </w:pPr>
            <w:r w:rsidRPr="23E5AA43">
              <w:rPr>
                <w:b/>
                <w:bCs/>
              </w:rPr>
              <w:t>Required</w:t>
            </w:r>
            <w:r w:rsidR="3669B2E6" w:rsidRPr="23E5AA43">
              <w:rPr>
                <w:b/>
                <w:bCs/>
              </w:rPr>
              <w:t xml:space="preserve"> </w:t>
            </w:r>
            <w:r w:rsidR="3669B2E6" w:rsidRPr="23E5AA43">
              <w:t>–</w:t>
            </w:r>
            <w:r w:rsidR="3669B2E6" w:rsidRPr="23E5AA43">
              <w:rPr>
                <w:b/>
                <w:bCs/>
              </w:rPr>
              <w:t xml:space="preserve"> </w:t>
            </w:r>
            <w:r w:rsidR="1A063F46">
              <w:t>Documentation or record of non-work relatedness (Self Attestation)</w:t>
            </w:r>
          </w:p>
        </w:tc>
      </w:tr>
    </w:tbl>
    <w:p w14:paraId="03AF50A7" w14:textId="77777777" w:rsidR="00DE7DD7" w:rsidRDefault="00DE7DD7" w:rsidP="00940C55">
      <w:pPr>
        <w:pStyle w:val="NoSpacing"/>
        <w:rPr>
          <w:rFonts w:cstheme="minorHAnsi"/>
          <w:b/>
          <w:bCs/>
          <w:kern w:val="0"/>
        </w:rPr>
      </w:pPr>
    </w:p>
    <w:tbl>
      <w:tblPr>
        <w:tblStyle w:val="TableGrid"/>
        <w:tblW w:w="0" w:type="auto"/>
        <w:tblLook w:val="04A0" w:firstRow="1" w:lastRow="0" w:firstColumn="1" w:lastColumn="0" w:noHBand="0" w:noVBand="1"/>
      </w:tblPr>
      <w:tblGrid>
        <w:gridCol w:w="9350"/>
      </w:tblGrid>
      <w:tr w:rsidR="00210006" w14:paraId="49ACF941" w14:textId="77777777" w:rsidTr="6CDB5652">
        <w:tc>
          <w:tcPr>
            <w:tcW w:w="9350" w:type="dxa"/>
            <w:shd w:val="clear" w:color="auto" w:fill="BDD6EE" w:themeFill="accent5" w:themeFillTint="66"/>
          </w:tcPr>
          <w:p w14:paraId="13CD651E" w14:textId="6CAA6F12" w:rsidR="00210006" w:rsidRPr="00210006" w:rsidRDefault="00210006" w:rsidP="00A04314">
            <w:pPr>
              <w:pStyle w:val="NoSpacing"/>
              <w:jc w:val="center"/>
              <w:rPr>
                <w:rFonts w:cstheme="minorHAnsi"/>
                <w:b/>
                <w:bCs/>
                <w:kern w:val="0"/>
              </w:rPr>
            </w:pPr>
            <w:r w:rsidRPr="00210006">
              <w:rPr>
                <w:rFonts w:cstheme="minorHAnsi"/>
                <w:b/>
                <w:bCs/>
                <w:kern w:val="0"/>
              </w:rPr>
              <w:t>Retaining Employment and Talent After Injury/Illness Network (MN RETAIN) Co-enrollment</w:t>
            </w:r>
          </w:p>
        </w:tc>
      </w:tr>
      <w:tr w:rsidR="00210006" w:rsidRPr="00940C55" w14:paraId="035C27B0" w14:textId="77777777" w:rsidTr="6CDB5652">
        <w:tc>
          <w:tcPr>
            <w:tcW w:w="9350" w:type="dxa"/>
          </w:tcPr>
          <w:p w14:paraId="0BE305CA" w14:textId="7F52E93D" w:rsidR="00210006" w:rsidRPr="00940C55" w:rsidRDefault="00210006" w:rsidP="00210006">
            <w:pPr>
              <w:pStyle w:val="ListParagraph"/>
              <w:numPr>
                <w:ilvl w:val="0"/>
                <w:numId w:val="3"/>
              </w:numPr>
            </w:pPr>
            <w:r>
              <w:t xml:space="preserve">Individuals accessing the State DW Program through this eligibility criteria </w:t>
            </w:r>
            <w:r w:rsidR="00202683">
              <w:t xml:space="preserve">are </w:t>
            </w:r>
            <w:r w:rsidR="00202683" w:rsidRPr="00202683">
              <w:rPr>
                <w:b/>
                <w:bCs/>
                <w:u w:val="single"/>
              </w:rPr>
              <w:t>highly encouraged</w:t>
            </w:r>
            <w:r w:rsidR="00202683">
              <w:rPr>
                <w:b/>
                <w:bCs/>
              </w:rPr>
              <w:t xml:space="preserve"> </w:t>
            </w:r>
            <w:r w:rsidR="00202683" w:rsidRPr="00202683">
              <w:t xml:space="preserve">to </w:t>
            </w:r>
            <w:r w:rsidRPr="00202683">
              <w:t>be</w:t>
            </w:r>
            <w:r>
              <w:t xml:space="preserve"> </w:t>
            </w:r>
            <w:r w:rsidR="00260AAA">
              <w:t xml:space="preserve">referred for </w:t>
            </w:r>
            <w:r>
              <w:t>co-enroll</w:t>
            </w:r>
            <w:r w:rsidR="00260AAA">
              <w:t>ment consideration</w:t>
            </w:r>
            <w:r w:rsidR="00357EC3">
              <w:t xml:space="preserve"> </w:t>
            </w:r>
            <w:r w:rsidR="00260AAA">
              <w:t>with</w:t>
            </w:r>
            <w:r>
              <w:t xml:space="preserve"> MN RETAIN within 1</w:t>
            </w:r>
            <w:r w:rsidR="00023E50">
              <w:t>5</w:t>
            </w:r>
            <w:r>
              <w:t xml:space="preserve"> </w:t>
            </w:r>
            <w:r w:rsidR="002335AA">
              <w:t xml:space="preserve">business </w:t>
            </w:r>
            <w:r>
              <w:t>days of enrollment</w:t>
            </w:r>
            <w:r w:rsidR="001C6B1D">
              <w:t xml:space="preserve"> into State DW</w:t>
            </w:r>
            <w:r>
              <w:t xml:space="preserve">. </w:t>
            </w:r>
          </w:p>
          <w:p w14:paraId="1F61BB53" w14:textId="00957F95" w:rsidR="00210006" w:rsidRPr="00940C55" w:rsidRDefault="265F63EE" w:rsidP="00A04314">
            <w:pPr>
              <w:pStyle w:val="ListParagraph"/>
              <w:numPr>
                <w:ilvl w:val="0"/>
                <w:numId w:val="3"/>
              </w:numPr>
              <w:spacing w:after="160" w:line="259" w:lineRule="auto"/>
            </w:pPr>
            <w:r>
              <w:t xml:space="preserve">MN RETAIN staff are available to determine MN RETAIN eligibility. They can be reached at  </w:t>
            </w:r>
            <w:hyperlink r:id="rId12">
              <w:r w:rsidRPr="6CDB5652">
                <w:rPr>
                  <w:rStyle w:val="Hyperlink"/>
                </w:rPr>
                <w:t>healthcare@mnretain.com</w:t>
              </w:r>
            </w:hyperlink>
            <w:r>
              <w:t xml:space="preserve"> or 507-284-453.</w:t>
            </w:r>
          </w:p>
        </w:tc>
      </w:tr>
    </w:tbl>
    <w:p w14:paraId="58407F6F" w14:textId="0CE405C5" w:rsidR="6CDB5652" w:rsidRDefault="6CDB5652" w:rsidP="6CDB5652">
      <w:pPr>
        <w:pStyle w:val="NoSpacing"/>
        <w:rPr>
          <w:b/>
          <w:bCs/>
        </w:rPr>
      </w:pPr>
    </w:p>
    <w:p w14:paraId="55004BF3" w14:textId="77777777" w:rsidR="00DE7DD7" w:rsidRPr="00940C55" w:rsidRDefault="00DE7DD7" w:rsidP="00940C55">
      <w:pPr>
        <w:pStyle w:val="NoSpacing"/>
        <w:rPr>
          <w:rFonts w:cstheme="minorHAnsi"/>
          <w:b/>
          <w:bCs/>
          <w:kern w:val="0"/>
        </w:rPr>
      </w:pPr>
    </w:p>
    <w:tbl>
      <w:tblPr>
        <w:tblStyle w:val="TableGrid"/>
        <w:tblW w:w="0" w:type="auto"/>
        <w:tblLook w:val="04A0" w:firstRow="1" w:lastRow="0" w:firstColumn="1" w:lastColumn="0" w:noHBand="0" w:noVBand="1"/>
      </w:tblPr>
      <w:tblGrid>
        <w:gridCol w:w="9350"/>
      </w:tblGrid>
      <w:tr w:rsidR="00940C55" w14:paraId="569C4259" w14:textId="77777777" w:rsidTr="00940C55">
        <w:tc>
          <w:tcPr>
            <w:tcW w:w="9350" w:type="dxa"/>
            <w:shd w:val="clear" w:color="auto" w:fill="BDD6EE" w:themeFill="accent5" w:themeFillTint="66"/>
          </w:tcPr>
          <w:p w14:paraId="61280031" w14:textId="146DFE89" w:rsidR="00940C55" w:rsidRPr="00940C55" w:rsidRDefault="00940C55" w:rsidP="00940C55">
            <w:pPr>
              <w:pStyle w:val="NoSpacing"/>
              <w:jc w:val="center"/>
              <w:rPr>
                <w:rFonts w:cstheme="minorHAnsi"/>
                <w:b/>
                <w:bCs/>
                <w:kern w:val="0"/>
              </w:rPr>
            </w:pPr>
            <w:r w:rsidRPr="00940C55">
              <w:rPr>
                <w:b/>
                <w:bCs/>
              </w:rPr>
              <w:t>Frequently Asked Questions:</w:t>
            </w:r>
          </w:p>
        </w:tc>
      </w:tr>
      <w:tr w:rsidR="00940C55" w14:paraId="73CFD841" w14:textId="77777777" w:rsidTr="00940C55">
        <w:tc>
          <w:tcPr>
            <w:tcW w:w="9350" w:type="dxa"/>
          </w:tcPr>
          <w:p w14:paraId="6B211C98" w14:textId="77777777" w:rsidR="00940C55" w:rsidRDefault="00943BA7" w:rsidP="00723133">
            <w:pPr>
              <w:pStyle w:val="NoSpacing"/>
              <w:spacing w:line="276" w:lineRule="auto"/>
              <w:rPr>
                <w:rFonts w:cstheme="minorHAnsi"/>
                <w:shd w:val="clear" w:color="auto" w:fill="FFFFFF"/>
              </w:rPr>
            </w:pPr>
            <w:r w:rsidRPr="00723133">
              <w:rPr>
                <w:rFonts w:cstheme="minorHAnsi"/>
                <w:b/>
                <w:bCs/>
                <w:shd w:val="clear" w:color="auto" w:fill="FFFFFF"/>
              </w:rPr>
              <w:t>Q:</w:t>
            </w:r>
            <w:r>
              <w:rPr>
                <w:rFonts w:cstheme="minorHAnsi"/>
                <w:shd w:val="clear" w:color="auto" w:fill="FFFFFF"/>
              </w:rPr>
              <w:t xml:space="preserve"> </w:t>
            </w:r>
            <w:r w:rsidR="00723133" w:rsidRPr="00723133">
              <w:rPr>
                <w:rFonts w:cstheme="minorHAnsi"/>
                <w:shd w:val="clear" w:color="auto" w:fill="FFFFFF"/>
              </w:rPr>
              <w:t>What is the “work environment”?</w:t>
            </w:r>
          </w:p>
          <w:p w14:paraId="43AA3569" w14:textId="0B9A1999" w:rsidR="00723133" w:rsidRPr="00943BA7" w:rsidRDefault="00723133" w:rsidP="00940C55">
            <w:pPr>
              <w:pStyle w:val="NoSpacing"/>
              <w:rPr>
                <w:rFonts w:cstheme="minorHAnsi"/>
                <w:shd w:val="clear" w:color="auto" w:fill="FFFFFF"/>
              </w:rPr>
            </w:pPr>
            <w:r w:rsidRPr="00723133">
              <w:rPr>
                <w:rFonts w:cstheme="minorHAnsi"/>
                <w:b/>
                <w:bCs/>
                <w:shd w:val="clear" w:color="auto" w:fill="FFFFFF"/>
              </w:rPr>
              <w:t>A:</w:t>
            </w:r>
            <w:r>
              <w:t xml:space="preserve"> </w:t>
            </w:r>
            <w:r w:rsidRPr="00723133">
              <w:rPr>
                <w:rFonts w:cstheme="minorHAnsi"/>
                <w:i/>
                <w:iCs/>
                <w:shd w:val="clear" w:color="auto" w:fill="FFFFFF"/>
              </w:rPr>
              <w:t xml:space="preserve">OSHA defines the work environment as “the establishment and other locations where one or more employees are working or are present as a condition of their employment. The work environment includes not only physical locations, but also the equipment or materials used by the employee during the course of </w:t>
            </w:r>
            <w:r>
              <w:rPr>
                <w:rFonts w:cstheme="minorHAnsi"/>
                <w:i/>
                <w:iCs/>
                <w:shd w:val="clear" w:color="auto" w:fill="FFFFFF"/>
              </w:rPr>
              <w:t>thei</w:t>
            </w:r>
            <w:r w:rsidRPr="00723133">
              <w:rPr>
                <w:rFonts w:cstheme="minorHAnsi"/>
                <w:i/>
                <w:iCs/>
                <w:shd w:val="clear" w:color="auto" w:fill="FFFFFF"/>
              </w:rPr>
              <w:t>r work.”</w:t>
            </w:r>
          </w:p>
        </w:tc>
      </w:tr>
      <w:tr w:rsidR="00940C55" w14:paraId="5A6D6CF3" w14:textId="77777777" w:rsidTr="00940C55">
        <w:tc>
          <w:tcPr>
            <w:tcW w:w="9350" w:type="dxa"/>
          </w:tcPr>
          <w:p w14:paraId="4935346D" w14:textId="3E55A637" w:rsidR="00940C55" w:rsidRDefault="00943BA7" w:rsidP="00940C55">
            <w:pPr>
              <w:pStyle w:val="NoSpacing"/>
              <w:rPr>
                <w:rFonts w:cstheme="minorHAnsi"/>
                <w:kern w:val="0"/>
              </w:rPr>
            </w:pPr>
            <w:r w:rsidRPr="00723133">
              <w:rPr>
                <w:rFonts w:cstheme="minorHAnsi"/>
                <w:b/>
                <w:bCs/>
                <w:kern w:val="0"/>
              </w:rPr>
              <w:t>Q:</w:t>
            </w:r>
            <w:r>
              <w:rPr>
                <w:rFonts w:cstheme="minorHAnsi"/>
                <w:kern w:val="0"/>
              </w:rPr>
              <w:t xml:space="preserve"> </w:t>
            </w:r>
            <w:r w:rsidR="009B4A38">
              <w:rPr>
                <w:rFonts w:cstheme="minorHAnsi"/>
                <w:kern w:val="0"/>
              </w:rPr>
              <w:t>*</w:t>
            </w:r>
            <w:r w:rsidR="00723133" w:rsidRPr="00723133">
              <w:rPr>
                <w:rFonts w:cstheme="minorHAnsi"/>
                <w:kern w:val="0"/>
              </w:rPr>
              <w:t>Are there situations where an injury or illness occurs in the work environment and is not considered work-related?</w:t>
            </w:r>
          </w:p>
          <w:p w14:paraId="07A83106" w14:textId="2C7F59AA" w:rsidR="00723133" w:rsidRDefault="00723133" w:rsidP="00723133">
            <w:pPr>
              <w:pStyle w:val="NoSpacing"/>
              <w:spacing w:line="276" w:lineRule="auto"/>
              <w:rPr>
                <w:rFonts w:cstheme="minorHAnsi"/>
                <w:kern w:val="0"/>
              </w:rPr>
            </w:pPr>
            <w:r w:rsidRPr="00723133">
              <w:rPr>
                <w:rFonts w:cstheme="minorHAnsi"/>
                <w:b/>
                <w:bCs/>
                <w:kern w:val="0"/>
              </w:rPr>
              <w:lastRenderedPageBreak/>
              <w:t>A:</w:t>
            </w:r>
            <w:r>
              <w:t xml:space="preserve"> </w:t>
            </w:r>
            <w:r w:rsidRPr="00723133">
              <w:rPr>
                <w:rFonts w:cstheme="minorHAnsi"/>
                <w:i/>
                <w:iCs/>
                <w:kern w:val="0"/>
              </w:rPr>
              <w:t>Yes, an injury or illness occurring in the work environment that falls under one of the</w:t>
            </w:r>
            <w:r>
              <w:rPr>
                <w:rFonts w:cstheme="minorHAnsi"/>
                <w:i/>
                <w:iCs/>
                <w:kern w:val="0"/>
              </w:rPr>
              <w:t xml:space="preserve"> </w:t>
            </w:r>
            <w:r w:rsidRPr="00723133">
              <w:rPr>
                <w:rFonts w:cstheme="minorHAnsi"/>
                <w:i/>
                <w:iCs/>
                <w:kern w:val="0"/>
              </w:rPr>
              <w:t xml:space="preserve">exceptions </w:t>
            </w:r>
            <w:r>
              <w:rPr>
                <w:rFonts w:cstheme="minorHAnsi"/>
                <w:i/>
                <w:iCs/>
                <w:kern w:val="0"/>
              </w:rPr>
              <w:t xml:space="preserve">listed in </w:t>
            </w:r>
            <w:hyperlink r:id="rId13" w:history="1">
              <w:r w:rsidRPr="00723133">
                <w:rPr>
                  <w:rStyle w:val="Hyperlink"/>
                  <w:rFonts w:cstheme="minorHAnsi"/>
                  <w:i/>
                  <w:iCs/>
                  <w:kern w:val="0"/>
                </w:rPr>
                <w:t>29 CFR 1904.5(b)(2)</w:t>
              </w:r>
            </w:hyperlink>
            <w:r>
              <w:rPr>
                <w:rFonts w:cstheme="minorHAnsi"/>
                <w:i/>
                <w:iCs/>
                <w:kern w:val="0"/>
              </w:rPr>
              <w:t xml:space="preserve"> are defined as non-work-related.</w:t>
            </w:r>
          </w:p>
        </w:tc>
      </w:tr>
      <w:tr w:rsidR="008467F0" w14:paraId="6BFE84BB" w14:textId="77777777" w:rsidTr="00940C55">
        <w:tc>
          <w:tcPr>
            <w:tcW w:w="9350" w:type="dxa"/>
          </w:tcPr>
          <w:p w14:paraId="063F0DC3" w14:textId="5825678D" w:rsidR="008467F0" w:rsidRDefault="008467F0" w:rsidP="00BD6EAE">
            <w:pPr>
              <w:pStyle w:val="NoSpacing"/>
              <w:rPr>
                <w:rFonts w:cstheme="minorHAnsi"/>
                <w:b/>
                <w:bCs/>
                <w:kern w:val="0"/>
              </w:rPr>
            </w:pPr>
            <w:r>
              <w:rPr>
                <w:rFonts w:cstheme="minorHAnsi"/>
                <w:b/>
                <w:bCs/>
                <w:kern w:val="0"/>
              </w:rPr>
              <w:lastRenderedPageBreak/>
              <w:t xml:space="preserve">Q: </w:t>
            </w:r>
            <w:r w:rsidRPr="009B4A38">
              <w:rPr>
                <w:rFonts w:cstheme="minorHAnsi"/>
                <w:kern w:val="0"/>
              </w:rPr>
              <w:t>Who is providing RETAIN programming in the metro area? How will connections to RETAIN projects take place?</w:t>
            </w:r>
          </w:p>
          <w:p w14:paraId="5B9E891A" w14:textId="19908714" w:rsidR="008467F0" w:rsidRPr="00940C55" w:rsidRDefault="008467F0" w:rsidP="00BD6EAE">
            <w:pPr>
              <w:pStyle w:val="NoSpacing"/>
              <w:rPr>
                <w:rFonts w:cstheme="minorHAnsi"/>
                <w:b/>
                <w:bCs/>
                <w:kern w:val="0"/>
              </w:rPr>
            </w:pPr>
            <w:r>
              <w:rPr>
                <w:rFonts w:cstheme="minorHAnsi"/>
                <w:b/>
                <w:bCs/>
                <w:kern w:val="0"/>
              </w:rPr>
              <w:t xml:space="preserve">A: </w:t>
            </w:r>
            <w:r w:rsidRPr="009B4A38">
              <w:rPr>
                <w:rFonts w:cstheme="minorHAnsi"/>
                <w:i/>
                <w:iCs/>
                <w:kern w:val="0"/>
              </w:rPr>
              <w:t>Mayo Clinic is MN RETAIN's lead healthcare provider. They have a dedicated Return-to-Work Case Management Team that provides case management services across Minnesota. They primarily operate virtually but have staff available to meet in-person if requested. MN RETAIN has been facilitating co-enrollments between Mayo Clinic and Workforce Development Inc. for the past several years and will work with Career Navigators to meet the customer's needs.</w:t>
            </w:r>
          </w:p>
        </w:tc>
      </w:tr>
      <w:tr w:rsidR="00373A74" w14:paraId="5B995762" w14:textId="77777777" w:rsidTr="00940C55">
        <w:tc>
          <w:tcPr>
            <w:tcW w:w="9350" w:type="dxa"/>
          </w:tcPr>
          <w:p w14:paraId="24BA2292" w14:textId="7B7ACD58" w:rsidR="00373A74" w:rsidRPr="00BD6EAE" w:rsidRDefault="00373A74" w:rsidP="00BD6EAE">
            <w:pPr>
              <w:pStyle w:val="NoSpacing"/>
              <w:rPr>
                <w:rFonts w:cstheme="minorHAnsi"/>
                <w:kern w:val="0"/>
              </w:rPr>
            </w:pPr>
            <w:r w:rsidRPr="00940C55">
              <w:rPr>
                <w:rFonts w:cstheme="minorHAnsi"/>
                <w:b/>
                <w:bCs/>
                <w:kern w:val="0"/>
              </w:rPr>
              <w:t>Q:</w:t>
            </w:r>
            <w:r>
              <w:rPr>
                <w:rFonts w:cstheme="minorHAnsi"/>
                <w:kern w:val="0"/>
              </w:rPr>
              <w:t xml:space="preserve"> </w:t>
            </w:r>
            <w:r w:rsidRPr="009B4A38">
              <w:rPr>
                <w:rFonts w:cstheme="minorHAnsi"/>
                <w:kern w:val="0"/>
              </w:rPr>
              <w:t>Are employment counselors</w:t>
            </w:r>
            <w:r w:rsidRPr="00373A74">
              <w:rPr>
                <w:rFonts w:cstheme="minorHAnsi"/>
                <w:kern w:val="0"/>
              </w:rPr>
              <w:t xml:space="preserve"> </w:t>
            </w:r>
            <w:r>
              <w:rPr>
                <w:rFonts w:cstheme="minorHAnsi"/>
                <w:kern w:val="0"/>
              </w:rPr>
              <w:t xml:space="preserve">expected </w:t>
            </w:r>
            <w:r w:rsidRPr="00373A74">
              <w:rPr>
                <w:rFonts w:cstheme="minorHAnsi"/>
                <w:kern w:val="0"/>
              </w:rPr>
              <w:t xml:space="preserve">to </w:t>
            </w:r>
            <w:r>
              <w:rPr>
                <w:rFonts w:cstheme="minorHAnsi"/>
                <w:kern w:val="0"/>
              </w:rPr>
              <w:t>determine if an injury/illness is non-work-related</w:t>
            </w:r>
            <w:r w:rsidRPr="00373A74">
              <w:rPr>
                <w:rFonts w:cstheme="minorHAnsi"/>
                <w:kern w:val="0"/>
              </w:rPr>
              <w:t>?</w:t>
            </w:r>
            <w:r w:rsidR="00BD6EAE">
              <w:t xml:space="preserve"> </w:t>
            </w:r>
            <w:r w:rsidR="00BD6EAE" w:rsidRPr="00BD6EAE">
              <w:rPr>
                <w:rFonts w:cstheme="minorHAnsi"/>
                <w:kern w:val="0"/>
              </w:rPr>
              <w:t>Other than self-attestation, how would the information be verified?</w:t>
            </w:r>
            <w:r w:rsidR="00BD6EAE">
              <w:rPr>
                <w:rFonts w:cstheme="minorHAnsi"/>
                <w:kern w:val="0"/>
              </w:rPr>
              <w:t xml:space="preserve"> </w:t>
            </w:r>
            <w:r w:rsidR="00BD6EAE" w:rsidRPr="00BD6EAE">
              <w:rPr>
                <w:rFonts w:cstheme="minorHAnsi"/>
                <w:kern w:val="0"/>
              </w:rPr>
              <w:t>Would this introduce HIP</w:t>
            </w:r>
            <w:r w:rsidR="004D643C">
              <w:rPr>
                <w:rFonts w:cstheme="minorHAnsi"/>
                <w:kern w:val="0"/>
              </w:rPr>
              <w:t>A</w:t>
            </w:r>
            <w:r w:rsidR="00BD6EAE" w:rsidRPr="00BD6EAE">
              <w:rPr>
                <w:rFonts w:cstheme="minorHAnsi"/>
                <w:kern w:val="0"/>
              </w:rPr>
              <w:t>A/Privacy concerns regarding the collection of these documents</w:t>
            </w:r>
            <w:r w:rsidR="00BD6EAE">
              <w:rPr>
                <w:rFonts w:cstheme="minorHAnsi"/>
                <w:kern w:val="0"/>
              </w:rPr>
              <w:t>?</w:t>
            </w:r>
          </w:p>
          <w:p w14:paraId="13CD036C" w14:textId="77777777" w:rsidR="00373A74" w:rsidRPr="00940C55" w:rsidRDefault="00373A74" w:rsidP="00373A74">
            <w:pPr>
              <w:pStyle w:val="NoSpacing"/>
              <w:rPr>
                <w:rFonts w:cstheme="minorHAnsi"/>
                <w:sz w:val="6"/>
                <w:szCs w:val="6"/>
                <w:shd w:val="clear" w:color="auto" w:fill="FFFFFF"/>
              </w:rPr>
            </w:pPr>
          </w:p>
          <w:p w14:paraId="00C33372" w14:textId="0D10C652" w:rsidR="00373A74" w:rsidRPr="00940C55" w:rsidRDefault="00373A74" w:rsidP="00373A74">
            <w:pPr>
              <w:pStyle w:val="NoSpacing"/>
              <w:rPr>
                <w:rFonts w:cstheme="minorHAnsi"/>
                <w:b/>
                <w:bCs/>
                <w:kern w:val="0"/>
              </w:rPr>
            </w:pPr>
            <w:r w:rsidRPr="00940C55">
              <w:rPr>
                <w:rFonts w:cstheme="minorHAnsi"/>
                <w:b/>
                <w:bCs/>
                <w:kern w:val="0"/>
              </w:rPr>
              <w:t>A:</w:t>
            </w:r>
            <w:r>
              <w:rPr>
                <w:rFonts w:cstheme="minorHAnsi"/>
                <w:kern w:val="0"/>
              </w:rPr>
              <w:t xml:space="preserve"> </w:t>
            </w:r>
            <w:r w:rsidRPr="008467F0">
              <w:rPr>
                <w:rFonts w:cstheme="minorHAnsi"/>
                <w:i/>
                <w:iCs/>
                <w:kern w:val="0"/>
              </w:rPr>
              <w:t>No,</w:t>
            </w:r>
            <w:r w:rsidRPr="009B4A38">
              <w:rPr>
                <w:i/>
                <w:iCs/>
              </w:rPr>
              <w:t xml:space="preserve"> </w:t>
            </w:r>
            <w:r w:rsidR="008467F0" w:rsidRPr="009B4A38">
              <w:rPr>
                <w:i/>
                <w:iCs/>
              </w:rPr>
              <w:t>self-attestation from a participant that their injury is non-work-related is sufficient. The Health Insurance Portability and Accountability Act (HIPAA) Privacy Rule protects individuals' medical records and other health information, also known as protected health information (PHI). The rule applies to health plans, health care providers, and health care clearinghouses. Health information/documentation provided by participants, such as a doctor’s note, are not covered under HIPAA.</w:t>
            </w:r>
          </w:p>
        </w:tc>
      </w:tr>
      <w:tr w:rsidR="00940C55" w14:paraId="28F6ED99" w14:textId="77777777" w:rsidTr="00940C55">
        <w:tc>
          <w:tcPr>
            <w:tcW w:w="9350" w:type="dxa"/>
          </w:tcPr>
          <w:p w14:paraId="45EC56AF" w14:textId="77777777" w:rsidR="00943BA7" w:rsidRDefault="00943BA7" w:rsidP="00943BA7">
            <w:pPr>
              <w:pStyle w:val="NoSpacing"/>
              <w:rPr>
                <w:rFonts w:cstheme="minorHAnsi"/>
                <w:shd w:val="clear" w:color="auto" w:fill="FFFFFF"/>
              </w:rPr>
            </w:pPr>
            <w:r w:rsidRPr="00940C55">
              <w:rPr>
                <w:rFonts w:cstheme="minorHAnsi"/>
                <w:b/>
                <w:bCs/>
                <w:kern w:val="0"/>
              </w:rPr>
              <w:t>Q:</w:t>
            </w:r>
            <w:r>
              <w:rPr>
                <w:rFonts w:cstheme="minorHAnsi"/>
                <w:kern w:val="0"/>
              </w:rPr>
              <w:t xml:space="preserve"> Can participants have a </w:t>
            </w:r>
            <w:r w:rsidRPr="00CD2C28">
              <w:rPr>
                <w:rFonts w:cstheme="minorHAnsi"/>
                <w:shd w:val="clear" w:color="auto" w:fill="FFFFFF"/>
              </w:rPr>
              <w:t>workers' compensation case</w:t>
            </w:r>
            <w:r>
              <w:rPr>
                <w:rFonts w:cstheme="minorHAnsi"/>
                <w:shd w:val="clear" w:color="auto" w:fill="FFFFFF"/>
              </w:rPr>
              <w:t xml:space="preserve"> pending and still be eligible? </w:t>
            </w:r>
          </w:p>
          <w:p w14:paraId="16C65DB4" w14:textId="77777777" w:rsidR="00943BA7" w:rsidRPr="00940C55" w:rsidRDefault="00943BA7" w:rsidP="00943BA7">
            <w:pPr>
              <w:pStyle w:val="NoSpacing"/>
              <w:rPr>
                <w:rFonts w:cstheme="minorHAnsi"/>
                <w:sz w:val="6"/>
                <w:szCs w:val="6"/>
                <w:shd w:val="clear" w:color="auto" w:fill="FFFFFF"/>
              </w:rPr>
            </w:pPr>
          </w:p>
          <w:p w14:paraId="32F981D7" w14:textId="3C46E0A8" w:rsidR="00940C55" w:rsidRDefault="00943BA7" w:rsidP="00943BA7">
            <w:pPr>
              <w:pStyle w:val="NoSpacing"/>
              <w:rPr>
                <w:rFonts w:cstheme="minorHAnsi"/>
                <w:kern w:val="0"/>
              </w:rPr>
            </w:pPr>
            <w:r w:rsidRPr="00940C55">
              <w:rPr>
                <w:rFonts w:cstheme="minorHAnsi"/>
                <w:b/>
                <w:bCs/>
                <w:kern w:val="0"/>
              </w:rPr>
              <w:t>A:</w:t>
            </w:r>
            <w:r>
              <w:rPr>
                <w:rFonts w:cstheme="minorHAnsi"/>
                <w:kern w:val="0"/>
              </w:rPr>
              <w:t xml:space="preserve"> </w:t>
            </w:r>
            <w:r w:rsidRPr="00940C55">
              <w:rPr>
                <w:rFonts w:cstheme="minorHAnsi"/>
                <w:i/>
                <w:iCs/>
                <w:kern w:val="0"/>
              </w:rPr>
              <w:t xml:space="preserve">No. </w:t>
            </w:r>
            <w:r w:rsidR="00BD6EAE">
              <w:rPr>
                <w:rFonts w:cstheme="minorHAnsi"/>
                <w:i/>
                <w:iCs/>
                <w:kern w:val="0"/>
              </w:rPr>
              <w:t>P</w:t>
            </w:r>
            <w:r w:rsidRPr="00940C55">
              <w:rPr>
                <w:rFonts w:cstheme="minorHAnsi"/>
                <w:i/>
                <w:iCs/>
                <w:kern w:val="0"/>
              </w:rPr>
              <w:t>articipants</w:t>
            </w:r>
            <w:r w:rsidR="00BD6EAE">
              <w:rPr>
                <w:rFonts w:cstheme="minorHAnsi"/>
                <w:i/>
                <w:iCs/>
                <w:kern w:val="0"/>
              </w:rPr>
              <w:t xml:space="preserve"> cannot</w:t>
            </w:r>
            <w:r w:rsidRPr="00940C55">
              <w:rPr>
                <w:rFonts w:cstheme="minorHAnsi"/>
                <w:i/>
                <w:iCs/>
                <w:kern w:val="0"/>
              </w:rPr>
              <w:t xml:space="preserve"> have </w:t>
            </w:r>
            <w:r w:rsidR="00BD6EAE">
              <w:rPr>
                <w:rFonts w:cstheme="minorHAnsi"/>
                <w:i/>
                <w:iCs/>
                <w:kern w:val="0"/>
              </w:rPr>
              <w:t xml:space="preserve">a </w:t>
            </w:r>
            <w:r w:rsidRPr="00940C55">
              <w:rPr>
                <w:rFonts w:cstheme="minorHAnsi"/>
                <w:i/>
                <w:iCs/>
                <w:kern w:val="0"/>
              </w:rPr>
              <w:t xml:space="preserve">current or </w:t>
            </w:r>
            <w:r w:rsidRPr="00940C55">
              <w:rPr>
                <w:rFonts w:cstheme="minorHAnsi"/>
                <w:i/>
                <w:iCs/>
                <w:shd w:val="clear" w:color="auto" w:fill="FFFFFF"/>
              </w:rPr>
              <w:t xml:space="preserve">pending workers' compensation case </w:t>
            </w:r>
            <w:r w:rsidRPr="00940C55">
              <w:rPr>
                <w:rFonts w:cstheme="minorHAnsi"/>
                <w:i/>
                <w:iCs/>
                <w:u w:val="single"/>
                <w:shd w:val="clear" w:color="auto" w:fill="FFFFFF"/>
              </w:rPr>
              <w:t>and</w:t>
            </w:r>
            <w:r w:rsidRPr="00940C55">
              <w:rPr>
                <w:rFonts w:cstheme="minorHAnsi"/>
                <w:i/>
                <w:iCs/>
                <w:shd w:val="clear" w:color="auto" w:fill="FFFFFF"/>
              </w:rPr>
              <w:t xml:space="preserve"> have no intentions to submit a case.</w:t>
            </w:r>
          </w:p>
        </w:tc>
      </w:tr>
      <w:tr w:rsidR="00940C55" w14:paraId="0DB960DA" w14:textId="77777777" w:rsidTr="00940C55">
        <w:tc>
          <w:tcPr>
            <w:tcW w:w="9350" w:type="dxa"/>
          </w:tcPr>
          <w:p w14:paraId="650CAE02" w14:textId="065ACA3C" w:rsidR="00373A74" w:rsidRPr="00CE6CE3" w:rsidRDefault="00373A74" w:rsidP="00373A74">
            <w:pPr>
              <w:pStyle w:val="NoSpacing"/>
              <w:rPr>
                <w:rFonts w:cstheme="minorHAnsi"/>
                <w:shd w:val="clear" w:color="auto" w:fill="FFFFFF"/>
              </w:rPr>
            </w:pPr>
            <w:r w:rsidRPr="00CE6CE3">
              <w:rPr>
                <w:rFonts w:cstheme="minorHAnsi"/>
                <w:b/>
                <w:bCs/>
                <w:kern w:val="0"/>
              </w:rPr>
              <w:t>Q:</w:t>
            </w:r>
            <w:r w:rsidRPr="00CE6CE3">
              <w:rPr>
                <w:rFonts w:cstheme="minorHAnsi"/>
                <w:kern w:val="0"/>
              </w:rPr>
              <w:t xml:space="preserve"> </w:t>
            </w:r>
            <w:r w:rsidRPr="009B4A38">
              <w:rPr>
                <w:rFonts w:cstheme="minorHAnsi"/>
                <w:kern w:val="0"/>
              </w:rPr>
              <w:t>If a person is</w:t>
            </w:r>
            <w:r w:rsidRPr="00CE6CE3">
              <w:rPr>
                <w:rFonts w:cstheme="minorHAnsi"/>
                <w:kern w:val="0"/>
              </w:rPr>
              <w:t xml:space="preserve"> already employed and receiving income while injured/ill, can they be eligible under this category? What would disqualify them from continuing to receive DWP services?</w:t>
            </w:r>
          </w:p>
          <w:p w14:paraId="2405CDEA" w14:textId="2474E1CE" w:rsidR="00940C55" w:rsidRPr="00CE6CE3" w:rsidRDefault="00373A74" w:rsidP="00373A74">
            <w:pPr>
              <w:pStyle w:val="NoSpacing"/>
              <w:rPr>
                <w:rFonts w:cstheme="minorHAnsi"/>
                <w:kern w:val="0"/>
              </w:rPr>
            </w:pPr>
            <w:r w:rsidRPr="00CE6CE3">
              <w:rPr>
                <w:rFonts w:cstheme="minorHAnsi"/>
                <w:b/>
                <w:bCs/>
                <w:kern w:val="0"/>
              </w:rPr>
              <w:t xml:space="preserve">A: </w:t>
            </w:r>
            <w:r w:rsidR="00471E3B" w:rsidRPr="00471E3B">
              <w:rPr>
                <w:rFonts w:cstheme="minorHAnsi"/>
                <w:i/>
                <w:iCs/>
                <w:kern w:val="0"/>
              </w:rPr>
              <w:t xml:space="preserve">Yes, participants can be employed and receiving income while injured/ill. </w:t>
            </w:r>
            <w:r w:rsidRPr="00471E3B">
              <w:rPr>
                <w:rStyle w:val="cf01"/>
                <w:rFonts w:asciiTheme="minorHAnsi" w:hAnsiTheme="minorHAnsi" w:cstheme="minorHAnsi"/>
                <w:i/>
                <w:iCs/>
                <w:sz w:val="22"/>
                <w:szCs w:val="22"/>
              </w:rPr>
              <w:t xml:space="preserve">Participants would be </w:t>
            </w:r>
            <w:proofErr w:type="gramStart"/>
            <w:r w:rsidRPr="00471E3B">
              <w:rPr>
                <w:rStyle w:val="cf01"/>
                <w:rFonts w:asciiTheme="minorHAnsi" w:hAnsiTheme="minorHAnsi" w:cstheme="minorHAnsi"/>
                <w:i/>
                <w:iCs/>
                <w:sz w:val="22"/>
                <w:szCs w:val="22"/>
              </w:rPr>
              <w:t>exited</w:t>
            </w:r>
            <w:proofErr w:type="gramEnd"/>
            <w:r w:rsidRPr="00471E3B">
              <w:rPr>
                <w:rStyle w:val="cf01"/>
                <w:rFonts w:asciiTheme="minorHAnsi" w:hAnsiTheme="minorHAnsi" w:cstheme="minorHAnsi"/>
                <w:i/>
                <w:iCs/>
                <w:sz w:val="22"/>
                <w:szCs w:val="22"/>
              </w:rPr>
              <w:t xml:space="preserve"> after returning to work unrestricted or with permanent restrictions/accommodations</w:t>
            </w:r>
            <w:r w:rsidR="00471E3B" w:rsidRPr="00471E3B">
              <w:rPr>
                <w:rStyle w:val="cf01"/>
                <w:rFonts w:asciiTheme="minorHAnsi" w:hAnsiTheme="minorHAnsi" w:cstheme="minorHAnsi"/>
                <w:i/>
                <w:iCs/>
                <w:sz w:val="22"/>
                <w:szCs w:val="22"/>
              </w:rPr>
              <w:t>. Participants who need additional support to remain in the workforce can be referred to DEED Vocational Rehabilitation team</w:t>
            </w:r>
            <w:r w:rsidR="00471E3B" w:rsidRPr="009E6DF0">
              <w:rPr>
                <w:rStyle w:val="cf01"/>
                <w:rFonts w:asciiTheme="minorHAnsi" w:hAnsiTheme="minorHAnsi" w:cstheme="minorHAnsi"/>
                <w:i/>
                <w:iCs/>
                <w:sz w:val="22"/>
                <w:szCs w:val="22"/>
              </w:rPr>
              <w:t>.</w:t>
            </w:r>
            <w:r w:rsidR="00471E3B" w:rsidRPr="009E6DF0">
              <w:rPr>
                <w:rStyle w:val="cf01"/>
                <w:rFonts w:asciiTheme="minorHAnsi" w:hAnsiTheme="minorHAnsi" w:cstheme="minorHAnsi"/>
                <w:sz w:val="22"/>
                <w:szCs w:val="22"/>
              </w:rPr>
              <w:t xml:space="preserve"> </w:t>
            </w:r>
            <w:r w:rsidR="009E6DF0" w:rsidRPr="009E6DF0">
              <w:rPr>
                <w:rStyle w:val="cf01"/>
                <w:rFonts w:asciiTheme="minorHAnsi" w:hAnsiTheme="minorHAnsi" w:cstheme="minorHAnsi"/>
                <w:sz w:val="22"/>
                <w:szCs w:val="22"/>
              </w:rPr>
              <w:t>(See below for additional information about referrals to Vocational Rehabilitation.)</w:t>
            </w:r>
          </w:p>
        </w:tc>
      </w:tr>
      <w:tr w:rsidR="009E6DF0" w14:paraId="6B3E0699" w14:textId="77777777" w:rsidTr="00940C55">
        <w:tc>
          <w:tcPr>
            <w:tcW w:w="9350" w:type="dxa"/>
          </w:tcPr>
          <w:p w14:paraId="21F5ED9C" w14:textId="77777777" w:rsidR="009E6DF0" w:rsidRDefault="009E6DF0" w:rsidP="009E6DF0">
            <w:pPr>
              <w:pStyle w:val="NoSpacing"/>
              <w:rPr>
                <w:rFonts w:cstheme="minorHAnsi"/>
                <w:kern w:val="0"/>
              </w:rPr>
            </w:pPr>
            <w:r w:rsidRPr="00940C55">
              <w:rPr>
                <w:rFonts w:cstheme="minorHAnsi"/>
                <w:b/>
                <w:bCs/>
                <w:kern w:val="0"/>
              </w:rPr>
              <w:t>Q:</w:t>
            </w:r>
            <w:r>
              <w:rPr>
                <w:kern w:val="0"/>
                <w:sz w:val="24"/>
                <w:szCs w:val="24"/>
                <w14:ligatures w14:val="none"/>
              </w:rPr>
              <w:t xml:space="preserve"> </w:t>
            </w:r>
            <w:r w:rsidRPr="005A271B">
              <w:rPr>
                <w:rFonts w:cstheme="minorHAnsi"/>
                <w:kern w:val="0"/>
              </w:rPr>
              <w:t>At what point would a referral be made to Vocational Rehabilitation Services or other programming?</w:t>
            </w:r>
          </w:p>
          <w:p w14:paraId="5F4B6A68" w14:textId="7886B0F1" w:rsidR="009E6DF0" w:rsidRPr="00CE6CE3" w:rsidRDefault="009E6DF0" w:rsidP="009E6DF0">
            <w:pPr>
              <w:pStyle w:val="NoSpacing"/>
              <w:rPr>
                <w:rFonts w:cstheme="minorHAnsi"/>
                <w:b/>
                <w:bCs/>
                <w:kern w:val="0"/>
              </w:rPr>
            </w:pPr>
            <w:r w:rsidRPr="00CE6CE3">
              <w:rPr>
                <w:rFonts w:cstheme="minorHAnsi"/>
                <w:b/>
                <w:bCs/>
                <w:kern w:val="0"/>
              </w:rPr>
              <w:t>A:</w:t>
            </w:r>
            <w:r w:rsidR="00417917">
              <w:rPr>
                <w:rFonts w:cstheme="minorHAnsi"/>
                <w:b/>
                <w:bCs/>
                <w:kern w:val="0"/>
              </w:rPr>
              <w:t xml:space="preserve"> </w:t>
            </w:r>
            <w:r w:rsidR="00417917" w:rsidRPr="005A271B">
              <w:rPr>
                <w:rFonts w:cstheme="minorHAnsi"/>
                <w:i/>
                <w:iCs/>
                <w:kern w:val="0"/>
              </w:rPr>
              <w:t xml:space="preserve">There </w:t>
            </w:r>
            <w:r w:rsidR="005A271B" w:rsidRPr="005A271B">
              <w:rPr>
                <w:rFonts w:cstheme="minorHAnsi"/>
                <w:i/>
                <w:iCs/>
                <w:kern w:val="0"/>
              </w:rPr>
              <w:t>are no “</w:t>
            </w:r>
            <w:r w:rsidR="00417917" w:rsidRPr="005A271B">
              <w:rPr>
                <w:rFonts w:cstheme="minorHAnsi"/>
                <w:i/>
                <w:iCs/>
                <w:kern w:val="0"/>
              </w:rPr>
              <w:t>one size fits all</w:t>
            </w:r>
            <w:r w:rsidR="005A271B" w:rsidRPr="005A271B">
              <w:rPr>
                <w:rFonts w:cstheme="minorHAnsi"/>
                <w:i/>
                <w:iCs/>
                <w:kern w:val="0"/>
              </w:rPr>
              <w:t>”</w:t>
            </w:r>
            <w:r w:rsidR="00417917" w:rsidRPr="005A271B">
              <w:rPr>
                <w:rFonts w:cstheme="minorHAnsi"/>
                <w:i/>
                <w:iCs/>
                <w:kern w:val="0"/>
              </w:rPr>
              <w:t xml:space="preserve"> timeline</w:t>
            </w:r>
            <w:r w:rsidR="005A271B" w:rsidRPr="005A271B">
              <w:rPr>
                <w:rFonts w:cstheme="minorHAnsi"/>
                <w:i/>
                <w:iCs/>
                <w:kern w:val="0"/>
              </w:rPr>
              <w:t>s when it comes to returning to work after an illness or injury</w:t>
            </w:r>
            <w:r w:rsidR="00417917" w:rsidRPr="005A271B">
              <w:rPr>
                <w:rFonts w:cstheme="minorHAnsi"/>
                <w:i/>
                <w:iCs/>
                <w:kern w:val="0"/>
              </w:rPr>
              <w:t xml:space="preserve">. Staff should use their best assessment of the participant’s needs, and if those needs (i.e., job coaching, more intensive accommodations or services needed) are greater than what MN RETAIN can provide and/or their 6-month </w:t>
            </w:r>
            <w:r w:rsidR="005A271B" w:rsidRPr="005A271B">
              <w:rPr>
                <w:rFonts w:cstheme="minorHAnsi"/>
                <w:i/>
                <w:iCs/>
                <w:kern w:val="0"/>
              </w:rPr>
              <w:t xml:space="preserve">eligibility period for services through MN RETAIN </w:t>
            </w:r>
            <w:r w:rsidR="00417917" w:rsidRPr="005A271B">
              <w:rPr>
                <w:rFonts w:cstheme="minorHAnsi"/>
                <w:i/>
                <w:iCs/>
                <w:kern w:val="0"/>
              </w:rPr>
              <w:t>is ending, a VR</w:t>
            </w:r>
            <w:r w:rsidR="00D03F52" w:rsidRPr="005A271B">
              <w:rPr>
                <w:rFonts w:cstheme="minorHAnsi"/>
                <w:i/>
                <w:iCs/>
                <w:kern w:val="0"/>
              </w:rPr>
              <w:t>S</w:t>
            </w:r>
            <w:r w:rsidR="00417917" w:rsidRPr="005A271B">
              <w:rPr>
                <w:rFonts w:cstheme="minorHAnsi"/>
                <w:i/>
                <w:iCs/>
                <w:kern w:val="0"/>
              </w:rPr>
              <w:t xml:space="preserve"> referral would be appropriate.</w:t>
            </w:r>
          </w:p>
        </w:tc>
      </w:tr>
      <w:tr w:rsidR="00BD6EAE" w14:paraId="26856957" w14:textId="77777777" w:rsidTr="00940C55">
        <w:tc>
          <w:tcPr>
            <w:tcW w:w="9350" w:type="dxa"/>
          </w:tcPr>
          <w:p w14:paraId="4E4C6314" w14:textId="77777777" w:rsidR="009E6DF0" w:rsidRPr="005E0F2A" w:rsidRDefault="009E6DF0" w:rsidP="009E6DF0">
            <w:pPr>
              <w:pStyle w:val="NoSpacing"/>
              <w:rPr>
                <w:rFonts w:cstheme="minorHAnsi"/>
                <w:kern w:val="0"/>
              </w:rPr>
            </w:pPr>
            <w:r w:rsidRPr="00CE6CE3">
              <w:rPr>
                <w:rFonts w:cstheme="minorHAnsi"/>
                <w:b/>
                <w:bCs/>
                <w:kern w:val="0"/>
              </w:rPr>
              <w:t>Q:</w:t>
            </w:r>
            <w:r>
              <w:rPr>
                <w:rFonts w:cstheme="minorHAnsi"/>
                <w:b/>
                <w:bCs/>
                <w:kern w:val="0"/>
              </w:rPr>
              <w:t xml:space="preserve"> </w:t>
            </w:r>
            <w:r>
              <w:rPr>
                <w:rFonts w:cstheme="minorHAnsi"/>
                <w:kern w:val="0"/>
              </w:rPr>
              <w:t>Are there resources available for employers to help provide reasonable accommodations to their employees?</w:t>
            </w:r>
          </w:p>
          <w:p w14:paraId="63754FDB" w14:textId="6381D725" w:rsidR="00BD6EAE" w:rsidRPr="00CE6CE3" w:rsidRDefault="009E6DF0" w:rsidP="009E6DF0">
            <w:pPr>
              <w:pStyle w:val="NoSpacing"/>
              <w:rPr>
                <w:rFonts w:cstheme="minorHAnsi"/>
                <w:b/>
                <w:bCs/>
                <w:kern w:val="0"/>
              </w:rPr>
            </w:pPr>
            <w:r w:rsidRPr="00CE6CE3">
              <w:rPr>
                <w:rFonts w:cstheme="minorHAnsi"/>
                <w:b/>
                <w:bCs/>
                <w:kern w:val="0"/>
              </w:rPr>
              <w:t>A:</w:t>
            </w:r>
            <w:r>
              <w:rPr>
                <w:rFonts w:cstheme="minorHAnsi"/>
                <w:b/>
                <w:bCs/>
                <w:kern w:val="0"/>
              </w:rPr>
              <w:t xml:space="preserve"> </w:t>
            </w:r>
            <w:r w:rsidRPr="00471E3B">
              <w:rPr>
                <w:rFonts w:cstheme="minorHAnsi"/>
                <w:i/>
                <w:iCs/>
                <w:kern w:val="0"/>
              </w:rPr>
              <w:t xml:space="preserve">Yes. The </w:t>
            </w:r>
            <w:hyperlink r:id="rId14" w:history="1">
              <w:r w:rsidRPr="00471E3B">
                <w:rPr>
                  <w:rStyle w:val="Hyperlink"/>
                  <w:rFonts w:cstheme="minorHAnsi"/>
                  <w:i/>
                  <w:iCs/>
                  <w:kern w:val="0"/>
                </w:rPr>
                <w:t>Employer Reasonable Accommodation Fund</w:t>
              </w:r>
            </w:hyperlink>
            <w:r w:rsidRPr="00471E3B">
              <w:rPr>
                <w:rFonts w:cstheme="minorHAnsi"/>
                <w:i/>
                <w:iCs/>
                <w:kern w:val="0"/>
              </w:rPr>
              <w:t xml:space="preserve"> (ERAF) creates a central fund where small to mid-sized Minnesota employers can request reimbursement for expenses related to providing reasonable accommodations for job applicants and employees with disabilities. The ERAF's purpose is to encourage employment of people with disabilities by reducing any perceived or real financial barriers.</w:t>
            </w:r>
          </w:p>
        </w:tc>
      </w:tr>
    </w:tbl>
    <w:p w14:paraId="5CD51B48" w14:textId="77777777" w:rsidR="00940C55" w:rsidRPr="00940C55" w:rsidRDefault="00940C55" w:rsidP="00940C55">
      <w:pPr>
        <w:pStyle w:val="NoSpacing"/>
        <w:rPr>
          <w:rFonts w:cstheme="minorHAnsi"/>
          <w:kern w:val="0"/>
        </w:rPr>
      </w:pPr>
    </w:p>
    <w:sectPr w:rsidR="00940C55" w:rsidRPr="00940C55" w:rsidSect="00027D23">
      <w:footerReference w:type="default" r:id="rId15"/>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099B0" w14:textId="77777777" w:rsidR="00FB3850" w:rsidRDefault="00FB3850" w:rsidP="00FB3850">
      <w:pPr>
        <w:spacing w:after="0" w:line="240" w:lineRule="auto"/>
      </w:pPr>
      <w:r>
        <w:separator/>
      </w:r>
    </w:p>
  </w:endnote>
  <w:endnote w:type="continuationSeparator" w:id="0">
    <w:p w14:paraId="31AB55D2" w14:textId="77777777" w:rsidR="00FB3850" w:rsidRDefault="00FB3850" w:rsidP="00FB3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00B5" w14:textId="6A8AA2A3" w:rsidR="00FB3850" w:rsidRPr="00A37FCD" w:rsidRDefault="00A37FCD" w:rsidP="00A37FCD">
    <w:pPr>
      <w:pStyle w:val="Footer"/>
    </w:pPr>
    <w:r>
      <w:t>Last Updated: 12/</w:t>
    </w:r>
    <w:r>
      <w:t>6</w:t>
    </w:r>
    <w:r>
      <w:t>/24</w:t>
    </w:r>
    <w:r>
      <w:tab/>
      <w:t xml:space="preserve">                                                                                                                               Page | </w:t>
    </w:r>
    <w:r>
      <w:fldChar w:fldCharType="begin"/>
    </w:r>
    <w: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340A8" w14:textId="77777777" w:rsidR="00FB3850" w:rsidRDefault="00FB3850" w:rsidP="00FB3850">
      <w:pPr>
        <w:spacing w:after="0" w:line="240" w:lineRule="auto"/>
      </w:pPr>
      <w:r>
        <w:separator/>
      </w:r>
    </w:p>
  </w:footnote>
  <w:footnote w:type="continuationSeparator" w:id="0">
    <w:p w14:paraId="74F862E5" w14:textId="77777777" w:rsidR="00FB3850" w:rsidRDefault="00FB3850" w:rsidP="00FB3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084"/>
    <w:multiLevelType w:val="hybridMultilevel"/>
    <w:tmpl w:val="275C535E"/>
    <w:lvl w:ilvl="0" w:tplc="2D2E8DF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B247D"/>
    <w:multiLevelType w:val="hybridMultilevel"/>
    <w:tmpl w:val="8022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06559"/>
    <w:multiLevelType w:val="hybridMultilevel"/>
    <w:tmpl w:val="E32A7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845197">
    <w:abstractNumId w:val="2"/>
  </w:num>
  <w:num w:numId="2" w16cid:durableId="1617903473">
    <w:abstractNumId w:val="0"/>
  </w:num>
  <w:num w:numId="3" w16cid:durableId="2025398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35"/>
    <w:rsid w:val="00023E50"/>
    <w:rsid w:val="00027D23"/>
    <w:rsid w:val="000C05C5"/>
    <w:rsid w:val="000D0FB5"/>
    <w:rsid w:val="001C6B1D"/>
    <w:rsid w:val="001D46CC"/>
    <w:rsid w:val="00202683"/>
    <w:rsid w:val="00210006"/>
    <w:rsid w:val="002335AA"/>
    <w:rsid w:val="00260AAA"/>
    <w:rsid w:val="00345B35"/>
    <w:rsid w:val="00357EC3"/>
    <w:rsid w:val="00373A74"/>
    <w:rsid w:val="003A1178"/>
    <w:rsid w:val="00417917"/>
    <w:rsid w:val="00450226"/>
    <w:rsid w:val="00471E3B"/>
    <w:rsid w:val="004D643C"/>
    <w:rsid w:val="00566BAC"/>
    <w:rsid w:val="005A271B"/>
    <w:rsid w:val="005E0F2A"/>
    <w:rsid w:val="00631E97"/>
    <w:rsid w:val="00723133"/>
    <w:rsid w:val="007A4854"/>
    <w:rsid w:val="00804C08"/>
    <w:rsid w:val="008467F0"/>
    <w:rsid w:val="008F5FD2"/>
    <w:rsid w:val="00940C55"/>
    <w:rsid w:val="00943BA7"/>
    <w:rsid w:val="0094468D"/>
    <w:rsid w:val="009B4A38"/>
    <w:rsid w:val="009E27C3"/>
    <w:rsid w:val="009E6DF0"/>
    <w:rsid w:val="00A37FCD"/>
    <w:rsid w:val="00B771E4"/>
    <w:rsid w:val="00BD6EAE"/>
    <w:rsid w:val="00C002B9"/>
    <w:rsid w:val="00C82C54"/>
    <w:rsid w:val="00CD2C28"/>
    <w:rsid w:val="00CE6CE3"/>
    <w:rsid w:val="00D03F52"/>
    <w:rsid w:val="00DC5B49"/>
    <w:rsid w:val="00DE7DD7"/>
    <w:rsid w:val="00F12FC9"/>
    <w:rsid w:val="00FB3850"/>
    <w:rsid w:val="00FB51F0"/>
    <w:rsid w:val="09724423"/>
    <w:rsid w:val="0EF304DA"/>
    <w:rsid w:val="1A063F46"/>
    <w:rsid w:val="23E5AA43"/>
    <w:rsid w:val="265F63EE"/>
    <w:rsid w:val="28851397"/>
    <w:rsid w:val="3669B2E6"/>
    <w:rsid w:val="54901308"/>
    <w:rsid w:val="6CDB5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021DBC"/>
  <w15:chartTrackingRefBased/>
  <w15:docId w15:val="{D142067E-1E6E-455B-9125-1BBA5241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5B35"/>
    <w:pPr>
      <w:spacing w:after="0" w:line="240" w:lineRule="auto"/>
    </w:pPr>
  </w:style>
  <w:style w:type="paragraph" w:styleId="Header">
    <w:name w:val="header"/>
    <w:basedOn w:val="Normal"/>
    <w:link w:val="HeaderChar"/>
    <w:uiPriority w:val="99"/>
    <w:unhideWhenUsed/>
    <w:rsid w:val="00FB3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850"/>
  </w:style>
  <w:style w:type="paragraph" w:styleId="Footer">
    <w:name w:val="footer"/>
    <w:basedOn w:val="Normal"/>
    <w:link w:val="FooterChar"/>
    <w:uiPriority w:val="99"/>
    <w:unhideWhenUsed/>
    <w:rsid w:val="00FB3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850"/>
  </w:style>
  <w:style w:type="paragraph" w:styleId="ListParagraph">
    <w:name w:val="List Paragraph"/>
    <w:basedOn w:val="Normal"/>
    <w:uiPriority w:val="34"/>
    <w:qFormat/>
    <w:rsid w:val="00CD2C28"/>
    <w:pPr>
      <w:ind w:left="720"/>
      <w:contextualSpacing/>
    </w:pPr>
  </w:style>
  <w:style w:type="table" w:styleId="TableGrid">
    <w:name w:val="Table Grid"/>
    <w:basedOn w:val="TableNormal"/>
    <w:uiPriority w:val="39"/>
    <w:rsid w:val="00CD2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3133"/>
    <w:rPr>
      <w:color w:val="0563C1" w:themeColor="hyperlink"/>
      <w:u w:val="single"/>
    </w:rPr>
  </w:style>
  <w:style w:type="character" w:styleId="UnresolvedMention">
    <w:name w:val="Unresolved Mention"/>
    <w:basedOn w:val="DefaultParagraphFont"/>
    <w:uiPriority w:val="99"/>
    <w:semiHidden/>
    <w:unhideWhenUsed/>
    <w:rsid w:val="00723133"/>
    <w:rPr>
      <w:color w:val="605E5C"/>
      <w:shd w:val="clear" w:color="auto" w:fill="E1DFDD"/>
    </w:rPr>
  </w:style>
  <w:style w:type="paragraph" w:styleId="Revision">
    <w:name w:val="Revision"/>
    <w:hidden/>
    <w:uiPriority w:val="99"/>
    <w:semiHidden/>
    <w:rsid w:val="001D46CC"/>
    <w:pPr>
      <w:spacing w:after="0" w:line="240" w:lineRule="auto"/>
    </w:pPr>
  </w:style>
  <w:style w:type="character" w:styleId="CommentReference">
    <w:name w:val="annotation reference"/>
    <w:basedOn w:val="DefaultParagraphFont"/>
    <w:uiPriority w:val="99"/>
    <w:semiHidden/>
    <w:unhideWhenUsed/>
    <w:rsid w:val="001D46CC"/>
    <w:rPr>
      <w:sz w:val="16"/>
      <w:szCs w:val="16"/>
    </w:rPr>
  </w:style>
  <w:style w:type="paragraph" w:styleId="CommentText">
    <w:name w:val="annotation text"/>
    <w:basedOn w:val="Normal"/>
    <w:link w:val="CommentTextChar"/>
    <w:uiPriority w:val="99"/>
    <w:unhideWhenUsed/>
    <w:rsid w:val="001D46CC"/>
    <w:pPr>
      <w:spacing w:line="240" w:lineRule="auto"/>
    </w:pPr>
    <w:rPr>
      <w:sz w:val="20"/>
      <w:szCs w:val="20"/>
    </w:rPr>
  </w:style>
  <w:style w:type="character" w:customStyle="1" w:styleId="CommentTextChar">
    <w:name w:val="Comment Text Char"/>
    <w:basedOn w:val="DefaultParagraphFont"/>
    <w:link w:val="CommentText"/>
    <w:uiPriority w:val="99"/>
    <w:rsid w:val="001D46CC"/>
    <w:rPr>
      <w:sz w:val="20"/>
      <w:szCs w:val="20"/>
    </w:rPr>
  </w:style>
  <w:style w:type="paragraph" w:styleId="CommentSubject">
    <w:name w:val="annotation subject"/>
    <w:basedOn w:val="CommentText"/>
    <w:next w:val="CommentText"/>
    <w:link w:val="CommentSubjectChar"/>
    <w:uiPriority w:val="99"/>
    <w:semiHidden/>
    <w:unhideWhenUsed/>
    <w:rsid w:val="001D46CC"/>
    <w:rPr>
      <w:b/>
      <w:bCs/>
    </w:rPr>
  </w:style>
  <w:style w:type="character" w:customStyle="1" w:styleId="CommentSubjectChar">
    <w:name w:val="Comment Subject Char"/>
    <w:basedOn w:val="CommentTextChar"/>
    <w:link w:val="CommentSubject"/>
    <w:uiPriority w:val="99"/>
    <w:semiHidden/>
    <w:rsid w:val="001D46CC"/>
    <w:rPr>
      <w:b/>
      <w:bCs/>
      <w:sz w:val="20"/>
      <w:szCs w:val="20"/>
    </w:rPr>
  </w:style>
  <w:style w:type="character" w:styleId="FollowedHyperlink">
    <w:name w:val="FollowedHyperlink"/>
    <w:basedOn w:val="DefaultParagraphFont"/>
    <w:uiPriority w:val="99"/>
    <w:semiHidden/>
    <w:unhideWhenUsed/>
    <w:rsid w:val="00804C08"/>
    <w:rPr>
      <w:color w:val="954F72" w:themeColor="followedHyperlink"/>
      <w:u w:val="single"/>
    </w:rPr>
  </w:style>
  <w:style w:type="character" w:customStyle="1" w:styleId="cf01">
    <w:name w:val="cf01"/>
    <w:basedOn w:val="DefaultParagraphFont"/>
    <w:rsid w:val="00373A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4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www.ecfr.gov%2Fcurrent%2Ftitle-29%2Fpart-1904%2Fsection-1904.5%23p-1904.5(b)(2)&amp;data=05%7C02%7Cjohn.connell%40state.mn.us%7Ca33b86f262f24a4a03d008dcd106e26f%7Ceb14b04624c445198f26b89c2159828c%7C0%7C0%7C638615074695355304%7CUnknown%7CTWFpbGZsb3d8eyJWIjoiMC4wLjAwMDAiLCJQIjoiV2luMzIiLCJBTiI6Ik1haWwiLCJXVCI6Mn0%3D%7C0%7C%7C%7C&amp;sdata=3S60qGp4CwZT1oT9svrcvmGUDms%2F1ZSqI6k7KodLupM%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lthcare@mnretai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deed/business/financing-business/e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638882D3DA134B816D27C7940F9FD8" ma:contentTypeVersion="4" ma:contentTypeDescription="Create a new document." ma:contentTypeScope="" ma:versionID="39db942fad76f51773938a96005b7bea">
  <xsd:schema xmlns:xsd="http://www.w3.org/2001/XMLSchema" xmlns:xs="http://www.w3.org/2001/XMLSchema" xmlns:p="http://schemas.microsoft.com/office/2006/metadata/properties" xmlns:ns2="0447839d-ec20-4da9-9ecb-92d42e9a2fd1" targetNamespace="http://schemas.microsoft.com/office/2006/metadata/properties" ma:root="true" ma:fieldsID="5d43e2e9d8857da2bcf6348ff4cb3c78" ns2:_="">
    <xsd:import namespace="0447839d-ec20-4da9-9ecb-92d42e9a2f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7839d-ec20-4da9-9ecb-92d42e9a2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9F056-CD07-4E94-9F72-E863F64BBC33}">
  <ds:schemaRefs>
    <ds:schemaRef ds:uri="http://schemas.openxmlformats.org/officeDocument/2006/bibliography"/>
  </ds:schemaRefs>
</ds:datastoreItem>
</file>

<file path=customXml/itemProps2.xml><?xml version="1.0" encoding="utf-8"?>
<ds:datastoreItem xmlns:ds="http://schemas.openxmlformats.org/officeDocument/2006/customXml" ds:itemID="{D6687955-66A9-4A34-9286-0EE68DAD768A}">
  <ds:schemaRefs>
    <ds:schemaRef ds:uri="http://schemas.microsoft.com/sharepoint/v3/contenttype/forms"/>
  </ds:schemaRefs>
</ds:datastoreItem>
</file>

<file path=customXml/itemProps3.xml><?xml version="1.0" encoding="utf-8"?>
<ds:datastoreItem xmlns:ds="http://schemas.openxmlformats.org/officeDocument/2006/customXml" ds:itemID="{700B513B-3F75-4A2B-ADBB-CB74194DCCF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70C56D-3026-471E-BE7D-43DFDF2DB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7839d-ec20-4da9-9ecb-92d42e9a2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Alec (He/Him/His) (DEED)</dc:creator>
  <cp:keywords/>
  <dc:description/>
  <cp:lastModifiedBy>Smith, Alec (He/Him/His) (DEED)</cp:lastModifiedBy>
  <cp:revision>2</cp:revision>
  <dcterms:created xsi:type="dcterms:W3CDTF">2024-12-10T17:43:00Z</dcterms:created>
  <dcterms:modified xsi:type="dcterms:W3CDTF">2024-12-10T17:43:00Z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0x0101009B638882D3DA134B816D27C7940F9FD8</vt:lpwstr>
  </property>
</Properties>
</file>