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F282" w14:textId="62DD9F3F" w:rsidR="00DD4A4E" w:rsidRDefault="00DD4A4E" w:rsidP="00B45A9E">
      <w:pPr>
        <w:rPr>
          <w:sz w:val="32"/>
          <w:szCs w:val="32"/>
        </w:rPr>
      </w:pPr>
      <w:r>
        <w:rPr>
          <w:sz w:val="32"/>
          <w:szCs w:val="32"/>
        </w:rPr>
        <w:t>Chapter 1: General Requirements</w:t>
      </w:r>
    </w:p>
    <w:p w14:paraId="424D9665" w14:textId="2DB0B95B" w:rsidR="00B45A9E" w:rsidRPr="00B45A9E" w:rsidRDefault="00B45A9E" w:rsidP="00B45A9E">
      <w:pPr>
        <w:rPr>
          <w:sz w:val="32"/>
          <w:szCs w:val="32"/>
        </w:rPr>
      </w:pPr>
      <w:r w:rsidRPr="00B45A9E">
        <w:rPr>
          <w:sz w:val="32"/>
          <w:szCs w:val="32"/>
        </w:rPr>
        <w:t>1.6</w:t>
      </w:r>
      <w:r w:rsidRPr="00B45A9E">
        <w:rPr>
          <w:sz w:val="32"/>
          <w:szCs w:val="32"/>
        </w:rPr>
        <w:tab/>
        <w:t xml:space="preserve">Legal </w:t>
      </w:r>
      <w:r w:rsidR="002C272B">
        <w:rPr>
          <w:sz w:val="32"/>
          <w:szCs w:val="32"/>
          <w:u w:val="single"/>
        </w:rPr>
        <w:t xml:space="preserve">Permanent </w:t>
      </w:r>
      <w:r w:rsidRPr="00B45A9E">
        <w:rPr>
          <w:sz w:val="32"/>
          <w:szCs w:val="32"/>
        </w:rPr>
        <w:t>Residency and Citizenship</w:t>
      </w:r>
    </w:p>
    <w:p w14:paraId="358F74D6" w14:textId="0F7EA2BC" w:rsidR="00B45A9E" w:rsidRPr="00B45A9E" w:rsidRDefault="00B45A9E" w:rsidP="00B45A9E">
      <w:pPr>
        <w:rPr>
          <w:sz w:val="32"/>
          <w:szCs w:val="32"/>
        </w:rPr>
      </w:pPr>
      <w:r w:rsidRPr="00B45A9E">
        <w:rPr>
          <w:sz w:val="32"/>
          <w:szCs w:val="32"/>
        </w:rPr>
        <w:t xml:space="preserve">SSB does not require an individual to have legal </w:t>
      </w:r>
      <w:r w:rsidR="002C272B">
        <w:rPr>
          <w:sz w:val="32"/>
          <w:szCs w:val="32"/>
          <w:u w:val="single"/>
        </w:rPr>
        <w:t xml:space="preserve">permanent </w:t>
      </w:r>
      <w:r w:rsidRPr="00B45A9E">
        <w:rPr>
          <w:sz w:val="32"/>
          <w:szCs w:val="32"/>
        </w:rPr>
        <w:t xml:space="preserve">residency or citizenship in order to apply for services and receive an eligibility determination. However, </w:t>
      </w:r>
      <w:r w:rsidRPr="00B45A9E">
        <w:rPr>
          <w:strike/>
          <w:sz w:val="32"/>
          <w:szCs w:val="32"/>
        </w:rPr>
        <w:t>individuals who apply for VR services must intend to achieve a competitive integrated employment outcome.</w:t>
      </w:r>
      <w:r w:rsidRPr="00B45A9E">
        <w:rPr>
          <w:sz w:val="32"/>
          <w:szCs w:val="32"/>
        </w:rPr>
        <w:t xml:space="preserve"> </w:t>
      </w:r>
      <w:r w:rsidRPr="00B45A9E">
        <w:rPr>
          <w:sz w:val="32"/>
          <w:szCs w:val="32"/>
          <w:u w:val="single"/>
        </w:rPr>
        <w:t>if a person is not a</w:t>
      </w:r>
      <w:r w:rsidR="002C272B">
        <w:rPr>
          <w:sz w:val="32"/>
          <w:szCs w:val="32"/>
          <w:u w:val="single"/>
        </w:rPr>
        <w:t xml:space="preserve"> legal permanent resident or</w:t>
      </w:r>
      <w:r w:rsidRPr="00B45A9E">
        <w:rPr>
          <w:sz w:val="32"/>
          <w:szCs w:val="32"/>
          <w:u w:val="single"/>
        </w:rPr>
        <w:t xml:space="preserve"> U.S. Citizen, they must provide evidence of </w:t>
      </w:r>
      <w:r w:rsidR="00966414">
        <w:rPr>
          <w:sz w:val="32"/>
          <w:szCs w:val="32"/>
          <w:u w:val="single"/>
        </w:rPr>
        <w:t xml:space="preserve">work authorization (such as a nonimmigrant work visa or Employment </w:t>
      </w:r>
      <w:r w:rsidR="007E4B7B">
        <w:rPr>
          <w:sz w:val="32"/>
          <w:szCs w:val="32"/>
          <w:u w:val="single"/>
        </w:rPr>
        <w:t>Authorization</w:t>
      </w:r>
      <w:r w:rsidR="00966414">
        <w:rPr>
          <w:sz w:val="32"/>
          <w:szCs w:val="32"/>
          <w:u w:val="single"/>
        </w:rPr>
        <w:t xml:space="preserve"> Document) before eligibility</w:t>
      </w:r>
      <w:r w:rsidRPr="00B45A9E">
        <w:rPr>
          <w:sz w:val="32"/>
          <w:szCs w:val="32"/>
          <w:u w:val="single"/>
        </w:rPr>
        <w:t xml:space="preserve"> can be determined.</w:t>
      </w:r>
      <w:r>
        <w:rPr>
          <w:sz w:val="32"/>
          <w:szCs w:val="32"/>
          <w:u w:val="single"/>
        </w:rPr>
        <w:t xml:space="preserve"> If no evidence can be provided, the case is closed from application without an eligibility determination.</w:t>
      </w:r>
    </w:p>
    <w:p w14:paraId="5B820EE8" w14:textId="77777777" w:rsidR="00B45A9E" w:rsidRPr="00B45A9E" w:rsidRDefault="00B45A9E" w:rsidP="00B45A9E">
      <w:pPr>
        <w:rPr>
          <w:sz w:val="32"/>
          <w:szCs w:val="32"/>
        </w:rPr>
      </w:pPr>
      <w:r w:rsidRPr="00B45A9E">
        <w:rPr>
          <w:sz w:val="32"/>
          <w:szCs w:val="32"/>
        </w:rPr>
        <w:t>If an individual has no intention of pursuing competitive integrated employment, their case must be closed.</w:t>
      </w:r>
    </w:p>
    <w:p w14:paraId="2E1815D8" w14:textId="32B0E614" w:rsidR="00B45A9E" w:rsidRPr="00B45A9E" w:rsidRDefault="00B45A9E" w:rsidP="00B45A9E">
      <w:pPr>
        <w:rPr>
          <w:strike/>
          <w:sz w:val="32"/>
          <w:szCs w:val="32"/>
        </w:rPr>
      </w:pPr>
      <w:r w:rsidRPr="00B45A9E">
        <w:rPr>
          <w:strike/>
          <w:sz w:val="32"/>
          <w:szCs w:val="32"/>
        </w:rPr>
        <w:t>SSB can support a competitive integrated employment goal that could result in an individual taking a job in another country if the employment goal is consistent with the requirements of case closure, labor market information supports the goal in that specific location, and the customer has made that informed choice. See Chapter 22: Case Closure for additional information.</w:t>
      </w:r>
    </w:p>
    <w:sectPr w:rsidR="00B45A9E" w:rsidRPr="00B45A9E" w:rsidSect="00B45A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9E"/>
    <w:rsid w:val="002C272B"/>
    <w:rsid w:val="007E4B7B"/>
    <w:rsid w:val="00966414"/>
    <w:rsid w:val="00B45A9E"/>
    <w:rsid w:val="00CA5A43"/>
    <w:rsid w:val="00DD4A4E"/>
    <w:rsid w:val="00EF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176E"/>
  <w15:chartTrackingRefBased/>
  <w15:docId w15:val="{A37BD162-FC6A-48BA-9195-D052897D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A9E"/>
    <w:rPr>
      <w:rFonts w:eastAsiaTheme="majorEastAsia" w:cstheme="majorBidi"/>
      <w:color w:val="272727" w:themeColor="text1" w:themeTint="D8"/>
    </w:rPr>
  </w:style>
  <w:style w:type="paragraph" w:styleId="Title">
    <w:name w:val="Title"/>
    <w:basedOn w:val="Normal"/>
    <w:next w:val="Normal"/>
    <w:link w:val="TitleChar"/>
    <w:uiPriority w:val="10"/>
    <w:qFormat/>
    <w:rsid w:val="00B45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A9E"/>
    <w:pPr>
      <w:spacing w:before="160"/>
      <w:jc w:val="center"/>
    </w:pPr>
    <w:rPr>
      <w:i/>
      <w:iCs/>
      <w:color w:val="404040" w:themeColor="text1" w:themeTint="BF"/>
    </w:rPr>
  </w:style>
  <w:style w:type="character" w:customStyle="1" w:styleId="QuoteChar">
    <w:name w:val="Quote Char"/>
    <w:basedOn w:val="DefaultParagraphFont"/>
    <w:link w:val="Quote"/>
    <w:uiPriority w:val="29"/>
    <w:rsid w:val="00B45A9E"/>
    <w:rPr>
      <w:i/>
      <w:iCs/>
      <w:color w:val="404040" w:themeColor="text1" w:themeTint="BF"/>
    </w:rPr>
  </w:style>
  <w:style w:type="paragraph" w:styleId="ListParagraph">
    <w:name w:val="List Paragraph"/>
    <w:basedOn w:val="Normal"/>
    <w:uiPriority w:val="34"/>
    <w:qFormat/>
    <w:rsid w:val="00B45A9E"/>
    <w:pPr>
      <w:ind w:left="720"/>
      <w:contextualSpacing/>
    </w:pPr>
  </w:style>
  <w:style w:type="character" w:styleId="IntenseEmphasis">
    <w:name w:val="Intense Emphasis"/>
    <w:basedOn w:val="DefaultParagraphFont"/>
    <w:uiPriority w:val="21"/>
    <w:qFormat/>
    <w:rsid w:val="00B45A9E"/>
    <w:rPr>
      <w:i/>
      <w:iCs/>
      <w:color w:val="0F4761" w:themeColor="accent1" w:themeShade="BF"/>
    </w:rPr>
  </w:style>
  <w:style w:type="paragraph" w:styleId="IntenseQuote">
    <w:name w:val="Intense Quote"/>
    <w:basedOn w:val="Normal"/>
    <w:next w:val="Normal"/>
    <w:link w:val="IntenseQuoteChar"/>
    <w:uiPriority w:val="30"/>
    <w:qFormat/>
    <w:rsid w:val="00B45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A9E"/>
    <w:rPr>
      <w:i/>
      <w:iCs/>
      <w:color w:val="0F4761" w:themeColor="accent1" w:themeShade="BF"/>
    </w:rPr>
  </w:style>
  <w:style w:type="character" w:styleId="IntenseReference">
    <w:name w:val="Intense Reference"/>
    <w:basedOn w:val="DefaultParagraphFont"/>
    <w:uiPriority w:val="32"/>
    <w:qFormat/>
    <w:rsid w:val="00B45A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9C8BDD44-53CC-4B4F-BF05-F6058D65184B}"/>
</file>

<file path=customXml/itemProps2.xml><?xml version="1.0" encoding="utf-8"?>
<ds:datastoreItem xmlns:ds="http://schemas.openxmlformats.org/officeDocument/2006/customXml" ds:itemID="{8E9FA628-72CF-4EDC-9FD3-DE62D2D96BBA}"/>
</file>

<file path=customXml/itemProps3.xml><?xml version="1.0" encoding="utf-8"?>
<ds:datastoreItem xmlns:ds="http://schemas.openxmlformats.org/officeDocument/2006/customXml" ds:itemID="{29F02898-D29D-408D-B8BD-7B73F7A2AFBD}"/>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Jerde, Natasha N (DEED)</dc:creator>
  <cp:keywords/>
  <dc:description/>
  <cp:lastModifiedBy>Jerde, Natasha N (DEED)</cp:lastModifiedBy>
  <cp:revision>5</cp:revision>
  <dcterms:created xsi:type="dcterms:W3CDTF">2025-09-03T16:26:00Z</dcterms:created>
  <dcterms:modified xsi:type="dcterms:W3CDTF">2025-09-03T19:11:00Z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