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A6AF" w14:textId="77777777" w:rsidR="00773817" w:rsidRPr="005B628C" w:rsidRDefault="00773817" w:rsidP="00D41631">
      <w:pPr>
        <w:pStyle w:val="Heading1"/>
        <w:spacing w:before="120" w:after="200"/>
      </w:pPr>
      <w:r w:rsidRPr="005B628C">
        <w:t>Mẫu thông báo cho nhân viên: Các chương trình tương đương</w:t>
      </w:r>
    </w:p>
    <w:p w14:paraId="31CE6204" w14:textId="77777777" w:rsidR="00773817" w:rsidRPr="005B628C" w:rsidRDefault="00773817" w:rsidP="00AD0D51">
      <w:pPr>
        <w:spacing w:after="120"/>
      </w:pPr>
      <w:bookmarkStart w:id="0" w:name="_Hlk209614469"/>
      <w:r w:rsidRPr="005B628C">
        <w:t xml:space="preserve">Mẫu này được chương trình Nghỉ phép có lương Minnesota cung cấp cho Người chủ lao động. </w:t>
      </w:r>
      <w:bookmarkEnd w:id="0"/>
      <w:r w:rsidRPr="005B628C">
        <w:t>Xin lưu ý:</w:t>
      </w:r>
    </w:p>
    <w:p w14:paraId="5592F025" w14:textId="77777777" w:rsidR="00773817" w:rsidRPr="005B628C" w:rsidRDefault="00773817" w:rsidP="00773817">
      <w:pPr>
        <w:pStyle w:val="ListParagraph"/>
        <w:numPr>
          <w:ilvl w:val="0"/>
          <w:numId w:val="8"/>
        </w:numPr>
        <w:spacing w:after="160"/>
      </w:pPr>
      <w:r w:rsidRPr="005B628C">
        <w:t>Thông báo này được cung cấp ở định dạng Word để thuận tiện cho quý vị – để dễ dàng điền vào các khoảng trống có thể điền, thay đổi định dạng không quan trọng (chẳng hạn như thêm logo công ty) hoặc bổ sung về các chính sách cụ thể của công ty.  </w:t>
      </w:r>
    </w:p>
    <w:p w14:paraId="01139A3B" w14:textId="77777777" w:rsidR="00773817" w:rsidRPr="005B628C" w:rsidRDefault="00773817" w:rsidP="00773817">
      <w:pPr>
        <w:pStyle w:val="ListParagraph"/>
        <w:numPr>
          <w:ilvl w:val="0"/>
          <w:numId w:val="8"/>
        </w:numPr>
        <w:spacing w:after="160"/>
      </w:pPr>
      <w:r w:rsidRPr="005B628C">
        <w:t xml:space="preserve">Người chủ lao động phải thông báo trực tiếp cho từng nhân viên trong vòng 30 ngày kể từ ngày tuyển dụng hoặc 30 ngày trước khi bắt đầu thu phí bảo hiểm. </w:t>
      </w:r>
      <w:r w:rsidRPr="005B628C">
        <w:rPr>
          <w:b/>
          <w:bCs/>
        </w:rPr>
        <w:t>Đối với chương trình Nghỉ phép có lương ra mắt vào ngày 1 tháng 1 năm 2026, điều này có nghĩa là quý vị phải thông báo cho nhân viên trước ngày 1 tháng 12 năm 2025.</w:t>
      </w:r>
      <w:r w:rsidRPr="005B628C">
        <w:t>  Người chủ lao động cũng phải cung cấp thông báo cập nhật nếu chương trình tương đương của họ thay đổi hoặc kết thúc.</w:t>
      </w:r>
    </w:p>
    <w:p w14:paraId="6810744A" w14:textId="77777777" w:rsidR="00773817" w:rsidRPr="005B628C" w:rsidRDefault="00773817" w:rsidP="00773817">
      <w:pPr>
        <w:pStyle w:val="ListParagraph"/>
        <w:numPr>
          <w:ilvl w:val="0"/>
          <w:numId w:val="8"/>
        </w:numPr>
        <w:spacing w:after="160"/>
      </w:pPr>
      <w:r w:rsidRPr="005B628C">
        <w:t xml:space="preserve">Thông báo này phải được cung cấp cho nhân viên bằng ngôn ngữ chính của họ, dưới dạng văn bản. Các mẫu thông báo bằng ngôn ngữ khác ngoài tiếng Anh sẽ có trên trang web của chương trình Nghỉ phép có lương. </w:t>
      </w:r>
    </w:p>
    <w:p w14:paraId="5A4A3730" w14:textId="77777777" w:rsidR="00773817" w:rsidRPr="005B628C" w:rsidRDefault="00773817" w:rsidP="00773817">
      <w:pPr>
        <w:pStyle w:val="ListParagraph"/>
        <w:numPr>
          <w:ilvl w:val="0"/>
          <w:numId w:val="8"/>
        </w:numPr>
        <w:spacing w:after="160"/>
      </w:pPr>
      <w:r w:rsidRPr="005B628C">
        <w:t>Đối với thông báo được cung cấp dưới dạng điện tử, Người chủ lao động phải cung cấp cho nhân viên quyền truy cập vào máy tính của Người chủ lao động trong giờ làm việc thông thường để xem xét và in ra. </w:t>
      </w:r>
    </w:p>
    <w:p w14:paraId="6C341EDA" w14:textId="77777777" w:rsidR="00773817" w:rsidRPr="005B628C" w:rsidRDefault="00773817" w:rsidP="00773817">
      <w:pPr>
        <w:pStyle w:val="ListParagraph"/>
        <w:numPr>
          <w:ilvl w:val="0"/>
          <w:numId w:val="8"/>
        </w:numPr>
        <w:spacing w:after="160"/>
      </w:pPr>
      <w:r w:rsidRPr="005B628C">
        <w:t>Nhân viên phải cung cấp xác nhận bằng văn bản hoặc điện tử về việc đã nhận được thông báo này. Việc này có thể được thực hiện bằng cách ký vào mẫu đơn hoặc bằng các cách thức khác, chẳng hạn như hệ thống lương điện tử. Nếu nhân viên từ chối xác nhận là họ đã nhận được thông báo, chủ lao động sẽ phải chứng minh được cách mà họ đã được thông báo. </w:t>
      </w:r>
    </w:p>
    <w:p w14:paraId="2690790C" w14:textId="77777777" w:rsidR="00773817" w:rsidRPr="005B628C" w:rsidRDefault="00773817" w:rsidP="00773817">
      <w:pPr>
        <w:pStyle w:val="ListParagraph"/>
        <w:numPr>
          <w:ilvl w:val="0"/>
          <w:numId w:val="8"/>
        </w:numPr>
        <w:spacing w:after="160"/>
      </w:pPr>
      <w:r w:rsidRPr="005B628C">
        <w:t xml:space="preserve">Nếu chương trình tương đương của quý vị chỉ bao gồm một loại nghỉ phép (Nghỉ phép vì lý do y tế hoặc Nghỉ phép vì lý do gia đình), quý vị cũng phải cung cấp thông báo tiêu chuẩn cho nhân viên của mình. </w:t>
      </w:r>
    </w:p>
    <w:p w14:paraId="0F8091E9" w14:textId="77777777" w:rsidR="00773817" w:rsidRPr="005B628C" w:rsidRDefault="00773817" w:rsidP="00AD0D51">
      <w:pPr>
        <w:pStyle w:val="ListParagraph"/>
        <w:numPr>
          <w:ilvl w:val="0"/>
          <w:numId w:val="8"/>
        </w:numPr>
        <w:spacing w:after="120"/>
      </w:pPr>
      <w:r w:rsidRPr="005B628C">
        <w:t>Nếu bất kỳ nhân viên nào của quý vị được chỉ định là nhân viên phục vụ theo mùa, quý vị có thể phải có thêm yêu cầu thông báo. Truy cập trang web của chương trình Nghỉ phép có lương để tìm hiểu thêm.  </w:t>
      </w:r>
    </w:p>
    <w:p w14:paraId="526A553C" w14:textId="77777777" w:rsidR="00773817" w:rsidRPr="005B628C" w:rsidRDefault="00773817" w:rsidP="00AD0D51">
      <w:pPr>
        <w:pStyle w:val="Heading1"/>
        <w:spacing w:before="200" w:after="200"/>
      </w:pPr>
      <w:r w:rsidRPr="005B628C">
        <w:t>Sửa đổi thông báo mẫu này </w:t>
      </w:r>
    </w:p>
    <w:p w14:paraId="5454C479" w14:textId="77777777" w:rsidR="00773817" w:rsidRPr="005B628C" w:rsidRDefault="00773817" w:rsidP="00AD0D51">
      <w:pPr>
        <w:spacing w:after="120"/>
      </w:pPr>
      <w:r w:rsidRPr="005B628C">
        <w:t>Người chủ lao động chịu trách nhiệm về bất kỳ thay đổi nào họ thực hiện đối với các biểu mẫu này. Chương trình Nghỉ phép có lương không chịu trách nhiệm về những sửa đổi được thực hiện đối với các biểu mẫu này và không thể đảm bảo rằng biểu mẫu được sửa đổi từ phiên bản gốc này sẽ đáp ứng các yêu cầu của chương trình.  </w:t>
      </w:r>
    </w:p>
    <w:p w14:paraId="53024274" w14:textId="77777777" w:rsidR="00CF21BD" w:rsidRPr="005B628C" w:rsidRDefault="00CF21BD" w:rsidP="00CF21BD">
      <w:pPr>
        <w:rPr>
          <w:sz w:val="14"/>
          <w:szCs w:val="14"/>
        </w:rPr>
      </w:pPr>
      <w:bookmarkStart w:id="1" w:name="_Hlk209614441"/>
    </w:p>
    <w:p w14:paraId="18BC3695" w14:textId="77777777" w:rsidR="00320AB5" w:rsidRPr="005B628C" w:rsidRDefault="00320AB5" w:rsidP="00AD0D51">
      <w:pPr>
        <w:pStyle w:val="Heading3"/>
        <w:spacing w:after="120"/>
        <w:rPr>
          <w:i/>
          <w:iCs/>
        </w:rPr>
      </w:pPr>
      <w:bookmarkStart w:id="2" w:name="_Hlk209614614"/>
      <w:r w:rsidRPr="005B628C">
        <w:rPr>
          <w:i/>
        </w:rPr>
        <w:lastRenderedPageBreak/>
        <w:t>Cập nhật lần cuối: 30 tháng 9 năm 2025</w:t>
      </w:r>
    </w:p>
    <w:bookmarkEnd w:id="1"/>
    <w:bookmarkEnd w:id="2"/>
    <w:p w14:paraId="0786AED3" w14:textId="77777777" w:rsidR="00CF21BD" w:rsidRPr="005B628C" w:rsidRDefault="00CF21BD">
      <w:pPr>
        <w:spacing w:after="0" w:line="240" w:lineRule="auto"/>
      </w:pPr>
      <w:r w:rsidRPr="005B628C">
        <w:br w:type="page"/>
      </w:r>
    </w:p>
    <w:p w14:paraId="54ED8D13" w14:textId="77777777" w:rsidR="00CC2658" w:rsidRPr="005B628C" w:rsidRDefault="00CC2658" w:rsidP="00AD0D51">
      <w:pPr>
        <w:pStyle w:val="Heading1"/>
        <w:spacing w:before="200" w:after="200"/>
        <w:rPr>
          <w:sz w:val="36"/>
          <w:szCs w:val="36"/>
        </w:rPr>
      </w:pPr>
      <w:r w:rsidRPr="005B628C">
        <w:rPr>
          <w:sz w:val="36"/>
        </w:rPr>
        <w:lastRenderedPageBreak/>
        <w:t>Nghỉ phép có lương Minnesota </w:t>
      </w:r>
    </w:p>
    <w:p w14:paraId="3849E320" w14:textId="77777777" w:rsidR="00CC2658" w:rsidRPr="005B628C" w:rsidRDefault="00CC2658" w:rsidP="00AD0D51">
      <w:pPr>
        <w:spacing w:after="120"/>
        <w:rPr>
          <w:b/>
          <w:bCs/>
        </w:rPr>
      </w:pPr>
      <w:r w:rsidRPr="005B628C">
        <w:rPr>
          <w:b/>
        </w:rPr>
        <w:t>Nghỉ phép có lương Minnesota cung cấp các khoản thanh toán và bảo vệ công việc khi quý vị cần nghỉ phép để chăm sóc bản thân hoặc gia đình. </w:t>
      </w:r>
    </w:p>
    <w:p w14:paraId="059B1892" w14:textId="77777777" w:rsidR="00CC2658" w:rsidRPr="005B628C" w:rsidRDefault="00CC2658" w:rsidP="00AD0D51">
      <w:pPr>
        <w:spacing w:after="120"/>
      </w:pPr>
      <w:r w:rsidRPr="005B628C">
        <w:t>Nhà tuyển dụng của quý vị cung cấp chương trình Nghỉ phép có lương thông qua một chương trình tương đương được chấp thuận thay vì thông qua Tiểu bang Minnesota. Chương trình này cung cấp thời gian nghỉ, tiền lương và bảo vệ công việc tương đương hoặc cao hơn so với những chương trình được cung cấp theo Chương trình Nghỉ phép có lương Minnesota.</w:t>
      </w:r>
    </w:p>
    <w:p w14:paraId="2A0A59A1" w14:textId="77777777" w:rsidR="00CC2658" w:rsidRPr="005B628C" w:rsidRDefault="00CC2658" w:rsidP="00AD0D51">
      <w:pPr>
        <w:pStyle w:val="Heading2"/>
        <w:spacing w:after="80"/>
      </w:pPr>
      <w:r w:rsidRPr="005B628C">
        <w:rPr>
          <w:rStyle w:val="Strong"/>
          <w:b/>
        </w:rPr>
        <w:t>Thông tin về chương trình tương đương</w:t>
      </w:r>
      <w:r w:rsidRPr="005B628C">
        <w:t>:</w:t>
      </w:r>
    </w:p>
    <w:tbl>
      <w:tblPr>
        <w:tblW w:w="10774"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757"/>
        <w:gridCol w:w="8017"/>
      </w:tblGrid>
      <w:tr w:rsidR="00CC2658" w:rsidRPr="005B628C" w14:paraId="361EADAA"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6A1D3EFE" w14:textId="77777777" w:rsidR="00CC2658" w:rsidRPr="005B628C" w:rsidRDefault="00CC2658" w:rsidP="00743A69">
            <w:pPr>
              <w:spacing w:after="0"/>
              <w:rPr>
                <w:rStyle w:val="Strong"/>
                <w:b w:val="0"/>
                <w:bCs w:val="0"/>
              </w:rPr>
            </w:pPr>
            <w:r w:rsidRPr="005B628C">
              <w:rPr>
                <w:rStyle w:val="Strong"/>
              </w:rPr>
              <w:t>Tên công ty bảo hiểm: </w:t>
            </w:r>
          </w:p>
        </w:tc>
        <w:tc>
          <w:tcPr>
            <w:tcW w:w="8017" w:type="dxa"/>
            <w:tcBorders>
              <w:top w:val="single" w:sz="6" w:space="0" w:color="auto"/>
              <w:left w:val="single" w:sz="6" w:space="0" w:color="auto"/>
              <w:bottom w:val="single" w:sz="6" w:space="0" w:color="auto"/>
              <w:right w:val="single" w:sz="6" w:space="0" w:color="auto"/>
            </w:tcBorders>
          </w:tcPr>
          <w:p w14:paraId="7F067761" w14:textId="77777777" w:rsidR="00CC2658" w:rsidRPr="005B628C" w:rsidRDefault="00CC2658" w:rsidP="00743A69">
            <w:pPr>
              <w:spacing w:after="0"/>
            </w:pPr>
            <w:r w:rsidRPr="005B628C">
              <w:t> </w:t>
            </w:r>
          </w:p>
        </w:tc>
      </w:tr>
      <w:tr w:rsidR="00CC2658" w:rsidRPr="005B628C" w14:paraId="2709860F"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51F91C1D" w14:textId="77777777" w:rsidR="00CC2658" w:rsidRPr="005B628C" w:rsidRDefault="00CC2658" w:rsidP="00743A69">
            <w:pPr>
              <w:spacing w:after="0"/>
              <w:rPr>
                <w:rStyle w:val="Strong"/>
                <w:b w:val="0"/>
                <w:bCs w:val="0"/>
              </w:rPr>
            </w:pPr>
            <w:r w:rsidRPr="005B628C">
              <w:rPr>
                <w:rStyle w:val="Strong"/>
              </w:rPr>
              <w:t>Chương trình tương đương bao gồm: </w:t>
            </w:r>
          </w:p>
        </w:tc>
        <w:tc>
          <w:tcPr>
            <w:tcW w:w="8017" w:type="dxa"/>
            <w:tcBorders>
              <w:top w:val="single" w:sz="6" w:space="0" w:color="auto"/>
              <w:left w:val="single" w:sz="6" w:space="0" w:color="auto"/>
              <w:bottom w:val="single" w:sz="6" w:space="0" w:color="auto"/>
              <w:right w:val="single" w:sz="6" w:space="0" w:color="auto"/>
            </w:tcBorders>
          </w:tcPr>
          <w:p w14:paraId="5CB857B4" w14:textId="77777777" w:rsidR="00CC2658" w:rsidRPr="005B628C" w:rsidRDefault="00CC2658" w:rsidP="00743A69">
            <w:pPr>
              <w:spacing w:after="0"/>
            </w:pPr>
            <w:r w:rsidRPr="005B628C">
              <w:t>[   ] Nghỉ phép gia đình             [   ] Nghỉ phép y tế             [   ] Cả hai </w:t>
            </w:r>
          </w:p>
        </w:tc>
      </w:tr>
      <w:tr w:rsidR="003E0CCB" w:rsidRPr="005B628C" w14:paraId="2EE71B3C"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3368B5FB" w14:textId="77777777" w:rsidR="003E0CCB" w:rsidRPr="005B628C" w:rsidRDefault="003E0CCB" w:rsidP="00743A69">
            <w:pPr>
              <w:spacing w:after="0"/>
              <w:rPr>
                <w:rStyle w:val="Strong"/>
              </w:rPr>
            </w:pPr>
            <w:r w:rsidRPr="005B628C">
              <w:rPr>
                <w:rStyle w:val="Strong"/>
              </w:rPr>
              <w:t>Ngày có hiệu lực:</w:t>
            </w:r>
          </w:p>
        </w:tc>
        <w:tc>
          <w:tcPr>
            <w:tcW w:w="8017" w:type="dxa"/>
            <w:tcBorders>
              <w:top w:val="single" w:sz="6" w:space="0" w:color="auto"/>
              <w:left w:val="single" w:sz="6" w:space="0" w:color="auto"/>
              <w:bottom w:val="single" w:sz="6" w:space="0" w:color="auto"/>
              <w:right w:val="single" w:sz="6" w:space="0" w:color="auto"/>
            </w:tcBorders>
          </w:tcPr>
          <w:p w14:paraId="531A316E" w14:textId="77777777" w:rsidR="003E0CCB" w:rsidRPr="005B628C" w:rsidRDefault="003E0CCB" w:rsidP="00743A69">
            <w:pPr>
              <w:spacing w:after="0"/>
            </w:pPr>
          </w:p>
        </w:tc>
      </w:tr>
      <w:tr w:rsidR="00CC2658" w:rsidRPr="005B628C" w14:paraId="51BC6D20"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730C9134" w14:textId="77777777" w:rsidR="00CC2658" w:rsidRPr="005B628C" w:rsidRDefault="00CC2658" w:rsidP="00743A69">
            <w:pPr>
              <w:spacing w:after="0"/>
              <w:rPr>
                <w:rStyle w:val="Strong"/>
                <w:b w:val="0"/>
                <w:bCs w:val="0"/>
              </w:rPr>
            </w:pPr>
            <w:r w:rsidRPr="005B628C">
              <w:rPr>
                <w:rStyle w:val="Strong"/>
              </w:rPr>
              <w:t>Trang web: </w:t>
            </w:r>
          </w:p>
        </w:tc>
        <w:tc>
          <w:tcPr>
            <w:tcW w:w="8017" w:type="dxa"/>
            <w:tcBorders>
              <w:top w:val="single" w:sz="6" w:space="0" w:color="auto"/>
              <w:left w:val="single" w:sz="6" w:space="0" w:color="auto"/>
              <w:bottom w:val="single" w:sz="6" w:space="0" w:color="auto"/>
              <w:right w:val="single" w:sz="6" w:space="0" w:color="auto"/>
            </w:tcBorders>
          </w:tcPr>
          <w:p w14:paraId="442B71E0" w14:textId="77777777" w:rsidR="00CC2658" w:rsidRPr="005B628C" w:rsidRDefault="00CC2658" w:rsidP="00743A69">
            <w:pPr>
              <w:spacing w:after="0"/>
            </w:pPr>
            <w:r w:rsidRPr="005B628C">
              <w:t> </w:t>
            </w:r>
          </w:p>
        </w:tc>
      </w:tr>
      <w:tr w:rsidR="00CC2658" w:rsidRPr="005B628C" w14:paraId="6DFD2EAA"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44B33ACB" w14:textId="77777777" w:rsidR="00CC2658" w:rsidRPr="005B628C" w:rsidRDefault="00CC2658" w:rsidP="00743A69">
            <w:pPr>
              <w:spacing w:after="0"/>
              <w:rPr>
                <w:rStyle w:val="Strong"/>
              </w:rPr>
            </w:pPr>
            <w:r w:rsidRPr="005B628C">
              <w:rPr>
                <w:rStyle w:val="Strong"/>
              </w:rPr>
              <w:t xml:space="preserve">Số điện thoại: </w:t>
            </w:r>
          </w:p>
        </w:tc>
        <w:tc>
          <w:tcPr>
            <w:tcW w:w="8017" w:type="dxa"/>
            <w:tcBorders>
              <w:top w:val="single" w:sz="6" w:space="0" w:color="auto"/>
              <w:left w:val="single" w:sz="6" w:space="0" w:color="auto"/>
              <w:bottom w:val="single" w:sz="6" w:space="0" w:color="auto"/>
              <w:right w:val="single" w:sz="6" w:space="0" w:color="auto"/>
            </w:tcBorders>
          </w:tcPr>
          <w:p w14:paraId="2AE3533E" w14:textId="77777777" w:rsidR="00CC2658" w:rsidRPr="005B628C" w:rsidRDefault="00CC2658" w:rsidP="00743A69">
            <w:pPr>
              <w:spacing w:after="0"/>
            </w:pPr>
          </w:p>
        </w:tc>
      </w:tr>
    </w:tbl>
    <w:p w14:paraId="24F411FE" w14:textId="77777777" w:rsidR="009E6DC7" w:rsidRPr="005B628C" w:rsidRDefault="009E6DC7" w:rsidP="000E1093">
      <w:pPr>
        <w:pStyle w:val="Heading2"/>
        <w:rPr>
          <w:sz w:val="24"/>
          <w:szCs w:val="24"/>
        </w:rPr>
      </w:pPr>
    </w:p>
    <w:p w14:paraId="4262F5D8" w14:textId="77777777" w:rsidR="00CC2658" w:rsidRPr="005B628C" w:rsidRDefault="00CC2658" w:rsidP="00AD0D51">
      <w:pPr>
        <w:pStyle w:val="Heading2"/>
        <w:spacing w:after="80"/>
      </w:pPr>
      <w:r w:rsidRPr="005B628C">
        <w:t>Những loại nghỉ phép nào được chi trả?</w:t>
      </w:r>
    </w:p>
    <w:p w14:paraId="697E3EA0" w14:textId="77777777" w:rsidR="00CC2658" w:rsidRPr="005B628C" w:rsidRDefault="00CC2658" w:rsidP="00AD0D51">
      <w:pPr>
        <w:spacing w:after="120"/>
      </w:pPr>
      <w:bookmarkStart w:id="3" w:name="_Hlk209613588"/>
      <w:r w:rsidRPr="005B628C">
        <w:t>Quý vị có thể nghỉ phép để tham gia các sự kiện đủ điều kiện sau: </w:t>
      </w:r>
    </w:p>
    <w:p w14:paraId="2B357431" w14:textId="77777777" w:rsidR="00CC2658" w:rsidRPr="005B628C" w:rsidRDefault="00CC2658" w:rsidP="00AD0D51">
      <w:pPr>
        <w:pStyle w:val="Heading3"/>
        <w:spacing w:after="120"/>
      </w:pPr>
      <w:r w:rsidRPr="005B628C">
        <w:t>Nghỉ phép y tế:  </w:t>
      </w:r>
    </w:p>
    <w:p w14:paraId="3CB73D24" w14:textId="77777777" w:rsidR="00CC2658" w:rsidRPr="005B628C" w:rsidRDefault="00CC2658" w:rsidP="00AD0D51">
      <w:pPr>
        <w:numPr>
          <w:ilvl w:val="0"/>
          <w:numId w:val="9"/>
        </w:numPr>
        <w:spacing w:after="120"/>
      </w:pPr>
      <w:r w:rsidRPr="005B628C">
        <w:t>Để chăm sóc tình trạng sức khỏe nghiêm trọng của chính quý vị, bao gồm chăm sóc liên quan đến thai kỳ, sinh nở và hồi phục  </w:t>
      </w:r>
    </w:p>
    <w:p w14:paraId="5CB1508A" w14:textId="77777777" w:rsidR="00CC2658" w:rsidRPr="005B628C" w:rsidRDefault="00CC2658" w:rsidP="00AD0D51">
      <w:pPr>
        <w:pStyle w:val="Heading3"/>
        <w:spacing w:after="120"/>
      </w:pPr>
      <w:r w:rsidRPr="005B628C">
        <w:t>Nghỉ phép gia đình:  </w:t>
      </w:r>
    </w:p>
    <w:p w14:paraId="196B9C65" w14:textId="77777777" w:rsidR="00CC2658" w:rsidRPr="005B628C" w:rsidRDefault="00CC2658" w:rsidP="00AD0D51">
      <w:pPr>
        <w:numPr>
          <w:ilvl w:val="0"/>
          <w:numId w:val="10"/>
        </w:numPr>
        <w:spacing w:after="120"/>
      </w:pPr>
      <w:r w:rsidRPr="005B628C">
        <w:t>Nghỉ phép gắn kết – để chăm sóc và gắn kết với người con được chào đời thông qua việc sinh con, nhận con nuôi hoặc bố trí vào nhà nuôi dưỡng  </w:t>
      </w:r>
    </w:p>
    <w:p w14:paraId="505B957F" w14:textId="77777777" w:rsidR="00CC2658" w:rsidRPr="005B628C" w:rsidRDefault="00CC2658" w:rsidP="00AD0D51">
      <w:pPr>
        <w:numPr>
          <w:ilvl w:val="0"/>
          <w:numId w:val="11"/>
        </w:numPr>
        <w:spacing w:after="120"/>
      </w:pPr>
      <w:r w:rsidRPr="005B628C">
        <w:t>Nghỉ phép chăm sóc – để chăm sóc một thành viên gia đình có tình trạng sức khỏe nghiêm trọng  </w:t>
      </w:r>
    </w:p>
    <w:p w14:paraId="64831BED" w14:textId="77777777" w:rsidR="00CC2658" w:rsidRPr="005B628C" w:rsidRDefault="00CC2658" w:rsidP="00AD0D51">
      <w:pPr>
        <w:numPr>
          <w:ilvl w:val="0"/>
          <w:numId w:val="12"/>
        </w:numPr>
        <w:spacing w:after="120"/>
      </w:pPr>
      <w:r w:rsidRPr="005B628C">
        <w:t>Nghỉ phép gia đình quân nhân – để hỗ trợ một thành viên gia đình được gọi đi nghĩa vụ quân sự  </w:t>
      </w:r>
    </w:p>
    <w:p w14:paraId="14D3376E" w14:textId="77777777" w:rsidR="00CC2658" w:rsidRPr="005B628C" w:rsidRDefault="00CC2658" w:rsidP="00AD0D51">
      <w:pPr>
        <w:numPr>
          <w:ilvl w:val="0"/>
          <w:numId w:val="13"/>
        </w:numPr>
        <w:spacing w:after="120"/>
      </w:pPr>
      <w:r w:rsidRPr="005B628C">
        <w:t>Nghỉ phép an toàn – để ứng phó với các vấn đề liên quan đến bạo lực gia đình, tấn công tình dục hoặc theo dõi cho bản thân hoặc thành viên gia đình  </w:t>
      </w:r>
    </w:p>
    <w:bookmarkEnd w:id="3"/>
    <w:p w14:paraId="060232C2" w14:textId="77777777" w:rsidR="003E0CCB" w:rsidRPr="005B628C" w:rsidRDefault="003E0CCB" w:rsidP="00AD0D51">
      <w:pPr>
        <w:pStyle w:val="Heading2"/>
        <w:spacing w:after="80"/>
      </w:pPr>
      <w:r w:rsidRPr="005B628C">
        <w:lastRenderedPageBreak/>
        <w:t>Tôi có được hưởng chế độ Nghỉ phép có lương không?</w:t>
      </w:r>
    </w:p>
    <w:p w14:paraId="1D61EE02" w14:textId="77777777" w:rsidR="003E0CCB" w:rsidRPr="005B628C" w:rsidRDefault="003E0CCB" w:rsidP="00AD0D51">
      <w:pPr>
        <w:spacing w:after="120"/>
      </w:pPr>
      <w:r w:rsidRPr="005B628C">
        <w:t>Hầu hết người lao động ở Minnesota đều được hưởng chế độ Nghỉ phép có lương. Một chương trình tương đương phải cung cấp phạm vi bảo hiểm tương đương hoặc cao hơn phạm vi được cung cấp theo chương trình của tiểu bang. Theo chương trình của tiểu bang, quý vị có thể đủ điều kiện nhận thanh toán nếu quý vị được trả một số tiền tối thiểu cho công việc tại Minnesota trong năm ngoái ($3,900 cho thời điểm bắt đầu Nghỉ phép có lương vào năm 2026).</w:t>
      </w:r>
    </w:p>
    <w:p w14:paraId="50F478AD" w14:textId="539A77BB" w:rsidR="003E0CCB" w:rsidRPr="005B628C" w:rsidRDefault="00253028" w:rsidP="003E0CCB">
      <w:r>
        <w:rPr>
          <w:noProof/>
        </w:rPr>
        <mc:AlternateContent>
          <mc:Choice Requires="wps">
            <w:drawing>
              <wp:inline distT="0" distB="0" distL="0" distR="0" wp14:anchorId="03E0C62D" wp14:editId="37D3CE34">
                <wp:extent cx="6858000" cy="1159510"/>
                <wp:effectExtent l="0" t="3175" r="0" b="0"/>
                <wp:docPr id="613442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2524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62F65" w14:textId="77777777" w:rsidR="003E0CCB" w:rsidRPr="00EE53D4" w:rsidRDefault="003E0CCB" w:rsidP="00AD0D51">
                            <w:pPr>
                              <w:spacing w:after="120"/>
                              <w:rPr>
                                <w:b/>
                                <w:bCs/>
                              </w:rPr>
                            </w:pPr>
                            <w:r>
                              <w:rPr>
                                <w:b/>
                              </w:rPr>
                              <w:t xml:space="preserve">Phạm vi chi trả tương đương của quý vị </w:t>
                            </w:r>
                          </w:p>
                          <w:p w14:paraId="35E528DB" w14:textId="77777777" w:rsidR="003E0CCB" w:rsidRPr="002B05BA" w:rsidRDefault="00CF0E84" w:rsidP="00AD0D51">
                            <w:pPr>
                              <w:spacing w:after="120"/>
                              <w:rPr>
                                <w:i/>
                                <w:iCs/>
                                <w:color w:val="C00000"/>
                              </w:rPr>
                            </w:pPr>
                            <w:r>
                              <w:rPr>
                                <w:i/>
                                <w:color w:val="C00000"/>
                              </w:rPr>
                              <w:t xml:space="preserve">NGƯỜI CHỦ LAO ĐỘNG: Điền vào phần này để mô tả tiêu chí đủ điều kiện và phạm vi chi trả cho nhân viên của quý vị theo chương trình tương đương đã được phê duyệt. Ví dụ, quý vị có thể nêu “Phạm vi chi trả tương đương với gói chi trả của tiểu bang." Hoặc quý vị có thể mô tả (các) cách thức mà chương trình của quý vị cung cấp phạm vi chi trả lớn hơn. </w:t>
                            </w:r>
                          </w:p>
                        </w:txbxContent>
                      </wps:txbx>
                      <wps:bodyPr rot="0" vert="horz" wrap="square" lIns="91440" tIns="45720" rIns="91440" bIns="45720" anchor="t" anchorCtr="0" upright="1">
                        <a:spAutoFit/>
                      </wps:bodyPr>
                    </wps:wsp>
                  </a:graphicData>
                </a:graphic>
              </wp:inline>
            </w:drawing>
          </mc:Choice>
          <mc:Fallback>
            <w:pict>
              <v:shapetype w14:anchorId="03E0C62D" id="_x0000_t202" coordsize="21600,21600" o:spt="202" path="m,l,21600r21600,l21600,xe">
                <v:stroke joinstyle="miter"/>
                <v:path gradientshapeok="t" o:connecttype="rect"/>
              </v:shapetype>
              <v:shape id="Text Box 4" o:spid="_x0000_s1026"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3u9AEAAMsDAAAOAAAAZHJzL2Uyb0RvYy54bWysU9uO0zAQfUfiHyy/06ShXUrUdLV0VYS0&#10;XKRdPsBxnMQi8Zix26R8PWOn7Rb2DaFIlsdjn5lz5mR9O/YdOyh0GkzB57OUM2UkVNo0Bf/+tHuz&#10;4sx5YSrRgVEFPyrHbzevX60Hm6sMWugqhYxAjMsHW/DWe5sniZOt6oWbgVWGkjVgLzyF2CQVioHQ&#10;+y7J0vQmGQAriyCVc3R6PyX5JuLXtZL+a1075VlXcOrNxxXjWoY12axF3qCwrZanNsQ/dNELbajo&#10;BepeeMH2qF9A9VoiOKj9TEKfQF1rqSIHYjNP/2Lz2AqrIhcSx9mLTO7/wcovh0f7DZkfP8BIA4wk&#10;nH0A+cMxA9tWmEbdIcLQKlFR4XmQLBmsy09Pg9QudwGkHD5DRUMWew8RaKyxD6oQT0boNIDjRXQ1&#10;eibp8Ga1XKUppSTl5m+zZbZYxhoiPz+36PxHBT0Lm4IjTTXCi8OD86EdkZ+vhGoOOl3tdNfFAJty&#10;2yE7CHLALgvfCf2Pa50Jlw2EZxNiOIk8A7WJpB/LkZKBbwnVkRgjTI6iP4A2LeAvzgZyU8Hdz71A&#10;xVn3yZBq7+eLRbBfDBbLdxkFeJ0przPCSIIquOds2m79ZNm9Rd20VOk8pztSeqejBs9dnfomx0Rp&#10;Tu4OlryO463nf3DzGwAA//8DAFBLAwQUAAYACAAAACEAdqp3ONwAAAAGAQAADwAAAGRycy9kb3du&#10;cmV2LnhtbEyPQUvDQBCF74L/YRnBm921SBPTbEqxeNCC0Fbwuk2m2WB2NmY3afz3Tr3oZZjHG958&#10;L19NrhUj9qHxpOF+pkAglb5qqNbwfni+S0GEaKgyrSfU8I0BVsX1VW6yyp9ph+M+1oJDKGRGg42x&#10;y6QMpUVnwsx3SOydfO9MZNnXsurNmcNdK+dKLaQzDfEHazp8slh+7gengR5e4tujHbZJ8rFJtuvN&#10;1+gPr1rf3kzrJYiIU/w7hgs+o0PBTEc/UBVEq4GLxN958VSqWB95S+cLkEUu/+MXPwAAAP//AwBQ&#10;SwECLQAUAAYACAAAACEAtoM4kv4AAADhAQAAEwAAAAAAAAAAAAAAAAAAAAAAW0NvbnRlbnRfVHlw&#10;ZXNdLnhtbFBLAQItABQABgAIAAAAIQA4/SH/1gAAAJQBAAALAAAAAAAAAAAAAAAAAC8BAABfcmVs&#10;cy8ucmVsc1BLAQItABQABgAIAAAAIQBrqU3u9AEAAMsDAAAOAAAAAAAAAAAAAAAAAC4CAABkcnMv&#10;ZTJvRG9jLnhtbFBLAQItABQABgAIAAAAIQB2qnc43AAAAAYBAAAPAAAAAAAAAAAAAAAAAE4EAABk&#10;cnMvZG93bnJldi54bWxQSwUGAAAAAAQABADzAAAAVwUAAAAA&#10;" fillcolor="#f2f2f2" stroked="f">
                <v:textbox style="mso-fit-shape-to-text:t">
                  <w:txbxContent>
                    <w:p w14:paraId="6AD62F65" w14:textId="77777777" w:rsidR="003E0CCB" w:rsidRPr="00EE53D4" w:rsidRDefault="003E0CCB" w:rsidP="00AD0D51">
                      <w:pPr>
                        <w:spacing w:after="120"/>
                        <w:rPr>
                          <w:b/>
                          <w:bCs/>
                        </w:rPr>
                      </w:pPr>
                      <w:r>
                        <w:rPr>
                          <w:b/>
                        </w:rPr>
                        <w:t xml:space="preserve">Phạm vi chi trả tương đương của quý vị </w:t>
                      </w:r>
                    </w:p>
                    <w:p w14:paraId="35E528DB" w14:textId="77777777" w:rsidR="003E0CCB" w:rsidRPr="002B05BA" w:rsidRDefault="00CF0E84" w:rsidP="00AD0D51">
                      <w:pPr>
                        <w:spacing w:after="120"/>
                        <w:rPr>
                          <w:i/>
                          <w:iCs/>
                          <w:color w:val="C00000"/>
                        </w:rPr>
                      </w:pPr>
                      <w:r>
                        <w:rPr>
                          <w:i/>
                          <w:color w:val="C00000"/>
                        </w:rPr>
                        <w:t xml:space="preserve">NGƯỜI CHỦ LAO ĐỘNG: Điền vào phần này để mô tả tiêu chí đủ điều kiện và phạm vi chi trả cho nhân viên của quý vị theo chương trình tương đương đã được phê duyệt. Ví dụ, quý vị có thể nêu “Phạm vi chi trả tương đương với gói chi trả của tiểu bang." Hoặc quý vị có thể mô tả (các) cách thức mà chương trình của quý vị cung cấp phạm vi chi trả lớn hơn. </w:t>
                      </w:r>
                    </w:p>
                  </w:txbxContent>
                </v:textbox>
                <w10:anchorlock/>
              </v:shape>
            </w:pict>
          </mc:Fallback>
        </mc:AlternateContent>
      </w:r>
    </w:p>
    <w:p w14:paraId="4DC6564B" w14:textId="77777777" w:rsidR="003E0CCB" w:rsidRPr="005B628C" w:rsidRDefault="003E0CCB" w:rsidP="00AD0D51">
      <w:pPr>
        <w:pStyle w:val="Heading2"/>
        <w:spacing w:after="80"/>
      </w:pPr>
      <w:r w:rsidRPr="005B628C">
        <w:t>Tôi có thể nghỉ phép bao lâu?</w:t>
      </w:r>
    </w:p>
    <w:p w14:paraId="4CE96618" w14:textId="77777777" w:rsidR="003E0CCB" w:rsidRPr="005B628C" w:rsidRDefault="003E0CCB" w:rsidP="00AD0D51">
      <w:pPr>
        <w:spacing w:after="120"/>
      </w:pPr>
      <w:r w:rsidRPr="005B628C">
        <w:t xml:space="preserve">Một chương trình tương đương phải cung cấp thời gian nghỉ phép tương tự hoặc lớn hơn thời gian được cung cấp theo chương trình của tiểu bang. Theo chương trình của tiểu bang, quý vị có thể đủ điều kiện để nghỉ phép gia đình hoặc nghỉ phép y tế tối đa 12 tuần mỗi năm hưởng trợ cấp. Nếu quý vị cần cả hai loại nghỉ phép gia đình và nghỉ phép y tế trong cùng một năm phúc lợi, quý vị có thể đủ điều kiện để nhận lên tới 20 tuần tổng cộng the chương trình của tiểu bang. </w:t>
      </w:r>
    </w:p>
    <w:p w14:paraId="30FE814F" w14:textId="4B0BA92F" w:rsidR="003E0CCB" w:rsidRPr="005B628C" w:rsidRDefault="00253028" w:rsidP="003E0CCB">
      <w:r>
        <w:rPr>
          <w:noProof/>
        </w:rPr>
        <mc:AlternateContent>
          <mc:Choice Requires="wps">
            <w:drawing>
              <wp:inline distT="0" distB="0" distL="0" distR="0" wp14:anchorId="0C91F47A" wp14:editId="2ED20B63">
                <wp:extent cx="6858000" cy="1159510"/>
                <wp:effectExtent l="0" t="0" r="0" b="0"/>
                <wp:docPr id="1822318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2524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7D593" w14:textId="77777777" w:rsidR="003E0CCB" w:rsidRPr="00EE53D4" w:rsidRDefault="003E0CCB" w:rsidP="00AD0D51">
                            <w:pPr>
                              <w:spacing w:after="120"/>
                              <w:rPr>
                                <w:b/>
                                <w:bCs/>
                              </w:rPr>
                            </w:pPr>
                            <w:r>
                              <w:rPr>
                                <w:b/>
                              </w:rPr>
                              <w:t xml:space="preserve">Thời gian nghỉ phép theo chương trình tương đương của quý vị </w:t>
                            </w:r>
                          </w:p>
                          <w:p w14:paraId="4DE917AE" w14:textId="77777777" w:rsidR="003E0CCB" w:rsidRPr="002B05BA" w:rsidRDefault="00CF0E84" w:rsidP="00AD0D51">
                            <w:pPr>
                              <w:spacing w:after="120"/>
                              <w:rPr>
                                <w:i/>
                                <w:iCs/>
                                <w:color w:val="C00000"/>
                              </w:rPr>
                            </w:pPr>
                            <w:r>
                              <w:rPr>
                                <w:i/>
                                <w:color w:val="C00000"/>
                              </w:rPr>
                              <w:t xml:space="preserve">NGƯỜI CHỦ LAO ĐỘNG: Điền vào phần này để mô tả tiêu chí đủ điều kiện và phạm vi chi trả cho nhân viên của quý vị theo chương trình tương đương đã được phê duyệt. Ví dụ, quý vị có thể ghi “Thời gian nghỉ phép tương đương với chương trình của tiểu bang.” Hoặc quý vị có thể mô tả (các) cách thức mà chương trình của quý vị cung cấp thời gian nghỉ phép dài hơn. </w:t>
                            </w:r>
                          </w:p>
                        </w:txbxContent>
                      </wps:txbx>
                      <wps:bodyPr rot="0" vert="horz" wrap="square" lIns="91440" tIns="45720" rIns="91440" bIns="45720" anchor="t" anchorCtr="0" upright="1">
                        <a:spAutoFit/>
                      </wps:bodyPr>
                    </wps:wsp>
                  </a:graphicData>
                </a:graphic>
              </wp:inline>
            </w:drawing>
          </mc:Choice>
          <mc:Fallback>
            <w:pict>
              <v:shape w14:anchorId="0C91F47A" id="Text Box 3" o:spid="_x0000_s1027"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kJ9wEAANIDAAAOAAAAZHJzL2Uyb0RvYy54bWysU9uO0zAQfUfiHyy/06ShXUrUdLV0VYS0&#10;XKSFD3AcJ7FIPGbsNlm+nrGTdgu8IRTJ8njsM3POnGxvx75jJ4VOgyn4cpFypoyESpum4N++Hl5t&#10;OHNemEp0YFTBn5Tjt7uXL7aDzVUGLXSVQkYgxuWDLXjrvc2TxMlW9cItwCpDyRqwF55CbJIKxUDo&#10;fZdkaXqTDICVRZDKOTq9n5J8F/HrWkn/ua6d8qwrOPXm44pxLcOa7LYib1DYVsu5DfEPXfRCGyp6&#10;gboXXrAj6r+gei0RHNR+IaFPoK61VJEDsVmmf7B5bIVVkQuJ4+xFJvf/YOWn06P9gsyP72CkAUYS&#10;zj6A/O6YgX0rTKPuEGFolaio8DJIlgzW5fPTILXLXQAph49Q0ZDF0UMEGmvsgyrEkxE6DeDpIroa&#10;PZN0eLNZb9KUUpJyy9fZOlutYw2Rn59bdP69gp6FTcGRphrhxenB+dCOyM9XQjUHna4OuutigE25&#10;75CdBDngkIVvRv/tWmfCZQPh2YQYTiLPQG0i6cdyZLqaRQi0S6ieiDjCZCz6EWjTAv7kbCBTFdz9&#10;OApUnHUfDIn3drlaBRfGYLV+k1GA15nyOiOMJKiCe86m7d5Pzj1a1E1Llc7juiPBDzpK8dzV3D4Z&#10;Jyo0mzw48zqOt55/xd0vAAAA//8DAFBLAwQUAAYACAAAACEAdqp3ONwAAAAGAQAADwAAAGRycy9k&#10;b3ducmV2LnhtbEyPQUvDQBCF74L/YRnBm921SBPTbEqxeNCC0Fbwuk2m2WB2NmY3afz3Tr3oZZjH&#10;G958L19NrhUj9qHxpOF+pkAglb5qqNbwfni+S0GEaKgyrSfU8I0BVsX1VW6yyp9ph+M+1oJDKGRG&#10;g42xy6QMpUVnwsx3SOydfO9MZNnXsurNmcNdK+dKLaQzDfEHazp8slh+7gengR5e4tujHbZJ8rFJ&#10;tuvN1+gPr1rf3kzrJYiIU/w7hgs+o0PBTEc/UBVEq4GLxN958VSqWB95S+cLkEUu/+MXPwAAAP//&#10;AwBQSwECLQAUAAYACAAAACEAtoM4kv4AAADhAQAAEwAAAAAAAAAAAAAAAAAAAAAAW0NvbnRlbnRf&#10;VHlwZXNdLnhtbFBLAQItABQABgAIAAAAIQA4/SH/1gAAAJQBAAALAAAAAAAAAAAAAAAAAC8BAABf&#10;cmVscy8ucmVsc1BLAQItABQABgAIAAAAIQDoaZkJ9wEAANIDAAAOAAAAAAAAAAAAAAAAAC4CAABk&#10;cnMvZTJvRG9jLnhtbFBLAQItABQABgAIAAAAIQB2qnc43AAAAAYBAAAPAAAAAAAAAAAAAAAAAFEE&#10;AABkcnMvZG93bnJldi54bWxQSwUGAAAAAAQABADzAAAAWgUAAAAA&#10;" fillcolor="#f2f2f2" stroked="f">
                <v:textbox style="mso-fit-shape-to-text:t">
                  <w:txbxContent>
                    <w:p w14:paraId="1A97D593" w14:textId="77777777" w:rsidR="003E0CCB" w:rsidRPr="00EE53D4" w:rsidRDefault="003E0CCB" w:rsidP="00AD0D51">
                      <w:pPr>
                        <w:spacing w:after="120"/>
                        <w:rPr>
                          <w:b/>
                          <w:bCs/>
                        </w:rPr>
                      </w:pPr>
                      <w:r>
                        <w:rPr>
                          <w:b/>
                        </w:rPr>
                        <w:t xml:space="preserve">Thời gian nghỉ phép theo chương trình tương đương của quý vị </w:t>
                      </w:r>
                    </w:p>
                    <w:p w14:paraId="4DE917AE" w14:textId="77777777" w:rsidR="003E0CCB" w:rsidRPr="002B05BA" w:rsidRDefault="00CF0E84" w:rsidP="00AD0D51">
                      <w:pPr>
                        <w:spacing w:after="120"/>
                        <w:rPr>
                          <w:i/>
                          <w:iCs/>
                          <w:color w:val="C00000"/>
                        </w:rPr>
                      </w:pPr>
                      <w:r>
                        <w:rPr>
                          <w:i/>
                          <w:color w:val="C00000"/>
                        </w:rPr>
                        <w:t xml:space="preserve">NGƯỜI CHỦ LAO ĐỘNG: Điền vào phần này để mô tả tiêu chí đủ điều kiện và phạm vi chi trả cho nhân viên của quý vị theo chương trình tương đương đã được phê duyệt. Ví dụ, quý vị có thể ghi “Thời gian nghỉ phép tương đương với chương trình của tiểu bang.” Hoặc quý vị có thể mô tả (các) cách thức mà chương trình của quý vị cung cấp thời gian nghỉ phép dài hơn. </w:t>
                      </w:r>
                    </w:p>
                  </w:txbxContent>
                </v:textbox>
                <w10:anchorlock/>
              </v:shape>
            </w:pict>
          </mc:Fallback>
        </mc:AlternateContent>
      </w:r>
    </w:p>
    <w:p w14:paraId="2EB37E54" w14:textId="77777777" w:rsidR="003E0CCB" w:rsidRPr="005B628C" w:rsidRDefault="003E0CCB" w:rsidP="00AD0D51">
      <w:pPr>
        <w:pStyle w:val="Heading2"/>
        <w:spacing w:after="80"/>
      </w:pPr>
      <w:r w:rsidRPr="005B628C">
        <w:t>Tôi sẽ được trả bao nhiêu?</w:t>
      </w:r>
    </w:p>
    <w:p w14:paraId="3702330F" w14:textId="77777777" w:rsidR="003E0CCB" w:rsidRPr="005B628C" w:rsidRDefault="003E0CCB" w:rsidP="00AD0D51">
      <w:pPr>
        <w:spacing w:after="120"/>
      </w:pPr>
      <w:r w:rsidRPr="005B628C">
        <w:t xml:space="preserve">Một chương trình tương đương phải cung cấp các khoản thanh toán tương đương hoặc nhiều hơn những khoản được cung cấp theo chương trình của tiểu bang. Theo chương trình của tiểu bang, quý vị sẽ được trả lên đến 90% tiền lương, dựa trên mức thu nhập của quý vị, với số tiền tối đa hàng tuần được ấn định theo mức lương trung bình hàng tuần của tiểu bang. Số tiền này thay đổi hàng năm và là $1,423 cho thời điểm bắt đầu Nghỉ phép có lương vào năm 2026. </w:t>
      </w:r>
    </w:p>
    <w:p w14:paraId="6A6D986B" w14:textId="70E29332" w:rsidR="00CF0E84" w:rsidRPr="005B628C" w:rsidRDefault="00253028" w:rsidP="003E0CCB">
      <w:r>
        <w:rPr>
          <w:noProof/>
        </w:rPr>
        <w:lastRenderedPageBreak/>
        <mc:AlternateContent>
          <mc:Choice Requires="wps">
            <w:drawing>
              <wp:inline distT="0" distB="0" distL="0" distR="0" wp14:anchorId="3DBE0080" wp14:editId="29926968">
                <wp:extent cx="6858000" cy="1159510"/>
                <wp:effectExtent l="0" t="0" r="0" b="0"/>
                <wp:docPr id="969976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2524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863A9" w14:textId="77777777" w:rsidR="00CF0E84" w:rsidRPr="00EE53D4" w:rsidRDefault="00CF0E84" w:rsidP="00AD0D51">
                            <w:pPr>
                              <w:spacing w:after="120"/>
                              <w:rPr>
                                <w:b/>
                                <w:bCs/>
                              </w:rPr>
                            </w:pPr>
                            <w:r>
                              <w:rPr>
                                <w:b/>
                              </w:rPr>
                              <w:t xml:space="preserve">Thanh toán theo chương trình tương đương của quý vị </w:t>
                            </w:r>
                          </w:p>
                          <w:p w14:paraId="474403A4" w14:textId="77777777" w:rsidR="00CF0E84" w:rsidRPr="002B05BA" w:rsidRDefault="00CF0E84" w:rsidP="00AD0D51">
                            <w:pPr>
                              <w:spacing w:after="120"/>
                              <w:rPr>
                                <w:i/>
                                <w:iCs/>
                                <w:color w:val="C00000"/>
                              </w:rPr>
                            </w:pPr>
                            <w:r>
                              <w:rPr>
                                <w:i/>
                                <w:color w:val="C00000"/>
                              </w:rPr>
                              <w:t xml:space="preserve">NGƯỜI CHỦ LAO ĐỘNG: Điền vào phần này để mô tả tiêu chí đủ điều kiện và phạm vi chi trả cho nhân viên của quý vị theo chương trình tương đương đã được phê duyệt. Ví dụ, quý vị có thể nêu “Khoản thanh toán tương đương với chương trình của tiểu bang.” Hoặc quý vị có thể mô tả (các) cách thức mà chương trình của quý vị cung cấp mức thanh toán cao hơn. </w:t>
                            </w:r>
                          </w:p>
                        </w:txbxContent>
                      </wps:txbx>
                      <wps:bodyPr rot="0" vert="horz" wrap="square" lIns="91440" tIns="45720" rIns="91440" bIns="45720" anchor="t" anchorCtr="0" upright="1">
                        <a:spAutoFit/>
                      </wps:bodyPr>
                    </wps:wsp>
                  </a:graphicData>
                </a:graphic>
              </wp:inline>
            </w:drawing>
          </mc:Choice>
          <mc:Fallback>
            <w:pict>
              <v:shape w14:anchorId="3DBE0080" id="Text Box 2" o:spid="_x0000_s1028"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fn+AEAANIDAAAOAAAAZHJzL2Uyb0RvYy54bWysU9uO0zAQfUfiHyy/06ShXUrUdLV0VYS0&#10;XKRdPsBxnMQi8Zix26R8PWOn7Rb2DaFIlsdjn5lz5mR9O/YdOyh0GkzB57OUM2UkVNo0Bf/+tHuz&#10;4sx5YSrRgVEFPyrHbzevX60Hm6sMWugqhYxAjMsHW/DWe5sniZOt6oWbgVWGkjVgLzyF2CQVioHQ&#10;+y7J0vQmGQAriyCVc3R6PyX5JuLXtZL+a1075VlXcOrNxxXjWoY12axF3qCwrZanNsQ/dNELbajo&#10;BepeeMH2qF9A9VoiOKj9TEKfQF1rqSIHYjNP/2Lz2AqrIhcSx9mLTO7/wcovh0f7DZkfP8BIA4wk&#10;nH0A+cMxA9tWmEbdIcLQKlFR4XmQLBmsy09Pg9QudwGkHD5DRUMWew8RaKyxD6oQT0boNIDjRXQ1&#10;eibp8Ga1XKUppSTl5m+zZbZYxhoiPz+36PxHBT0Lm4IjTTXCi8OD86EdkZ+vhGoOOl3tdNfFAJty&#10;2yE7CHLALgvfCf2Pa50Jlw2EZxNiOIk8A7WJpB/Lkemq4BEi0C6hOhJxhMlY9CPQpgX8xdlApiq4&#10;+7kXqDjrPhkS7/18sQgujMFi+S6jAK8z5XVGGElQBfecTdutn5y7t6ibliqdx3VHgu90lOK5q1P7&#10;ZJyo0MnkwZnXcbz1/CtufgMAAP//AwBQSwMEFAAGAAgAAAAhAHaqdzjcAAAABgEAAA8AAABkcnMv&#10;ZG93bnJldi54bWxMj0FLw0AQhe+C/2EZwZvdtUgT02xKsXjQgtBW8LpNptlgdjZmN2n890696GWY&#10;xxvefC9fTa4VI/ah8aThfqZAIJW+aqjW8H54vktBhGioMq0n1PCNAVbF9VVussqfaYfjPtaCQyhk&#10;RoONscukDKVFZ8LMd0jsnXzvTGTZ17LqzZnDXSvnSi2kMw3xB2s6fLJYfu4Hp4EeXuLbox22SfKx&#10;SbbrzdfoD69a395M6yWIiFP8O4YLPqNDwUxHP1AVRKuBi8TfefFUqlgfeUvnC5BFLv/jFz8AAAD/&#10;/wMAUEsBAi0AFAAGAAgAAAAhALaDOJL+AAAA4QEAABMAAAAAAAAAAAAAAAAAAAAAAFtDb250ZW50&#10;X1R5cGVzXS54bWxQSwECLQAUAAYACAAAACEAOP0h/9YAAACUAQAACwAAAAAAAAAAAAAAAAAvAQAA&#10;X3JlbHMvLnJlbHNQSwECLQAUAAYACAAAACEASbz35/gBAADSAwAADgAAAAAAAAAAAAAAAAAuAgAA&#10;ZHJzL2Uyb0RvYy54bWxQSwECLQAUAAYACAAAACEAdqp3ONwAAAAGAQAADwAAAAAAAAAAAAAAAABS&#10;BAAAZHJzL2Rvd25yZXYueG1sUEsFBgAAAAAEAAQA8wAAAFsFAAAAAA==&#10;" fillcolor="#f2f2f2" stroked="f">
                <v:textbox style="mso-fit-shape-to-text:t">
                  <w:txbxContent>
                    <w:p w14:paraId="2DE863A9" w14:textId="77777777" w:rsidR="00CF0E84" w:rsidRPr="00EE53D4" w:rsidRDefault="00CF0E84" w:rsidP="00AD0D51">
                      <w:pPr>
                        <w:spacing w:after="120"/>
                        <w:rPr>
                          <w:b/>
                          <w:bCs/>
                        </w:rPr>
                      </w:pPr>
                      <w:r>
                        <w:rPr>
                          <w:b/>
                        </w:rPr>
                        <w:t xml:space="preserve">Thanh toán theo chương trình tương đương của quý vị </w:t>
                      </w:r>
                    </w:p>
                    <w:p w14:paraId="474403A4" w14:textId="77777777" w:rsidR="00CF0E84" w:rsidRPr="002B05BA" w:rsidRDefault="00CF0E84" w:rsidP="00AD0D51">
                      <w:pPr>
                        <w:spacing w:after="120"/>
                        <w:rPr>
                          <w:i/>
                          <w:iCs/>
                          <w:color w:val="C00000"/>
                        </w:rPr>
                      </w:pPr>
                      <w:r>
                        <w:rPr>
                          <w:i/>
                          <w:color w:val="C00000"/>
                        </w:rPr>
                        <w:t xml:space="preserve">NGƯỜI CHỦ LAO ĐỘNG: Điền vào phần này để mô tả tiêu chí đủ điều kiện và phạm vi chi trả cho nhân viên của quý vị theo chương trình tương đương đã được phê duyệt. Ví dụ, quý vị có thể nêu “Khoản thanh toán tương đương với chương trình của tiểu bang.” Hoặc quý vị có thể mô tả (các) cách thức mà chương trình của quý vị cung cấp mức thanh toán cao hơn. </w:t>
                      </w:r>
                    </w:p>
                  </w:txbxContent>
                </v:textbox>
                <w10:anchorlock/>
              </v:shape>
            </w:pict>
          </mc:Fallback>
        </mc:AlternateContent>
      </w:r>
    </w:p>
    <w:p w14:paraId="097D3623" w14:textId="77777777" w:rsidR="00CC2658" w:rsidRPr="005B628C" w:rsidRDefault="00CC2658" w:rsidP="00AD0D51">
      <w:pPr>
        <w:pStyle w:val="Heading2"/>
        <w:spacing w:after="80"/>
      </w:pPr>
      <w:r w:rsidRPr="005B628C">
        <w:t xml:space="preserve">Ai trả tiền cho chương trình tương đương? </w:t>
      </w:r>
    </w:p>
    <w:p w14:paraId="23929A75" w14:textId="77777777" w:rsidR="00CC2658" w:rsidRPr="005B628C" w:rsidRDefault="00CC2658" w:rsidP="00AD0D51">
      <w:pPr>
        <w:spacing w:after="120"/>
      </w:pPr>
      <w:r w:rsidRPr="005B628C">
        <w:t xml:space="preserve">Chương trình tương đương của chủ lao động của quý vị có thể được tài trợ bởi các khoản đóng góp của chủ lao động, khấu trừ tiền lương của nhân viên hoặc cả hai. </w:t>
      </w:r>
      <w:r w:rsidRPr="005B628C">
        <w:rPr>
          <w:b/>
        </w:rPr>
        <w:t>Người chủ lao động của quý vị không được tính phí quý vị nhiều hơn 0.44% tiền lương</w:t>
      </w:r>
      <w:r w:rsidRPr="005B628C">
        <w:t xml:space="preserve"> để chi trả cho phần phí bảo hiểm tương đương của quý vị.</w:t>
      </w:r>
    </w:p>
    <w:p w14:paraId="4A3C47C1" w14:textId="77777777" w:rsidR="00CC2658" w:rsidRPr="005B628C" w:rsidRDefault="00CC2658" w:rsidP="00AD0D51">
      <w:pPr>
        <w:spacing w:after="120"/>
      </w:pPr>
      <w:r w:rsidRPr="005B628C">
        <w:t>Những đóng góp của quý vị như sau:</w:t>
      </w:r>
    </w:p>
    <w:tbl>
      <w:tblPr>
        <w:tblW w:w="9330" w:type="dxa"/>
        <w:tblInd w:w="7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C2658" w:rsidRPr="005B628C" w14:paraId="65B2FF41" w14:textId="77777777" w:rsidTr="00F76F7A">
        <w:trPr>
          <w:trHeight w:val="585"/>
        </w:trPr>
        <w:tc>
          <w:tcPr>
            <w:tcW w:w="609" w:type="dxa"/>
            <w:vMerge w:val="restart"/>
            <w:shd w:val="clear" w:color="auto" w:fill="003865"/>
            <w:textDirection w:val="btLr"/>
            <w:vAlign w:val="center"/>
            <w:hideMark/>
          </w:tcPr>
          <w:p w14:paraId="05999B5F" w14:textId="77777777" w:rsidR="00CC2658" w:rsidRPr="005B628C" w:rsidRDefault="00CC2658" w:rsidP="00743A69">
            <w:pPr>
              <w:ind w:left="113" w:right="113"/>
            </w:pPr>
            <w:r w:rsidRPr="005B628C">
              <w:rPr>
                <w:b/>
                <w:color w:val="FFFFFF"/>
              </w:rPr>
              <w:t>Ng</w:t>
            </w:r>
            <w:r w:rsidRPr="005B628C">
              <w:rPr>
                <w:b/>
                <w:bCs/>
                <w:color w:val="FFFFFF"/>
                <w:shd w:val="clear" w:color="auto" w:fill="003865"/>
              </w:rPr>
              <w:t>hỉ phép y tế</w:t>
            </w:r>
            <w:r w:rsidRPr="005B628C">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70EA4055" w14:textId="77777777" w:rsidR="00CC2658" w:rsidRPr="005B628C" w:rsidRDefault="00CC2658" w:rsidP="00743A69">
            <w:pPr>
              <w:spacing w:after="0"/>
              <w:ind w:firstLine="196"/>
            </w:pPr>
            <w:r w:rsidRPr="005B628C">
              <w:rPr>
                <w:b/>
              </w:rPr>
              <w:t>Tổng phí bảo hiểm nghỉ phép y tế: ____%</w:t>
            </w:r>
          </w:p>
        </w:tc>
      </w:tr>
      <w:tr w:rsidR="00CC2658" w:rsidRPr="005B628C" w14:paraId="32F8C5C6" w14:textId="77777777" w:rsidTr="00F76F7A">
        <w:trPr>
          <w:trHeight w:val="814"/>
        </w:trPr>
        <w:tc>
          <w:tcPr>
            <w:tcW w:w="609" w:type="dxa"/>
            <w:vMerge/>
            <w:vAlign w:val="center"/>
            <w:hideMark/>
          </w:tcPr>
          <w:p w14:paraId="1EF73C8D" w14:textId="77777777" w:rsidR="00CC2658" w:rsidRPr="005B628C" w:rsidRDefault="00CC2658" w:rsidP="00743A69"/>
        </w:tc>
        <w:tc>
          <w:tcPr>
            <w:tcW w:w="2988" w:type="dxa"/>
            <w:tcBorders>
              <w:bottom w:val="nil"/>
              <w:right w:val="nil"/>
            </w:tcBorders>
            <w:vAlign w:val="bottom"/>
            <w:hideMark/>
          </w:tcPr>
          <w:p w14:paraId="0DDAC232" w14:textId="77777777" w:rsidR="00CC2658" w:rsidRPr="005B628C" w:rsidRDefault="00CC2658" w:rsidP="00AD0D51">
            <w:pPr>
              <w:spacing w:after="120"/>
              <w:jc w:val="center"/>
            </w:pPr>
          </w:p>
          <w:p w14:paraId="1C58AAE5" w14:textId="77777777" w:rsidR="00CC2658" w:rsidRPr="005B628C" w:rsidRDefault="00CC2658" w:rsidP="00AD0D51">
            <w:pPr>
              <w:spacing w:after="120"/>
              <w:jc w:val="center"/>
            </w:pPr>
          </w:p>
        </w:tc>
        <w:tc>
          <w:tcPr>
            <w:tcW w:w="2185" w:type="dxa"/>
            <w:tcBorders>
              <w:left w:val="nil"/>
              <w:bottom w:val="nil"/>
              <w:right w:val="nil"/>
            </w:tcBorders>
            <w:vAlign w:val="bottom"/>
            <w:hideMark/>
          </w:tcPr>
          <w:p w14:paraId="10A0C58C" w14:textId="77777777" w:rsidR="00CC2658" w:rsidRPr="005B628C" w:rsidRDefault="00CC2658" w:rsidP="00AD0D51">
            <w:pPr>
              <w:spacing w:after="120"/>
              <w:jc w:val="center"/>
            </w:pPr>
          </w:p>
          <w:p w14:paraId="02C741BD" w14:textId="77777777" w:rsidR="00CC2658" w:rsidRPr="005B628C" w:rsidRDefault="00CC2658" w:rsidP="00AD0D51">
            <w:pPr>
              <w:spacing w:after="120"/>
              <w:jc w:val="center"/>
            </w:pPr>
            <w:r w:rsidRPr="005B628C">
              <w:t>sẽ đóng góp</w:t>
            </w:r>
          </w:p>
        </w:tc>
        <w:tc>
          <w:tcPr>
            <w:tcW w:w="906" w:type="dxa"/>
            <w:tcBorders>
              <w:left w:val="nil"/>
              <w:bottom w:val="nil"/>
              <w:right w:val="nil"/>
            </w:tcBorders>
            <w:vAlign w:val="bottom"/>
            <w:hideMark/>
          </w:tcPr>
          <w:p w14:paraId="313193C7" w14:textId="77777777" w:rsidR="00CC2658" w:rsidRPr="005B628C" w:rsidRDefault="00CC2658" w:rsidP="00AD0D51">
            <w:pPr>
              <w:spacing w:after="120"/>
              <w:jc w:val="center"/>
            </w:pPr>
            <w:r w:rsidRPr="005B628C">
              <w:t>___%</w:t>
            </w:r>
          </w:p>
        </w:tc>
        <w:tc>
          <w:tcPr>
            <w:tcW w:w="2642" w:type="dxa"/>
            <w:tcBorders>
              <w:left w:val="nil"/>
              <w:bottom w:val="nil"/>
            </w:tcBorders>
            <w:vAlign w:val="bottom"/>
            <w:hideMark/>
          </w:tcPr>
          <w:p w14:paraId="55FF01E6" w14:textId="77777777" w:rsidR="00CC2658" w:rsidRPr="005B628C" w:rsidRDefault="00CC2658" w:rsidP="00AD0D51">
            <w:pPr>
              <w:spacing w:after="120"/>
              <w:jc w:val="center"/>
            </w:pPr>
            <w:r w:rsidRPr="005B628C">
              <w:t>trên khoản đóng góp nghỉ phép y tế</w:t>
            </w:r>
          </w:p>
        </w:tc>
      </w:tr>
      <w:tr w:rsidR="00CC2658" w:rsidRPr="005B628C" w14:paraId="20C266B4" w14:textId="77777777" w:rsidTr="00F76F7A">
        <w:trPr>
          <w:trHeight w:val="796"/>
        </w:trPr>
        <w:tc>
          <w:tcPr>
            <w:tcW w:w="609" w:type="dxa"/>
            <w:vMerge/>
            <w:vAlign w:val="center"/>
            <w:hideMark/>
          </w:tcPr>
          <w:p w14:paraId="0CC80204" w14:textId="77777777" w:rsidR="00CC2658" w:rsidRPr="005B628C" w:rsidRDefault="00CC2658" w:rsidP="00743A69"/>
        </w:tc>
        <w:tc>
          <w:tcPr>
            <w:tcW w:w="2988" w:type="dxa"/>
            <w:tcBorders>
              <w:top w:val="nil"/>
              <w:left w:val="single" w:sz="2" w:space="0" w:color="auto"/>
              <w:bottom w:val="single" w:sz="2" w:space="0" w:color="auto"/>
              <w:right w:val="nil"/>
            </w:tcBorders>
            <w:vAlign w:val="bottom"/>
            <w:hideMark/>
          </w:tcPr>
          <w:p w14:paraId="7002190F" w14:textId="77777777" w:rsidR="00CC2658" w:rsidRPr="005B628C" w:rsidRDefault="00CC2658" w:rsidP="00743A69">
            <w:pPr>
              <w:jc w:val="center"/>
            </w:pPr>
          </w:p>
          <w:p w14:paraId="1B884AD7" w14:textId="77777777" w:rsidR="00CC2658" w:rsidRPr="005B628C" w:rsidRDefault="00CC2658" w:rsidP="00743A69">
            <w:pPr>
              <w:jc w:val="center"/>
            </w:pPr>
            <w:r w:rsidRPr="005B628C">
              <w:t>(Tên Người chủ lao động)</w:t>
            </w:r>
          </w:p>
        </w:tc>
        <w:tc>
          <w:tcPr>
            <w:tcW w:w="2185" w:type="dxa"/>
            <w:tcBorders>
              <w:top w:val="nil"/>
              <w:left w:val="nil"/>
              <w:bottom w:val="single" w:sz="2" w:space="0" w:color="auto"/>
              <w:right w:val="nil"/>
            </w:tcBorders>
            <w:vAlign w:val="bottom"/>
            <w:hideMark/>
          </w:tcPr>
          <w:p w14:paraId="56ABCD48" w14:textId="77777777" w:rsidR="00CC2658" w:rsidRPr="005B628C" w:rsidRDefault="00CC2658" w:rsidP="00743A69">
            <w:pPr>
              <w:jc w:val="center"/>
            </w:pPr>
            <w:r w:rsidRPr="005B628C">
              <w:rPr>
                <w:b/>
              </w:rPr>
              <w:t>và phần còn lại</w:t>
            </w:r>
          </w:p>
        </w:tc>
        <w:tc>
          <w:tcPr>
            <w:tcW w:w="906" w:type="dxa"/>
            <w:tcBorders>
              <w:top w:val="nil"/>
              <w:left w:val="nil"/>
              <w:right w:val="nil"/>
            </w:tcBorders>
            <w:vAlign w:val="bottom"/>
            <w:hideMark/>
          </w:tcPr>
          <w:p w14:paraId="17EF1F52" w14:textId="77777777" w:rsidR="00CC2658" w:rsidRPr="005B628C" w:rsidRDefault="00CC2658" w:rsidP="00743A69">
            <w:pPr>
              <w:jc w:val="center"/>
            </w:pPr>
            <w:r w:rsidRPr="005B628C">
              <w:rPr>
                <w:b/>
              </w:rPr>
              <w:t>___%</w:t>
            </w:r>
          </w:p>
        </w:tc>
        <w:tc>
          <w:tcPr>
            <w:tcW w:w="2642" w:type="dxa"/>
            <w:tcBorders>
              <w:top w:val="nil"/>
              <w:left w:val="nil"/>
            </w:tcBorders>
            <w:vAlign w:val="bottom"/>
            <w:hideMark/>
          </w:tcPr>
          <w:p w14:paraId="4B91504D" w14:textId="77777777" w:rsidR="00CC2658" w:rsidRPr="005B628C" w:rsidRDefault="00CC2658" w:rsidP="00743A69">
            <w:pPr>
              <w:jc w:val="center"/>
            </w:pPr>
            <w:r w:rsidRPr="005B628C">
              <w:rPr>
                <w:b/>
              </w:rPr>
              <w:t>sẽ được khấu trừ vào tiền lương của quý vị</w:t>
            </w:r>
          </w:p>
        </w:tc>
      </w:tr>
    </w:tbl>
    <w:p w14:paraId="5CEABADD" w14:textId="77777777" w:rsidR="00CC2658" w:rsidRPr="005B628C" w:rsidRDefault="00CC2658" w:rsidP="00CC2658">
      <w:r w:rsidRPr="005B628C">
        <w:t> </w:t>
      </w:r>
    </w:p>
    <w:tbl>
      <w:tblPr>
        <w:tblW w:w="9357"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C2658" w:rsidRPr="005B628C" w14:paraId="75BA51EF" w14:textId="77777777" w:rsidTr="00F76F7A">
        <w:trPr>
          <w:trHeight w:val="510"/>
        </w:trPr>
        <w:tc>
          <w:tcPr>
            <w:tcW w:w="521" w:type="dxa"/>
            <w:vMerge w:val="restart"/>
            <w:shd w:val="clear" w:color="auto" w:fill="78BE21"/>
            <w:textDirection w:val="btLr"/>
            <w:vAlign w:val="center"/>
            <w:hideMark/>
          </w:tcPr>
          <w:p w14:paraId="340FA852" w14:textId="77777777" w:rsidR="00CC2658" w:rsidRPr="005B628C" w:rsidRDefault="00CC2658" w:rsidP="00743A69">
            <w:pPr>
              <w:ind w:left="113" w:right="113"/>
            </w:pPr>
            <w:r w:rsidRPr="00253028">
              <w:rPr>
                <w:b/>
                <w:color w:val="0E2841" w:themeColor="text2"/>
              </w:rPr>
              <w:t>Nghỉ phép gia đình</w:t>
            </w:r>
            <w:r w:rsidRPr="00253028">
              <w:rPr>
                <w:color w:val="0E2841" w:themeColor="text2"/>
              </w:rPr>
              <w:t> </w:t>
            </w:r>
          </w:p>
        </w:tc>
        <w:tc>
          <w:tcPr>
            <w:tcW w:w="8836" w:type="dxa"/>
            <w:gridSpan w:val="4"/>
            <w:tcBorders>
              <w:bottom w:val="single" w:sz="2" w:space="0" w:color="auto"/>
            </w:tcBorders>
            <w:shd w:val="clear" w:color="auto" w:fill="E4F6CD"/>
            <w:vAlign w:val="center"/>
            <w:hideMark/>
          </w:tcPr>
          <w:p w14:paraId="57B92B2D" w14:textId="77777777" w:rsidR="00CC2658" w:rsidRPr="005B628C" w:rsidRDefault="00CC2658" w:rsidP="00743A69">
            <w:pPr>
              <w:spacing w:after="0"/>
              <w:ind w:firstLine="194"/>
              <w:rPr>
                <w:b/>
              </w:rPr>
            </w:pPr>
            <w:r w:rsidRPr="005B628C">
              <w:rPr>
                <w:b/>
              </w:rPr>
              <w:t>Tổng phí nghỉ phép gia đình: ___%</w:t>
            </w:r>
          </w:p>
        </w:tc>
      </w:tr>
      <w:tr w:rsidR="00CC2658" w:rsidRPr="005B628C" w14:paraId="24C756B1" w14:textId="77777777" w:rsidTr="00F76F7A">
        <w:trPr>
          <w:trHeight w:val="751"/>
        </w:trPr>
        <w:tc>
          <w:tcPr>
            <w:tcW w:w="0" w:type="auto"/>
            <w:vMerge/>
            <w:vAlign w:val="center"/>
            <w:hideMark/>
          </w:tcPr>
          <w:p w14:paraId="07E62FF2" w14:textId="77777777" w:rsidR="00CC2658" w:rsidRPr="005B628C" w:rsidRDefault="00CC2658" w:rsidP="00743A69"/>
        </w:tc>
        <w:tc>
          <w:tcPr>
            <w:tcW w:w="3087" w:type="dxa"/>
            <w:tcBorders>
              <w:bottom w:val="nil"/>
              <w:right w:val="nil"/>
            </w:tcBorders>
            <w:vAlign w:val="bottom"/>
            <w:hideMark/>
          </w:tcPr>
          <w:p w14:paraId="24C9FC9B" w14:textId="77777777" w:rsidR="00CC2658" w:rsidRPr="005B628C" w:rsidRDefault="00CC2658" w:rsidP="00AD0D51">
            <w:pPr>
              <w:spacing w:after="120"/>
              <w:jc w:val="center"/>
            </w:pPr>
          </w:p>
          <w:p w14:paraId="73EC87CB" w14:textId="77777777" w:rsidR="00CC2658" w:rsidRPr="005B628C" w:rsidRDefault="00CC2658" w:rsidP="00AD0D51">
            <w:pPr>
              <w:spacing w:after="120"/>
              <w:jc w:val="center"/>
            </w:pPr>
          </w:p>
        </w:tc>
        <w:tc>
          <w:tcPr>
            <w:tcW w:w="2149" w:type="dxa"/>
            <w:tcBorders>
              <w:left w:val="nil"/>
              <w:bottom w:val="nil"/>
              <w:right w:val="nil"/>
            </w:tcBorders>
            <w:vAlign w:val="bottom"/>
            <w:hideMark/>
          </w:tcPr>
          <w:p w14:paraId="54226D82" w14:textId="77777777" w:rsidR="00CC2658" w:rsidRPr="005B628C" w:rsidRDefault="00CC2658" w:rsidP="00AD0D51">
            <w:pPr>
              <w:spacing w:after="120"/>
              <w:jc w:val="center"/>
            </w:pPr>
            <w:r w:rsidRPr="005B628C">
              <w:t>sẽ đóng góp</w:t>
            </w:r>
          </w:p>
        </w:tc>
        <w:tc>
          <w:tcPr>
            <w:tcW w:w="900" w:type="dxa"/>
            <w:tcBorders>
              <w:left w:val="nil"/>
              <w:bottom w:val="nil"/>
              <w:right w:val="nil"/>
            </w:tcBorders>
            <w:vAlign w:val="bottom"/>
            <w:hideMark/>
          </w:tcPr>
          <w:p w14:paraId="47CFEA52" w14:textId="77777777" w:rsidR="00CC2658" w:rsidRPr="005B628C" w:rsidRDefault="00CC2658" w:rsidP="00AD0D51">
            <w:pPr>
              <w:spacing w:after="120"/>
              <w:jc w:val="center"/>
            </w:pPr>
            <w:r w:rsidRPr="005B628C">
              <w:t>___%</w:t>
            </w:r>
          </w:p>
        </w:tc>
        <w:tc>
          <w:tcPr>
            <w:tcW w:w="2700" w:type="dxa"/>
            <w:tcBorders>
              <w:left w:val="nil"/>
              <w:bottom w:val="nil"/>
            </w:tcBorders>
            <w:vAlign w:val="bottom"/>
            <w:hideMark/>
          </w:tcPr>
          <w:p w14:paraId="0E5D1A51" w14:textId="77777777" w:rsidR="00CC2658" w:rsidRPr="005B628C" w:rsidRDefault="00CC2658" w:rsidP="00AD0D51">
            <w:pPr>
              <w:spacing w:after="120"/>
              <w:jc w:val="center"/>
            </w:pPr>
            <w:r w:rsidRPr="005B628C">
              <w:t>trên khoản đóng góp nghỉ phép gia đình</w:t>
            </w:r>
          </w:p>
        </w:tc>
      </w:tr>
      <w:tr w:rsidR="00CC2658" w:rsidRPr="005B628C" w14:paraId="62C3C97D" w14:textId="77777777" w:rsidTr="00F76F7A">
        <w:trPr>
          <w:trHeight w:val="472"/>
        </w:trPr>
        <w:tc>
          <w:tcPr>
            <w:tcW w:w="0" w:type="auto"/>
            <w:vMerge/>
            <w:vAlign w:val="center"/>
            <w:hideMark/>
          </w:tcPr>
          <w:p w14:paraId="0E557FCC" w14:textId="77777777" w:rsidR="00CC2658" w:rsidRPr="005B628C" w:rsidRDefault="00CC2658" w:rsidP="00743A69"/>
        </w:tc>
        <w:tc>
          <w:tcPr>
            <w:tcW w:w="3087" w:type="dxa"/>
            <w:tcBorders>
              <w:top w:val="nil"/>
              <w:right w:val="nil"/>
            </w:tcBorders>
            <w:vAlign w:val="bottom"/>
            <w:hideMark/>
          </w:tcPr>
          <w:p w14:paraId="01147122" w14:textId="77777777" w:rsidR="00CC2658" w:rsidRPr="005B628C" w:rsidRDefault="00CC2658" w:rsidP="00743A69">
            <w:pPr>
              <w:jc w:val="center"/>
            </w:pPr>
          </w:p>
          <w:p w14:paraId="0844C56D" w14:textId="77777777" w:rsidR="00CC2658" w:rsidRPr="005B628C" w:rsidRDefault="00CC2658" w:rsidP="00743A69">
            <w:pPr>
              <w:jc w:val="center"/>
            </w:pPr>
            <w:r w:rsidRPr="005B628C">
              <w:t>(Tên Người chủ lao động)</w:t>
            </w:r>
          </w:p>
        </w:tc>
        <w:tc>
          <w:tcPr>
            <w:tcW w:w="2149" w:type="dxa"/>
            <w:tcBorders>
              <w:top w:val="nil"/>
              <w:left w:val="nil"/>
              <w:right w:val="nil"/>
            </w:tcBorders>
            <w:vAlign w:val="bottom"/>
            <w:hideMark/>
          </w:tcPr>
          <w:p w14:paraId="5156902F" w14:textId="77777777" w:rsidR="00CC2658" w:rsidRPr="005B628C" w:rsidRDefault="00CC2658" w:rsidP="00743A69">
            <w:pPr>
              <w:jc w:val="center"/>
            </w:pPr>
            <w:r w:rsidRPr="005B628C">
              <w:rPr>
                <w:b/>
              </w:rPr>
              <w:t>và phần còn lại</w:t>
            </w:r>
          </w:p>
        </w:tc>
        <w:tc>
          <w:tcPr>
            <w:tcW w:w="900" w:type="dxa"/>
            <w:tcBorders>
              <w:top w:val="nil"/>
              <w:left w:val="nil"/>
              <w:right w:val="nil"/>
            </w:tcBorders>
            <w:vAlign w:val="bottom"/>
            <w:hideMark/>
          </w:tcPr>
          <w:p w14:paraId="00E63927" w14:textId="77777777" w:rsidR="00CC2658" w:rsidRPr="005B628C" w:rsidRDefault="00CC2658" w:rsidP="00743A69">
            <w:pPr>
              <w:jc w:val="center"/>
            </w:pPr>
            <w:r w:rsidRPr="005B628C">
              <w:rPr>
                <w:b/>
              </w:rPr>
              <w:t>___%</w:t>
            </w:r>
          </w:p>
        </w:tc>
        <w:tc>
          <w:tcPr>
            <w:tcW w:w="2700" w:type="dxa"/>
            <w:tcBorders>
              <w:top w:val="nil"/>
              <w:left w:val="nil"/>
            </w:tcBorders>
            <w:vAlign w:val="bottom"/>
            <w:hideMark/>
          </w:tcPr>
          <w:p w14:paraId="1B2B2F56" w14:textId="77777777" w:rsidR="00CC2658" w:rsidRPr="005B628C" w:rsidRDefault="00CC2658" w:rsidP="00743A69">
            <w:pPr>
              <w:jc w:val="center"/>
            </w:pPr>
            <w:r w:rsidRPr="005B628C">
              <w:rPr>
                <w:b/>
              </w:rPr>
              <w:t>sẽ được khấu trừ vào tiền lương của quý vị</w:t>
            </w:r>
          </w:p>
        </w:tc>
      </w:tr>
    </w:tbl>
    <w:p w14:paraId="0C159E30" w14:textId="77777777" w:rsidR="00CC2658" w:rsidRPr="005B628C" w:rsidRDefault="00CC2658" w:rsidP="00CC2658">
      <w:pPr>
        <w:rPr>
          <w:sz w:val="20"/>
          <w:szCs w:val="20"/>
        </w:rPr>
      </w:pPr>
      <w:r w:rsidRPr="005B628C">
        <w:t> </w:t>
      </w:r>
    </w:p>
    <w:tbl>
      <w:tblPr>
        <w:tblW w:w="9352" w:type="dxa"/>
        <w:tblInd w:w="7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C2658" w:rsidRPr="005B628C" w14:paraId="4BDE7C8D" w14:textId="77777777" w:rsidTr="006D522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34624419" w14:textId="77777777" w:rsidR="00CC2658" w:rsidRPr="005B628C" w:rsidRDefault="00CC2658" w:rsidP="00743A69">
            <w:pPr>
              <w:spacing w:after="0"/>
              <w:ind w:firstLine="167"/>
              <w:rPr>
                <w:b/>
                <w:bCs/>
                <w:sz w:val="22"/>
                <w:szCs w:val="22"/>
              </w:rPr>
            </w:pPr>
            <w:r w:rsidRPr="005B628C">
              <w:rPr>
                <w:b/>
                <w:color w:val="FFFFFF"/>
                <w:sz w:val="22"/>
              </w:rPr>
              <w:t>Tổng số tiền khấu trừ từ tiền lương của quý vị</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38DB3073" w14:textId="77777777" w:rsidR="00CC2658" w:rsidRPr="005B628C" w:rsidRDefault="00CC2658" w:rsidP="00743A69">
            <w:pPr>
              <w:spacing w:after="0"/>
              <w:ind w:right="166"/>
              <w:jc w:val="right"/>
              <w:rPr>
                <w:b/>
              </w:rPr>
            </w:pPr>
            <w:r w:rsidRPr="005B628C">
              <w:rPr>
                <w:b/>
              </w:rPr>
              <w:t>___%</w:t>
            </w:r>
          </w:p>
        </w:tc>
      </w:tr>
    </w:tbl>
    <w:p w14:paraId="315CFFB8" w14:textId="77777777" w:rsidR="00F76F7A" w:rsidRPr="005B628C" w:rsidRDefault="00F76F7A" w:rsidP="00F76F7A">
      <w:pPr>
        <w:pStyle w:val="Heading1"/>
      </w:pPr>
    </w:p>
    <w:p w14:paraId="57CB0F28" w14:textId="77777777" w:rsidR="00F76F7A" w:rsidRPr="005B628C" w:rsidRDefault="00F76F7A">
      <w:pPr>
        <w:spacing w:after="0" w:line="240" w:lineRule="auto"/>
        <w:rPr>
          <w:rFonts w:eastAsia="MS Gothic"/>
          <w:b/>
          <w:color w:val="000000"/>
          <w:sz w:val="4"/>
          <w:szCs w:val="4"/>
        </w:rPr>
      </w:pPr>
      <w:r w:rsidRPr="005B628C">
        <w:br w:type="page"/>
      </w:r>
    </w:p>
    <w:p w14:paraId="24115F27" w14:textId="77777777" w:rsidR="00F76F7A" w:rsidRPr="005B628C" w:rsidRDefault="00F76F7A" w:rsidP="00AD0D51">
      <w:pPr>
        <w:pStyle w:val="Heading2"/>
        <w:spacing w:after="80"/>
      </w:pPr>
      <w:r w:rsidRPr="005B628C">
        <w:lastRenderedPageBreak/>
        <w:t xml:space="preserve">Quyền bảo vệ việc làm của tôi là gì? </w:t>
      </w:r>
    </w:p>
    <w:p w14:paraId="497C2B0B" w14:textId="77777777" w:rsidR="00F76F7A" w:rsidRPr="005B628C" w:rsidRDefault="00F76F7A" w:rsidP="00F76F7A">
      <w:pPr>
        <w:pStyle w:val="ListParagraph"/>
        <w:numPr>
          <w:ilvl w:val="0"/>
          <w:numId w:val="5"/>
        </w:numPr>
        <w:spacing w:after="160"/>
      </w:pPr>
      <w:r w:rsidRPr="005B628C">
        <w:rPr>
          <w:b/>
        </w:rPr>
        <w:t>Bảo vệ việc làm:</w:t>
      </w:r>
      <w:r w:rsidRPr="005B628C">
        <w:t xml:space="preserve"> Nhìn chung, quý vị phải được phục hồi công việc hoặc vị trí tương đương khi trở lại làm việc sau thời gian nghỉ phép. Quyền bảo vệ công việc có hiệu lực sau 90 ngày kể từ ngày quý vị được tuyển dụng. </w:t>
      </w:r>
    </w:p>
    <w:p w14:paraId="3B8C1099" w14:textId="77777777" w:rsidR="00F76F7A" w:rsidRPr="005B628C" w:rsidRDefault="00F76F7A" w:rsidP="00F76F7A">
      <w:pPr>
        <w:pStyle w:val="ListParagraph"/>
        <w:numPr>
          <w:ilvl w:val="0"/>
          <w:numId w:val="5"/>
        </w:numPr>
        <w:spacing w:after="160"/>
      </w:pPr>
      <w:r w:rsidRPr="005B628C">
        <w:rPr>
          <w:b/>
        </w:rPr>
        <w:t>Tiếp tục bảo hiểm y tế:</w:t>
      </w:r>
      <w:r w:rsidRPr="005B628C">
        <w:t xml:space="preserve"> Nhìn chung, người chủ lao động phải tiếp tục chi trả phần bảo hiểm y tế và các khoản phí bảo hiểm nhóm khác trong thời gian quý vị nghỉ phép. Quý vị sẽ chịu trách nhiệm cho bất kỳ phần nào của bảo hiểm y tế và các khoản phí bảo hiểm nhóm khác mà quý vị phải trả.</w:t>
      </w:r>
    </w:p>
    <w:p w14:paraId="0765A1FD" w14:textId="77777777" w:rsidR="00F76F7A" w:rsidRPr="005B628C" w:rsidRDefault="00F76F7A" w:rsidP="00F76F7A">
      <w:pPr>
        <w:pStyle w:val="ListParagraph"/>
        <w:numPr>
          <w:ilvl w:val="0"/>
          <w:numId w:val="5"/>
        </w:numPr>
        <w:spacing w:after="160"/>
      </w:pPr>
      <w:r w:rsidRPr="005B628C">
        <w:rPr>
          <w:b/>
        </w:rPr>
        <w:t>Không trả thù hoặc can thiệp:</w:t>
      </w:r>
      <w:r w:rsidRPr="005B628C">
        <w:t xml:space="preserve"> Người chủ lao động không được can thiệp hoặc trả thù quý vị nếu quý vị nộp đơn xin hoặc sử dụng chế độ Nghỉ phép có lương. Người chủ lao động không thể lấy tiền nghỉ phép có lương của quý vị.</w:t>
      </w:r>
    </w:p>
    <w:p w14:paraId="610429AB" w14:textId="77777777" w:rsidR="00F76F7A" w:rsidRPr="005B628C" w:rsidRDefault="00F76F7A" w:rsidP="00AD0D51">
      <w:pPr>
        <w:pStyle w:val="ListParagraph"/>
        <w:numPr>
          <w:ilvl w:val="0"/>
          <w:numId w:val="5"/>
        </w:numPr>
        <w:spacing w:after="120"/>
      </w:pPr>
      <w:r w:rsidRPr="005B628C">
        <w:rPr>
          <w:b/>
        </w:rPr>
        <w:t xml:space="preserve">Các chương trình tương đương: </w:t>
      </w:r>
      <w:r w:rsidRPr="005B628C">
        <w:t>Các chương trình tương đương không thể áp đặt bất kỳ chi phí, điều kiện hoặc hạn chế bổ sung nào đối với chế độ Nghỉ phép có lương ngoài những điều khoản trong chương trình của tiểu bang.</w:t>
      </w:r>
    </w:p>
    <w:p w14:paraId="77BF7F40" w14:textId="77777777" w:rsidR="00F76F7A" w:rsidRPr="005B628C" w:rsidRDefault="00F76F7A" w:rsidP="00AD0D51">
      <w:pPr>
        <w:spacing w:after="120"/>
      </w:pPr>
      <w:r w:rsidRPr="005B628C">
        <w:t>Nếu quý vị lo ngại rằng chủ lao động của bạn quý vị thể vi phạm các biện pháp bảo vệ này, hãy liên hệ với chương trình Nghỉ phép có lương.</w:t>
      </w:r>
    </w:p>
    <w:p w14:paraId="0881BD4E" w14:textId="77777777" w:rsidR="008008C4" w:rsidRPr="005B628C" w:rsidRDefault="008008C4" w:rsidP="00AD0D51">
      <w:pPr>
        <w:pStyle w:val="Heading2"/>
        <w:spacing w:after="80"/>
      </w:pPr>
      <w:r w:rsidRPr="005B628C">
        <w:t>Tôi có thể nhận chương trình Nghỉ phép có lương như thế nào?</w:t>
      </w:r>
    </w:p>
    <w:p w14:paraId="744800F8" w14:textId="77777777" w:rsidR="008008C4" w:rsidRPr="005B628C" w:rsidRDefault="008008C4" w:rsidP="00AD0D51">
      <w:pPr>
        <w:spacing w:after="120"/>
      </w:pPr>
      <w:r w:rsidRPr="005B628C">
        <w:t>Những nhân viên được chi trả theo chương trình tương đương sẽ không được hưởng chế độ của tiểu bang. Thay vào đó:</w:t>
      </w:r>
    </w:p>
    <w:p w14:paraId="095A2DAC" w14:textId="77777777" w:rsidR="008008C4" w:rsidRPr="005B628C" w:rsidRDefault="008008C4" w:rsidP="008008C4">
      <w:pPr>
        <w:pStyle w:val="ListParagraph"/>
        <w:numPr>
          <w:ilvl w:val="0"/>
          <w:numId w:val="14"/>
        </w:numPr>
        <w:spacing w:after="160"/>
      </w:pPr>
      <w:r w:rsidRPr="005B628C">
        <w:t>Thông báo cho người chủ lao động của quý vị.</w:t>
      </w:r>
    </w:p>
    <w:p w14:paraId="6396D176" w14:textId="77777777" w:rsidR="008008C4" w:rsidRPr="005B628C" w:rsidRDefault="008008C4" w:rsidP="00AD0D51">
      <w:pPr>
        <w:pStyle w:val="ListParagraph"/>
        <w:numPr>
          <w:ilvl w:val="0"/>
          <w:numId w:val="14"/>
        </w:numPr>
        <w:spacing w:after="120"/>
      </w:pPr>
      <w:r w:rsidRPr="005B628C">
        <w:t>Nộp đơn với người quản lý chương trình tương đương của công ty quý vị. Có thể là công ty bảo hiểm hoặc trực tiếp là chủ lao động của quý vị.</w:t>
      </w:r>
    </w:p>
    <w:p w14:paraId="2BEE7BA1" w14:textId="77777777" w:rsidR="0029624F" w:rsidRPr="005B628C" w:rsidRDefault="0029624F" w:rsidP="0029624F">
      <w:pPr>
        <w:pStyle w:val="ListParagraph"/>
        <w:spacing w:after="160"/>
        <w:ind w:left="0"/>
        <w:rPr>
          <w:sz w:val="20"/>
          <w:szCs w:val="18"/>
        </w:rPr>
      </w:pPr>
    </w:p>
    <w:p w14:paraId="77098835" w14:textId="77777777" w:rsidR="0029624F" w:rsidRPr="005B628C" w:rsidRDefault="0029624F" w:rsidP="00AD0D51">
      <w:pPr>
        <w:pStyle w:val="ListParagraph"/>
        <w:spacing w:after="120"/>
        <w:ind w:left="0"/>
      </w:pPr>
      <w:r w:rsidRPr="005B628C">
        <w:t>Người chủ lao động phải hướng dẫn rõ ràng cho bạn cách nộp đơn. Quý vị có thể cần cung cấp tài liệu, chẳng hạn như giấy chứng nhận y tế.</w:t>
      </w:r>
    </w:p>
    <w:p w14:paraId="43BB4659" w14:textId="77777777" w:rsidR="00CF0E84" w:rsidRPr="005B628C" w:rsidRDefault="008008C4" w:rsidP="00AD0D51">
      <w:pPr>
        <w:pStyle w:val="Heading2"/>
        <w:spacing w:after="80"/>
      </w:pPr>
      <w:r w:rsidRPr="005B628C">
        <w:t xml:space="preserve">Tôi có thể kháng cáo nếu bị từ chối không? </w:t>
      </w:r>
    </w:p>
    <w:p w14:paraId="0286B028" w14:textId="77777777" w:rsidR="00CF0E84" w:rsidRPr="005B628C" w:rsidRDefault="00CF0E84" w:rsidP="00AD0D51">
      <w:pPr>
        <w:spacing w:after="80"/>
      </w:pPr>
      <w:r w:rsidRPr="005B628C">
        <w:t xml:space="preserve">Người lao động được chi trả theo các chương trình tương đương có quyền khiếu nại giống như người lao động được bảo hiểm theo chương trình của tiểu bang. Nếu đơn xin nghỉ phép của quý vị bị từ chối hoặc quý vị không đồng ý với số tiền thanh toán, quý vị có 30 ngày lịch để yêu cầu chương trình tương đương xem xét lại quyết định của họ. Nếu quyết định của họ không thay đổi, quý vị có thể kháng cáo với Ban Nghỉ phép có lương </w:t>
      </w:r>
      <w:bookmarkStart w:id="4" w:name="_Hlk210090592"/>
      <w:r w:rsidRPr="005B628C">
        <w:t xml:space="preserve">trong thời hạn theo luật định, 30 ngày lịch kể từ ngày quý vị nhận được quyết định xem xét từ chương trình tương đương của mình. </w:t>
      </w:r>
      <w:bookmarkEnd w:id="4"/>
      <w:r w:rsidRPr="005B628C">
        <w:t xml:space="preserve">Liên hệ với chương trình Nghỉ phép có lương hoặc truy cập trang web của chúng tôi để biết thêm thông tin về kháng cáo. </w:t>
      </w:r>
    </w:p>
    <w:p w14:paraId="0420B09F" w14:textId="77777777" w:rsidR="00CC2658" w:rsidRPr="005B628C" w:rsidRDefault="008008C4" w:rsidP="00AD0D51">
      <w:pPr>
        <w:pStyle w:val="Heading2"/>
        <w:spacing w:after="80"/>
      </w:pPr>
      <w:r w:rsidRPr="005B628C">
        <w:br w:type="page"/>
      </w:r>
      <w:r w:rsidRPr="005B628C">
        <w:lastRenderedPageBreak/>
        <w:t>Tìm hiểu thêm</w:t>
      </w:r>
    </w:p>
    <w:p w14:paraId="75247F2E" w14:textId="77777777" w:rsidR="00CC2658" w:rsidRPr="005B628C" w:rsidRDefault="00CC2658" w:rsidP="00AD0D51">
      <w:pPr>
        <w:spacing w:after="120"/>
      </w:pPr>
      <w:r w:rsidRPr="005B628C">
        <w:t>Truy cập</w:t>
      </w:r>
      <w:r w:rsidRPr="005B628C">
        <w:rPr>
          <w:b/>
          <w:bCs/>
        </w:rPr>
        <w:t xml:space="preserve"> paidleave.mn.gov</w:t>
      </w:r>
      <w:r w:rsidRPr="005B628C">
        <w:t xml:space="preserve"> để biết thêm thông tin về chương trình Nghỉ phép có lương. </w:t>
      </w:r>
    </w:p>
    <w:p w14:paraId="142FFA1F" w14:textId="77777777" w:rsidR="00EA68AB" w:rsidRPr="005B628C" w:rsidRDefault="00EA68AB" w:rsidP="00AD0D51">
      <w:pPr>
        <w:pStyle w:val="Heading3"/>
        <w:spacing w:after="120"/>
      </w:pPr>
      <w:r w:rsidRPr="005B628C">
        <w:t>Những cách khác để liên lạc với chúng tôi</w:t>
      </w:r>
    </w:p>
    <w:p w14:paraId="0F9B298B" w14:textId="06B802BB" w:rsidR="00EA68AB" w:rsidRPr="005B628C" w:rsidRDefault="00EA68AB" w:rsidP="00AD0D51">
      <w:pPr>
        <w:spacing w:after="120"/>
      </w:pPr>
      <w:r w:rsidRPr="005B628C">
        <w:t xml:space="preserve">Số điện thoại: 651-556-7777 hoặc 844-556-0444 (miễn phí). </w:t>
      </w:r>
      <w:r w:rsidRPr="005B628C">
        <w:tab/>
      </w:r>
      <w:r w:rsidRPr="005B628C">
        <w:tab/>
        <w:t xml:space="preserve">E-mail: </w:t>
      </w:r>
      <w:hyperlink r:id="rId11" w:history="1">
        <w:r w:rsidR="001F25EC" w:rsidRPr="005B628C">
          <w:rPr>
            <w:rStyle w:val="Hyperlink"/>
          </w:rPr>
          <w:t>paidleave@state.mn.us</w:t>
        </w:r>
      </w:hyperlink>
    </w:p>
    <w:p w14:paraId="4E956867" w14:textId="77777777" w:rsidR="00EA68AB" w:rsidRPr="005B628C" w:rsidRDefault="00EA68AB" w:rsidP="00AD0D51">
      <w:pPr>
        <w:spacing w:after="120"/>
      </w:pPr>
      <w:r w:rsidRPr="005B628C">
        <w:t>Gởi thư:  Department of Employment and Economic Development, Paid Leave Division</w:t>
      </w:r>
      <w:r w:rsidRPr="005B628C">
        <w:br/>
        <w:t>180 E 5</w:t>
      </w:r>
      <w:r w:rsidRPr="005B628C">
        <w:rPr>
          <w:vertAlign w:val="superscript"/>
        </w:rPr>
        <w:t>th</w:t>
      </w:r>
      <w:r w:rsidRPr="005B628C">
        <w:t xml:space="preserve"> Street, 12</w:t>
      </w:r>
      <w:r w:rsidRPr="005B628C">
        <w:rPr>
          <w:vertAlign w:val="superscript"/>
        </w:rPr>
        <w:t>th</w:t>
      </w:r>
      <w:r w:rsidRPr="005B628C">
        <w:t xml:space="preserve"> Floor, Saint Paul, MN </w:t>
      </w:r>
    </w:p>
    <w:p w14:paraId="54D30604" w14:textId="77777777" w:rsidR="00252735" w:rsidRPr="005B628C" w:rsidRDefault="00EA68AB">
      <w:pPr>
        <w:spacing w:after="0" w:line="240" w:lineRule="auto"/>
        <w:rPr>
          <w:i/>
          <w:iCs/>
          <w:color w:val="000000"/>
          <w:sz w:val="22"/>
          <w:szCs w:val="22"/>
        </w:rPr>
      </w:pPr>
      <w:r w:rsidRPr="005B628C">
        <w:rPr>
          <w:i/>
          <w:color w:val="000000"/>
          <w:sz w:val="22"/>
        </w:rPr>
        <w:t>Thông tin có sẵn ở các định dạng thay thế dành cho người khuyết tật bằng cách sử dụng thông tin liên hệ được liệt kê ở trên.</w:t>
      </w:r>
    </w:p>
    <w:p w14:paraId="3E9AB60C" w14:textId="77777777" w:rsidR="008008C4" w:rsidRPr="005B628C" w:rsidRDefault="008008C4">
      <w:pPr>
        <w:spacing w:after="0" w:line="240" w:lineRule="auto"/>
        <w:rPr>
          <w:rStyle w:val="Strong"/>
          <w:rFonts w:eastAsia="MS Gothic"/>
          <w:bCs w:val="0"/>
          <w:color w:val="000000"/>
        </w:rPr>
      </w:pPr>
    </w:p>
    <w:p w14:paraId="5046C818" w14:textId="1BD1D767" w:rsidR="00CC2658" w:rsidRPr="005B628C" w:rsidRDefault="00CC2658" w:rsidP="00AD0D51">
      <w:pPr>
        <w:pStyle w:val="Heading2"/>
        <w:spacing w:after="80"/>
      </w:pPr>
      <w:r w:rsidRPr="005B628C">
        <w:rPr>
          <w:rStyle w:val="Strong"/>
          <w:b/>
        </w:rPr>
        <w:t>Thông tin</w:t>
      </w:r>
      <w:r w:rsidR="002A6376" w:rsidRPr="005B628C">
        <w:rPr>
          <w:rStyle w:val="Strong"/>
          <w:b/>
          <w:lang w:val="en-US"/>
        </w:rPr>
        <w:t xml:space="preserve"> </w:t>
      </w:r>
      <w:r w:rsidRPr="005B628C">
        <w:rPr>
          <w:rStyle w:val="Strong"/>
          <w:b/>
        </w:rPr>
        <w:t>người</w:t>
      </w:r>
      <w:r w:rsidR="002A6376" w:rsidRPr="005B628C">
        <w:rPr>
          <w:rStyle w:val="Strong"/>
          <w:b/>
          <w:lang w:val="en-US"/>
        </w:rPr>
        <w:t xml:space="preserve"> </w:t>
      </w:r>
      <w:r w:rsidRPr="005B628C">
        <w:rPr>
          <w:rStyle w:val="Strong"/>
          <w:b/>
        </w:rPr>
        <w:t>chủ lao động</w:t>
      </w:r>
      <w:r w:rsidRPr="005B628C">
        <w:t>:</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43"/>
      </w:tblGrid>
      <w:tr w:rsidR="00CC2658" w:rsidRPr="005B628C" w14:paraId="76603323"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46772379" w14:textId="77777777" w:rsidR="00CC2658" w:rsidRPr="005B628C" w:rsidRDefault="00CC2658" w:rsidP="00743A69">
            <w:pPr>
              <w:spacing w:after="0"/>
              <w:rPr>
                <w:rStyle w:val="Strong"/>
                <w:b w:val="0"/>
                <w:bCs w:val="0"/>
              </w:rPr>
            </w:pPr>
            <w:r w:rsidRPr="005B628C">
              <w:rPr>
                <w:rStyle w:val="Strong"/>
              </w:rPr>
              <w:t>Tên Người chủ lao động: </w:t>
            </w:r>
          </w:p>
        </w:tc>
        <w:tc>
          <w:tcPr>
            <w:tcW w:w="7943" w:type="dxa"/>
            <w:tcBorders>
              <w:top w:val="single" w:sz="6" w:space="0" w:color="auto"/>
              <w:left w:val="single" w:sz="6" w:space="0" w:color="auto"/>
              <w:bottom w:val="single" w:sz="6" w:space="0" w:color="auto"/>
              <w:right w:val="single" w:sz="6" w:space="0" w:color="auto"/>
            </w:tcBorders>
            <w:hideMark/>
          </w:tcPr>
          <w:p w14:paraId="6398C23B" w14:textId="77777777" w:rsidR="00CC2658" w:rsidRPr="005B628C" w:rsidRDefault="00CC2658" w:rsidP="00743A69">
            <w:pPr>
              <w:spacing w:after="0"/>
            </w:pPr>
            <w:r w:rsidRPr="005B628C">
              <w:t> </w:t>
            </w:r>
          </w:p>
        </w:tc>
      </w:tr>
      <w:tr w:rsidR="00CC2658" w:rsidRPr="005B628C" w14:paraId="14DE8922"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6396C085" w14:textId="77777777" w:rsidR="00CC2658" w:rsidRPr="005B628C" w:rsidRDefault="00CC2658" w:rsidP="00743A69">
            <w:pPr>
              <w:spacing w:after="0"/>
              <w:rPr>
                <w:rStyle w:val="Strong"/>
                <w:b w:val="0"/>
                <w:bCs w:val="0"/>
              </w:rPr>
            </w:pPr>
            <w:r w:rsidRPr="005B628C">
              <w:rPr>
                <w:rStyle w:val="Strong"/>
              </w:rPr>
              <w:t>Địa chỉ gửi thư: </w:t>
            </w:r>
          </w:p>
        </w:tc>
        <w:tc>
          <w:tcPr>
            <w:tcW w:w="7943" w:type="dxa"/>
            <w:tcBorders>
              <w:top w:val="single" w:sz="6" w:space="0" w:color="auto"/>
              <w:left w:val="single" w:sz="6" w:space="0" w:color="auto"/>
              <w:bottom w:val="single" w:sz="6" w:space="0" w:color="auto"/>
              <w:right w:val="single" w:sz="6" w:space="0" w:color="auto"/>
            </w:tcBorders>
            <w:hideMark/>
          </w:tcPr>
          <w:p w14:paraId="2964A36E" w14:textId="77777777" w:rsidR="00CC2658" w:rsidRPr="005B628C" w:rsidRDefault="00CC2658" w:rsidP="00743A69">
            <w:pPr>
              <w:spacing w:after="0"/>
            </w:pPr>
            <w:r w:rsidRPr="005B628C">
              <w:t> </w:t>
            </w:r>
          </w:p>
        </w:tc>
      </w:tr>
      <w:tr w:rsidR="00CC2658" w:rsidRPr="005B628C" w14:paraId="23E1C9AC"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383F8C7B" w14:textId="77777777" w:rsidR="00CC2658" w:rsidRPr="005B628C" w:rsidRDefault="00CC2658" w:rsidP="00743A69">
            <w:pPr>
              <w:spacing w:after="0"/>
              <w:rPr>
                <w:rStyle w:val="Strong"/>
                <w:b w:val="0"/>
                <w:bCs w:val="0"/>
              </w:rPr>
            </w:pPr>
            <w:r w:rsidRPr="005B628C">
              <w:rPr>
                <w:rStyle w:val="Strong"/>
              </w:rPr>
              <w:t>Employer Identification Number (FEIN): </w:t>
            </w:r>
          </w:p>
        </w:tc>
        <w:tc>
          <w:tcPr>
            <w:tcW w:w="7943" w:type="dxa"/>
            <w:tcBorders>
              <w:top w:val="single" w:sz="6" w:space="0" w:color="auto"/>
              <w:left w:val="single" w:sz="6" w:space="0" w:color="auto"/>
              <w:bottom w:val="single" w:sz="6" w:space="0" w:color="auto"/>
              <w:right w:val="single" w:sz="6" w:space="0" w:color="auto"/>
            </w:tcBorders>
            <w:hideMark/>
          </w:tcPr>
          <w:p w14:paraId="78FD2E2F" w14:textId="77777777" w:rsidR="00CC2658" w:rsidRPr="005B628C" w:rsidRDefault="00CC2658" w:rsidP="00743A69">
            <w:pPr>
              <w:spacing w:after="0"/>
            </w:pPr>
            <w:r w:rsidRPr="005B628C">
              <w:t> </w:t>
            </w:r>
          </w:p>
        </w:tc>
      </w:tr>
    </w:tbl>
    <w:p w14:paraId="2802840F" w14:textId="77777777" w:rsidR="00CC2658" w:rsidRPr="005B628C" w:rsidRDefault="00CC2658" w:rsidP="00CC2658">
      <w:pPr>
        <w:rPr>
          <w:b/>
          <w:bCs/>
          <w:sz w:val="20"/>
          <w:szCs w:val="20"/>
        </w:rPr>
      </w:pPr>
    </w:p>
    <w:p w14:paraId="0390EC40" w14:textId="77777777" w:rsidR="00CC2658" w:rsidRPr="005B628C" w:rsidRDefault="00CC2658" w:rsidP="00AD0D51">
      <w:pPr>
        <w:pStyle w:val="Heading2"/>
        <w:spacing w:after="80"/>
      </w:pPr>
      <w:r w:rsidRPr="005B628C">
        <w:t>Xác nhận của nhân viên: </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53"/>
      </w:tblGrid>
      <w:tr w:rsidR="00CC2658" w:rsidRPr="005B628C" w14:paraId="77EC249F"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69C3FA96" w14:textId="77777777" w:rsidR="00CC2658" w:rsidRPr="005B628C" w:rsidRDefault="00CC2658" w:rsidP="00743A69">
            <w:pPr>
              <w:spacing w:after="0"/>
              <w:jc w:val="center"/>
            </w:pPr>
            <w:r w:rsidRPr="005B628C">
              <w:rPr>
                <w:b/>
              </w:rPr>
              <w:t>□</w:t>
            </w:r>
          </w:p>
        </w:tc>
        <w:tc>
          <w:tcPr>
            <w:tcW w:w="9653" w:type="dxa"/>
            <w:tcBorders>
              <w:top w:val="single" w:sz="6" w:space="0" w:color="auto"/>
              <w:left w:val="single" w:sz="6" w:space="0" w:color="auto"/>
              <w:bottom w:val="single" w:sz="6" w:space="0" w:color="auto"/>
              <w:right w:val="single" w:sz="6" w:space="0" w:color="auto"/>
            </w:tcBorders>
            <w:hideMark/>
          </w:tcPr>
          <w:p w14:paraId="1E713432" w14:textId="77777777" w:rsidR="00CC2658" w:rsidRPr="005B628C" w:rsidRDefault="00CC2658" w:rsidP="00743A69">
            <w:pPr>
              <w:spacing w:after="0"/>
              <w:ind w:firstLine="276"/>
            </w:pPr>
            <w:r w:rsidRPr="005B628C">
              <w:rPr>
                <w:b/>
              </w:rPr>
              <w:t>Tôi xác nhận đã nhận được thông báo này</w:t>
            </w:r>
            <w:r w:rsidRPr="005B628C">
              <w:t> </w:t>
            </w:r>
          </w:p>
        </w:tc>
      </w:tr>
      <w:tr w:rsidR="00CC2658" w:rsidRPr="005B628C" w14:paraId="38823019"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tcPr>
          <w:p w14:paraId="3945EC63" w14:textId="77777777" w:rsidR="00CC2658" w:rsidRPr="005B628C" w:rsidRDefault="00CC2658" w:rsidP="00743A69">
            <w:pPr>
              <w:spacing w:after="0"/>
              <w:ind w:firstLine="77"/>
              <w:rPr>
                <w:b/>
                <w:bCs/>
              </w:rPr>
            </w:pPr>
            <w:r w:rsidRPr="005B628C">
              <w:rPr>
                <w:b/>
              </w:rPr>
              <w:t>Tên</w:t>
            </w:r>
          </w:p>
        </w:tc>
        <w:tc>
          <w:tcPr>
            <w:tcW w:w="9653" w:type="dxa"/>
            <w:tcBorders>
              <w:top w:val="single" w:sz="6" w:space="0" w:color="auto"/>
              <w:left w:val="single" w:sz="6" w:space="0" w:color="auto"/>
              <w:bottom w:val="single" w:sz="6" w:space="0" w:color="auto"/>
              <w:right w:val="single" w:sz="6" w:space="0" w:color="auto"/>
            </w:tcBorders>
          </w:tcPr>
          <w:p w14:paraId="4A8A58EC" w14:textId="77777777" w:rsidR="00CC2658" w:rsidRPr="005B628C" w:rsidRDefault="00CC2658" w:rsidP="00743A69">
            <w:pPr>
              <w:spacing w:after="0"/>
              <w:rPr>
                <w:b/>
                <w:bCs/>
              </w:rPr>
            </w:pPr>
          </w:p>
        </w:tc>
      </w:tr>
      <w:tr w:rsidR="00CC2658" w:rsidRPr="005B628C" w14:paraId="572232E4"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757C0B2A" w14:textId="77777777" w:rsidR="00CC2658" w:rsidRPr="005B628C" w:rsidRDefault="00CC2658" w:rsidP="00743A69">
            <w:pPr>
              <w:spacing w:after="0"/>
              <w:ind w:firstLine="77"/>
            </w:pPr>
            <w:r w:rsidRPr="005B628C">
              <w:rPr>
                <w:b/>
              </w:rPr>
              <w:t>Chữ ký</w:t>
            </w:r>
            <w:r w:rsidRPr="005B628C">
              <w:t> </w:t>
            </w:r>
          </w:p>
        </w:tc>
        <w:tc>
          <w:tcPr>
            <w:tcW w:w="9653" w:type="dxa"/>
            <w:tcBorders>
              <w:top w:val="single" w:sz="6" w:space="0" w:color="auto"/>
              <w:left w:val="single" w:sz="6" w:space="0" w:color="auto"/>
              <w:bottom w:val="single" w:sz="6" w:space="0" w:color="auto"/>
              <w:right w:val="single" w:sz="6" w:space="0" w:color="auto"/>
            </w:tcBorders>
            <w:hideMark/>
          </w:tcPr>
          <w:p w14:paraId="32C55387" w14:textId="77777777" w:rsidR="00CC2658" w:rsidRPr="005B628C" w:rsidRDefault="00CC2658" w:rsidP="00743A69">
            <w:pPr>
              <w:spacing w:after="0"/>
            </w:pPr>
            <w:r w:rsidRPr="005B628C">
              <w:t> </w:t>
            </w:r>
          </w:p>
        </w:tc>
      </w:tr>
      <w:tr w:rsidR="00CC2658" w:rsidRPr="005B628C" w14:paraId="30215EAF"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072E4B" w14:textId="77777777" w:rsidR="00CC2658" w:rsidRPr="005B628C" w:rsidRDefault="00CC2658" w:rsidP="00743A69">
            <w:pPr>
              <w:spacing w:after="0"/>
              <w:ind w:firstLine="77"/>
            </w:pPr>
            <w:r w:rsidRPr="005B628C">
              <w:rPr>
                <w:b/>
              </w:rPr>
              <w:t>Ngày</w:t>
            </w:r>
            <w:r w:rsidRPr="005B628C">
              <w:t> </w:t>
            </w:r>
          </w:p>
        </w:tc>
        <w:tc>
          <w:tcPr>
            <w:tcW w:w="9653" w:type="dxa"/>
            <w:tcBorders>
              <w:top w:val="single" w:sz="6" w:space="0" w:color="auto"/>
              <w:left w:val="single" w:sz="6" w:space="0" w:color="auto"/>
              <w:bottom w:val="single" w:sz="6" w:space="0" w:color="auto"/>
              <w:right w:val="single" w:sz="6" w:space="0" w:color="auto"/>
            </w:tcBorders>
            <w:hideMark/>
          </w:tcPr>
          <w:p w14:paraId="6C87C870" w14:textId="77777777" w:rsidR="00CC2658" w:rsidRPr="005B628C" w:rsidRDefault="00CC2658" w:rsidP="00743A69">
            <w:pPr>
              <w:spacing w:after="0"/>
            </w:pPr>
            <w:r w:rsidRPr="005B628C">
              <w:t> </w:t>
            </w:r>
          </w:p>
        </w:tc>
      </w:tr>
    </w:tbl>
    <w:p w14:paraId="0B3A2BEE" w14:textId="77777777" w:rsidR="00CC2658" w:rsidRPr="005B628C" w:rsidRDefault="00CC2658" w:rsidP="00CC2658"/>
    <w:p w14:paraId="51B40075" w14:textId="77777777" w:rsidR="00CF21BD" w:rsidRPr="005B628C" w:rsidRDefault="00CF21BD" w:rsidP="00CC2658">
      <w:pPr>
        <w:pStyle w:val="Heading1"/>
      </w:pPr>
    </w:p>
    <w:sectPr w:rsidR="00CF21BD" w:rsidRPr="005B628C" w:rsidSect="00AB5332">
      <w:headerReference w:type="default" r:id="rId12"/>
      <w:footerReference w:type="default" r:id="rId13"/>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6421" w14:textId="77777777" w:rsidR="00D55064" w:rsidRDefault="00D55064" w:rsidP="00D77387">
      <w:r>
        <w:separator/>
      </w:r>
    </w:p>
  </w:endnote>
  <w:endnote w:type="continuationSeparator" w:id="0">
    <w:p w14:paraId="00B7F7C0" w14:textId="77777777" w:rsidR="00D55064" w:rsidRDefault="00D55064" w:rsidP="00D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DF0C" w14:textId="77777777" w:rsidR="002B447D" w:rsidRPr="006004F4" w:rsidRDefault="00401CAE" w:rsidP="00D77387">
    <w:pPr>
      <w:pStyle w:val="Footer"/>
      <w:jc w:val="center"/>
      <w:rPr>
        <w:color w:val="44546A"/>
        <w:sz w:val="20"/>
        <w:szCs w:val="20"/>
      </w:rPr>
    </w:pPr>
    <w:r w:rsidRPr="006004F4">
      <w:rPr>
        <w:color w:val="44546A"/>
        <w:sz w:val="20"/>
        <w:szCs w:val="20"/>
      </w:rPr>
      <w:t>Minnesota Paid Leave</w:t>
    </w:r>
  </w:p>
  <w:p w14:paraId="253ABDE1" w14:textId="77777777" w:rsidR="00C76AFE" w:rsidRPr="006004F4" w:rsidRDefault="00F957F5" w:rsidP="00D77387">
    <w:pPr>
      <w:pStyle w:val="Footer"/>
      <w:jc w:val="center"/>
      <w:rPr>
        <w:color w:val="44546A"/>
        <w:sz w:val="20"/>
        <w:szCs w:val="20"/>
      </w:rPr>
    </w:pPr>
    <w:r w:rsidRPr="006004F4">
      <w:rPr>
        <w:color w:val="44546A"/>
        <w:sz w:val="20"/>
        <w:szCs w:val="20"/>
      </w:rPr>
      <w:t>180 E 5</w:t>
    </w:r>
    <w:r w:rsidRPr="006004F4">
      <w:rPr>
        <w:color w:val="44546A"/>
        <w:sz w:val="20"/>
        <w:szCs w:val="20"/>
        <w:vertAlign w:val="superscript"/>
      </w:rPr>
      <w:t>th</w:t>
    </w:r>
    <w:r w:rsidRPr="006004F4">
      <w:rPr>
        <w:color w:val="44546A"/>
        <w:sz w:val="20"/>
        <w:szCs w:val="20"/>
      </w:rPr>
      <w:t xml:space="preserve"> St, Suite 1200 | St. Paul, MN 55101</w:t>
    </w:r>
  </w:p>
  <w:p w14:paraId="59933781" w14:textId="77777777" w:rsidR="002B447D" w:rsidRPr="006004F4" w:rsidRDefault="00406AB1" w:rsidP="00401CAE">
    <w:pPr>
      <w:pStyle w:val="Footer"/>
      <w:jc w:val="center"/>
    </w:pPr>
    <w:r w:rsidRPr="006004F4">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33C5" w14:textId="77777777" w:rsidR="00D55064" w:rsidRDefault="00D55064" w:rsidP="00D77387">
      <w:r>
        <w:separator/>
      </w:r>
    </w:p>
  </w:footnote>
  <w:footnote w:type="continuationSeparator" w:id="0">
    <w:p w14:paraId="38739A3D" w14:textId="77777777" w:rsidR="00D55064" w:rsidRDefault="00D55064" w:rsidP="00D7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90DD" w14:textId="3563E1C5" w:rsidR="00AB5332" w:rsidRDefault="00253028" w:rsidP="00253028">
    <w:pPr>
      <w:pStyle w:val="Header"/>
      <w:tabs>
        <w:tab w:val="clear" w:pos="4680"/>
        <w:tab w:val="clear" w:pos="9360"/>
        <w:tab w:val="left" w:pos="4485"/>
        <w:tab w:val="center" w:pos="5400"/>
      </w:tabs>
    </w:pPr>
    <w:r>
      <w:rPr>
        <w:noProof/>
      </w:rPr>
      <w:drawing>
        <wp:anchor distT="0" distB="0" distL="114300" distR="114300" simplePos="0" relativeHeight="251657728" behindDoc="1" locked="0" layoutInCell="1" allowOverlap="1" wp14:anchorId="4C94282D" wp14:editId="795340DD">
          <wp:simplePos x="0" y="0"/>
          <wp:positionH relativeFrom="column">
            <wp:posOffset>-444500</wp:posOffset>
          </wp:positionH>
          <wp:positionV relativeFrom="paragraph">
            <wp:posOffset>-261620</wp:posOffset>
          </wp:positionV>
          <wp:extent cx="7936865" cy="1219200"/>
          <wp:effectExtent l="0" t="0" r="0" b="0"/>
          <wp:wrapNone/>
          <wp:docPr id="1" name="Picture 2" descr="Logo chương trình Nghỉ phép có lương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hương trình Nghỉ phép có lương Minneso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B5FDC"/>
    <w:multiLevelType w:val="multilevel"/>
    <w:tmpl w:val="B01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5464B"/>
    <w:multiLevelType w:val="multilevel"/>
    <w:tmpl w:val="E1B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E26E8"/>
    <w:multiLevelType w:val="multilevel"/>
    <w:tmpl w:val="23C6CB2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8286E"/>
    <w:multiLevelType w:val="multilevel"/>
    <w:tmpl w:val="A5948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77CAD"/>
    <w:multiLevelType w:val="multilevel"/>
    <w:tmpl w:val="93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F6714"/>
    <w:multiLevelType w:val="multilevel"/>
    <w:tmpl w:val="88D4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9FFD02"/>
    <w:multiLevelType w:val="hybridMultilevel"/>
    <w:tmpl w:val="FFFFFFFF"/>
    <w:lvl w:ilvl="0" w:tplc="DB6A2406">
      <w:start w:val="1"/>
      <w:numFmt w:val="bullet"/>
      <w:lvlText w:val=""/>
      <w:lvlJc w:val="left"/>
      <w:pPr>
        <w:ind w:left="720" w:hanging="360"/>
      </w:pPr>
      <w:rPr>
        <w:rFonts w:ascii="Symbol" w:hAnsi="Symbol" w:hint="default"/>
      </w:rPr>
    </w:lvl>
    <w:lvl w:ilvl="1" w:tplc="46BC141C">
      <w:start w:val="1"/>
      <w:numFmt w:val="bullet"/>
      <w:lvlText w:val="o"/>
      <w:lvlJc w:val="left"/>
      <w:pPr>
        <w:ind w:left="1440" w:hanging="360"/>
      </w:pPr>
      <w:rPr>
        <w:rFonts w:ascii="Courier New" w:hAnsi="Courier New" w:hint="default"/>
      </w:rPr>
    </w:lvl>
    <w:lvl w:ilvl="2" w:tplc="C584EC88">
      <w:start w:val="1"/>
      <w:numFmt w:val="bullet"/>
      <w:lvlText w:val=""/>
      <w:lvlJc w:val="left"/>
      <w:pPr>
        <w:ind w:left="2160" w:hanging="360"/>
      </w:pPr>
      <w:rPr>
        <w:rFonts w:ascii="Wingdings" w:hAnsi="Wingdings" w:hint="default"/>
      </w:rPr>
    </w:lvl>
    <w:lvl w:ilvl="3" w:tplc="B8B44EA4">
      <w:start w:val="1"/>
      <w:numFmt w:val="bullet"/>
      <w:lvlText w:val=""/>
      <w:lvlJc w:val="left"/>
      <w:pPr>
        <w:ind w:left="2880" w:hanging="360"/>
      </w:pPr>
      <w:rPr>
        <w:rFonts w:ascii="Symbol" w:hAnsi="Symbol" w:hint="default"/>
      </w:rPr>
    </w:lvl>
    <w:lvl w:ilvl="4" w:tplc="41D62E1E">
      <w:start w:val="1"/>
      <w:numFmt w:val="bullet"/>
      <w:lvlText w:val="o"/>
      <w:lvlJc w:val="left"/>
      <w:pPr>
        <w:ind w:left="3600" w:hanging="360"/>
      </w:pPr>
      <w:rPr>
        <w:rFonts w:ascii="Courier New" w:hAnsi="Courier New" w:hint="default"/>
      </w:rPr>
    </w:lvl>
    <w:lvl w:ilvl="5" w:tplc="8118D29C">
      <w:start w:val="1"/>
      <w:numFmt w:val="bullet"/>
      <w:lvlText w:val=""/>
      <w:lvlJc w:val="left"/>
      <w:pPr>
        <w:ind w:left="4320" w:hanging="360"/>
      </w:pPr>
      <w:rPr>
        <w:rFonts w:ascii="Wingdings" w:hAnsi="Wingdings" w:hint="default"/>
      </w:rPr>
    </w:lvl>
    <w:lvl w:ilvl="6" w:tplc="670E1C06">
      <w:start w:val="1"/>
      <w:numFmt w:val="bullet"/>
      <w:lvlText w:val=""/>
      <w:lvlJc w:val="left"/>
      <w:pPr>
        <w:ind w:left="5040" w:hanging="360"/>
      </w:pPr>
      <w:rPr>
        <w:rFonts w:ascii="Symbol" w:hAnsi="Symbol" w:hint="default"/>
      </w:rPr>
    </w:lvl>
    <w:lvl w:ilvl="7" w:tplc="8BBE9DD0">
      <w:start w:val="1"/>
      <w:numFmt w:val="bullet"/>
      <w:lvlText w:val="o"/>
      <w:lvlJc w:val="left"/>
      <w:pPr>
        <w:ind w:left="5760" w:hanging="360"/>
      </w:pPr>
      <w:rPr>
        <w:rFonts w:ascii="Courier New" w:hAnsi="Courier New" w:hint="default"/>
      </w:rPr>
    </w:lvl>
    <w:lvl w:ilvl="8" w:tplc="A4A4BC00">
      <w:start w:val="1"/>
      <w:numFmt w:val="bullet"/>
      <w:lvlText w:val=""/>
      <w:lvlJc w:val="left"/>
      <w:pPr>
        <w:ind w:left="6480" w:hanging="360"/>
      </w:pPr>
      <w:rPr>
        <w:rFonts w:ascii="Wingdings" w:hAnsi="Wingdings" w:hint="default"/>
      </w:rPr>
    </w:lvl>
  </w:abstractNum>
  <w:abstractNum w:abstractNumId="11"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14015"/>
    <w:multiLevelType w:val="multilevel"/>
    <w:tmpl w:val="21B8EB0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992041">
    <w:abstractNumId w:val="3"/>
  </w:num>
  <w:num w:numId="2" w16cid:durableId="1552425495">
    <w:abstractNumId w:val="14"/>
  </w:num>
  <w:num w:numId="3" w16cid:durableId="1909724500">
    <w:abstractNumId w:val="0"/>
  </w:num>
  <w:num w:numId="4" w16cid:durableId="1057972686">
    <w:abstractNumId w:val="5"/>
  </w:num>
  <w:num w:numId="5" w16cid:durableId="202179240">
    <w:abstractNumId w:val="11"/>
  </w:num>
  <w:num w:numId="6" w16cid:durableId="1432892911">
    <w:abstractNumId w:val="12"/>
  </w:num>
  <w:num w:numId="7" w16cid:durableId="117186019">
    <w:abstractNumId w:val="1"/>
  </w:num>
  <w:num w:numId="8" w16cid:durableId="885799203">
    <w:abstractNumId w:val="10"/>
  </w:num>
  <w:num w:numId="9" w16cid:durableId="1250700250">
    <w:abstractNumId w:val="2"/>
  </w:num>
  <w:num w:numId="10" w16cid:durableId="1981644505">
    <w:abstractNumId w:val="9"/>
  </w:num>
  <w:num w:numId="11" w16cid:durableId="826828056">
    <w:abstractNumId w:val="4"/>
  </w:num>
  <w:num w:numId="12" w16cid:durableId="927159641">
    <w:abstractNumId w:val="8"/>
  </w:num>
  <w:num w:numId="13" w16cid:durableId="617757282">
    <w:abstractNumId w:val="7"/>
  </w:num>
  <w:num w:numId="14" w16cid:durableId="1561668895">
    <w:abstractNumId w:val="6"/>
  </w:num>
  <w:num w:numId="15" w16cid:durableId="814880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0291F"/>
    <w:rsid w:val="0000607E"/>
    <w:rsid w:val="00016EC6"/>
    <w:rsid w:val="00045E49"/>
    <w:rsid w:val="00053EE4"/>
    <w:rsid w:val="0008475B"/>
    <w:rsid w:val="000A0B25"/>
    <w:rsid w:val="000C4E9C"/>
    <w:rsid w:val="000E1093"/>
    <w:rsid w:val="000F6F96"/>
    <w:rsid w:val="001014FF"/>
    <w:rsid w:val="001E08AD"/>
    <w:rsid w:val="001E1277"/>
    <w:rsid w:val="001F25EC"/>
    <w:rsid w:val="00213BF1"/>
    <w:rsid w:val="00252735"/>
    <w:rsid w:val="00253028"/>
    <w:rsid w:val="00261B36"/>
    <w:rsid w:val="00275C1A"/>
    <w:rsid w:val="0029624F"/>
    <w:rsid w:val="002A6376"/>
    <w:rsid w:val="002A750C"/>
    <w:rsid w:val="002B447D"/>
    <w:rsid w:val="002C0B1A"/>
    <w:rsid w:val="002C1910"/>
    <w:rsid w:val="002D36EA"/>
    <w:rsid w:val="002D5D02"/>
    <w:rsid w:val="00320AB5"/>
    <w:rsid w:val="00327829"/>
    <w:rsid w:val="00347AE4"/>
    <w:rsid w:val="00364574"/>
    <w:rsid w:val="003B3244"/>
    <w:rsid w:val="003C14CD"/>
    <w:rsid w:val="003D253D"/>
    <w:rsid w:val="003E0CCB"/>
    <w:rsid w:val="00401CAE"/>
    <w:rsid w:val="00406AB1"/>
    <w:rsid w:val="00491043"/>
    <w:rsid w:val="004A1BBE"/>
    <w:rsid w:val="004C0181"/>
    <w:rsid w:val="004C6B06"/>
    <w:rsid w:val="004E50E1"/>
    <w:rsid w:val="004F090A"/>
    <w:rsid w:val="00523707"/>
    <w:rsid w:val="005A33EE"/>
    <w:rsid w:val="005B1A36"/>
    <w:rsid w:val="005B1F42"/>
    <w:rsid w:val="005B628C"/>
    <w:rsid w:val="005D76AE"/>
    <w:rsid w:val="006004F4"/>
    <w:rsid w:val="00605827"/>
    <w:rsid w:val="00626CAF"/>
    <w:rsid w:val="00627070"/>
    <w:rsid w:val="00660C82"/>
    <w:rsid w:val="0069235D"/>
    <w:rsid w:val="00695A6F"/>
    <w:rsid w:val="006C0CD9"/>
    <w:rsid w:val="006D522B"/>
    <w:rsid w:val="0070650C"/>
    <w:rsid w:val="00716698"/>
    <w:rsid w:val="007178B8"/>
    <w:rsid w:val="00743A69"/>
    <w:rsid w:val="007459E9"/>
    <w:rsid w:val="00751377"/>
    <w:rsid w:val="00773817"/>
    <w:rsid w:val="00775921"/>
    <w:rsid w:val="00775DD1"/>
    <w:rsid w:val="00790C44"/>
    <w:rsid w:val="007D53F7"/>
    <w:rsid w:val="008008C4"/>
    <w:rsid w:val="008A5A23"/>
    <w:rsid w:val="008C662B"/>
    <w:rsid w:val="008F167C"/>
    <w:rsid w:val="00922D42"/>
    <w:rsid w:val="00924416"/>
    <w:rsid w:val="00935187"/>
    <w:rsid w:val="00947345"/>
    <w:rsid w:val="00980E53"/>
    <w:rsid w:val="00981FFE"/>
    <w:rsid w:val="00986EC8"/>
    <w:rsid w:val="009A0D0F"/>
    <w:rsid w:val="009A4993"/>
    <w:rsid w:val="009D060B"/>
    <w:rsid w:val="009E6DC7"/>
    <w:rsid w:val="009F2E08"/>
    <w:rsid w:val="00A21FE4"/>
    <w:rsid w:val="00A45D4C"/>
    <w:rsid w:val="00A63C4B"/>
    <w:rsid w:val="00A81B3D"/>
    <w:rsid w:val="00AB5332"/>
    <w:rsid w:val="00AC22A3"/>
    <w:rsid w:val="00AD0D51"/>
    <w:rsid w:val="00AE652B"/>
    <w:rsid w:val="00AE7781"/>
    <w:rsid w:val="00B24C38"/>
    <w:rsid w:val="00B340AA"/>
    <w:rsid w:val="00B958C7"/>
    <w:rsid w:val="00BD6E04"/>
    <w:rsid w:val="00C36DDA"/>
    <w:rsid w:val="00C40F07"/>
    <w:rsid w:val="00C55811"/>
    <w:rsid w:val="00C71938"/>
    <w:rsid w:val="00C76AFE"/>
    <w:rsid w:val="00C833AB"/>
    <w:rsid w:val="00C97E23"/>
    <w:rsid w:val="00CB0171"/>
    <w:rsid w:val="00CC2658"/>
    <w:rsid w:val="00CF0E84"/>
    <w:rsid w:val="00CF21BD"/>
    <w:rsid w:val="00D41631"/>
    <w:rsid w:val="00D55064"/>
    <w:rsid w:val="00D77387"/>
    <w:rsid w:val="00D83905"/>
    <w:rsid w:val="00D83BFF"/>
    <w:rsid w:val="00DA146E"/>
    <w:rsid w:val="00DA2DCD"/>
    <w:rsid w:val="00DD7E5B"/>
    <w:rsid w:val="00DE0D84"/>
    <w:rsid w:val="00DE29CE"/>
    <w:rsid w:val="00E11F4F"/>
    <w:rsid w:val="00E60F1C"/>
    <w:rsid w:val="00E610B2"/>
    <w:rsid w:val="00E80ADC"/>
    <w:rsid w:val="00E91BA6"/>
    <w:rsid w:val="00EA68AB"/>
    <w:rsid w:val="00EA6DF2"/>
    <w:rsid w:val="00EC5B5C"/>
    <w:rsid w:val="00ED78AD"/>
    <w:rsid w:val="00EF2984"/>
    <w:rsid w:val="00F26EA5"/>
    <w:rsid w:val="00F5156F"/>
    <w:rsid w:val="00F6546A"/>
    <w:rsid w:val="00F7182C"/>
    <w:rsid w:val="00F76F7A"/>
    <w:rsid w:val="00F7780C"/>
    <w:rsid w:val="00F8016F"/>
    <w:rsid w:val="00F957F5"/>
    <w:rsid w:val="00FC2994"/>
    <w:rsid w:val="00FE2AEB"/>
    <w:rsid w:val="00FE5F10"/>
    <w:rsid w:val="00FE6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BF42688"/>
  <w15:chartTrackingRefBased/>
  <w15:docId w15:val="{AD81CB00-BC20-4AC7-BF28-8167BAF0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vi-VN"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vi-VN"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vi-VN"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vi-VN" w:eastAsia="ja-JP"/>
    </w:rPr>
  </w:style>
  <w:style w:type="character" w:customStyle="1" w:styleId="Heading5Char">
    <w:name w:val="Heading 5 Char"/>
    <w:link w:val="Heading5"/>
    <w:uiPriority w:val="9"/>
    <w:rsid w:val="00AB5332"/>
    <w:rPr>
      <w:rFonts w:ascii="Calibri" w:eastAsia="MS Gothic" w:hAnsi="Calibri"/>
      <w:b/>
      <w:sz w:val="24"/>
      <w:szCs w:val="22"/>
      <w:lang w:val="vi-VN"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vi-VN"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vi-VN"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vi-VN" w:eastAsia="ja-JP"/>
    </w:rPr>
  </w:style>
  <w:style w:type="character" w:styleId="Mention">
    <w:name w:val="Mention"/>
    <w:uiPriority w:val="99"/>
    <w:unhideWhenUsed/>
    <w:rsid w:val="00CF21BD"/>
    <w:rPr>
      <w:color w:val="2B579A"/>
      <w:shd w:val="clear" w:color="auto" w:fill="E1DFDD"/>
    </w:rPr>
  </w:style>
  <w:style w:type="paragraph" w:styleId="CommentSubject">
    <w:name w:val="annotation subject"/>
    <w:basedOn w:val="CommentText"/>
    <w:next w:val="CommentText"/>
    <w:link w:val="CommentSubjectChar"/>
    <w:rsid w:val="005B1A36"/>
    <w:pPr>
      <w:spacing w:line="279" w:lineRule="auto"/>
    </w:pPr>
    <w:rPr>
      <w:b/>
      <w:bCs/>
    </w:rPr>
  </w:style>
  <w:style w:type="character" w:customStyle="1" w:styleId="CommentSubjectChar">
    <w:name w:val="Comment Subject Char"/>
    <w:link w:val="CommentSubject"/>
    <w:rsid w:val="005B1A36"/>
    <w:rPr>
      <w:rFonts w:ascii="Calibri" w:eastAsia="Times New Roman" w:hAnsi="Calibri" w:cs="Times New Roman"/>
      <w:b/>
      <w:bCs/>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D4E8E-29B7-4FDB-AEEF-BE449396BB5C}"/>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28F48107-EB52-4EC1-A7B0-6B46405D82C9}">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39</TotalTime>
  <Pages>7</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Nghỉ phép có lương Minnesota Mẫu thông báo cho nhân viên: Các chương trình tương đương</vt:lpstr>
    </vt:vector>
  </TitlesOfParts>
  <Company>State of Minnesota </Company>
  <LinksUpToDate>false</LinksUpToDate>
  <CharactersWithSpaces>9305</CharactersWithSpaces>
  <SharedDoc>false</SharedDoc>
  <HLinks>
    <vt:vector size="6" baseType="variant">
      <vt:variant>
        <vt:i4>5505065</vt:i4>
      </vt:variant>
      <vt:variant>
        <vt:i4>9</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Nghỉ phép có lương Minnesota Mẫu thông báo cho nhân viên: Các chương trình tương đương</dc:title>
  <dc:subject>Thông báo với thông tin dành cho người lao động về Các chương trình tương đương</dc:subject>
  <dc:creator>Department of Employment and Economic Development Paid Family and Medical Leave Division </dc:creator>
  <cp:keywords/>
  <dc:description/>
  <cp:lastModifiedBy>Denome, Donnie (They/Them/Theirs) (DEED)</cp:lastModifiedBy>
  <cp:revision>18</cp:revision>
  <cp:lastPrinted>2009-12-21T17:36:00Z</cp:lastPrinted>
  <dcterms:created xsi:type="dcterms:W3CDTF">2025-10-06T18:07:00Z</dcterms:created>
  <dcterms:modified xsi:type="dcterms:W3CDTF">2025-11-17T23:01:00Z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