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7969" w14:textId="560F2963" w:rsidR="00DD2084" w:rsidRPr="002C6328" w:rsidRDefault="002C6328" w:rsidP="002C6328">
      <w:pPr>
        <w:pStyle w:val="NoSpacing"/>
        <w:rPr>
          <w:caps/>
        </w:rPr>
      </w:pPr>
      <w:r w:rsidRPr="002C6328">
        <w:t>Adult (</w:t>
      </w:r>
      <w:r>
        <w:t>WIOA</w:t>
      </w:r>
      <w:r w:rsidRPr="002C6328">
        <w:t>)</w:t>
      </w:r>
      <w:r>
        <w:t xml:space="preserve"> and Dislocated Worker (WIOA and State)</w:t>
      </w:r>
    </w:p>
    <w:p w14:paraId="4281327D" w14:textId="2FA021E0" w:rsidR="009B1A8E" w:rsidRPr="001F7419" w:rsidRDefault="00DD2084" w:rsidP="002C6328">
      <w:pPr>
        <w:pStyle w:val="NoSpacing"/>
        <w:rPr>
          <w:b/>
          <w:bCs/>
          <w:kern w:val="0"/>
        </w:rPr>
      </w:pPr>
      <w:r w:rsidRPr="001F7419">
        <w:rPr>
          <w:b/>
          <w:bCs/>
          <w:kern w:val="0"/>
        </w:rPr>
        <w:t>Incumbent Worker Training Programs</w:t>
      </w:r>
    </w:p>
    <w:p w14:paraId="3F21FE96" w14:textId="77777777" w:rsidR="002C6328" w:rsidRPr="001F7419" w:rsidRDefault="002C6328" w:rsidP="002C6328">
      <w:pPr>
        <w:pStyle w:val="NoSpacing"/>
        <w:rPr>
          <w:smallCaps/>
          <w:kern w:val="0"/>
          <w:sz w:val="12"/>
          <w:szCs w:val="12"/>
        </w:rPr>
      </w:pPr>
    </w:p>
    <w:p w14:paraId="78DB1CFF" w14:textId="625C31E9" w:rsidR="0086626B" w:rsidRDefault="00DD2084" w:rsidP="002C6328">
      <w:pPr>
        <w:pStyle w:val="NoSpacing"/>
        <w:rPr>
          <w:kern w:val="0"/>
        </w:rPr>
      </w:pPr>
      <w:r w:rsidRPr="00BB17F4">
        <w:rPr>
          <w:b/>
          <w:bCs/>
          <w:smallCaps/>
          <w:kern w:val="0"/>
        </w:rPr>
        <w:t>Summary</w:t>
      </w:r>
      <w:r w:rsidRPr="002C6328">
        <w:rPr>
          <w:kern w:val="0"/>
        </w:rPr>
        <w:br/>
        <w:t xml:space="preserve">Incumbent </w:t>
      </w:r>
      <w:r w:rsidR="002C6328">
        <w:rPr>
          <w:kern w:val="0"/>
        </w:rPr>
        <w:t>W</w:t>
      </w:r>
      <w:r w:rsidRPr="002C6328">
        <w:rPr>
          <w:kern w:val="0"/>
        </w:rPr>
        <w:t xml:space="preserve">orker </w:t>
      </w:r>
      <w:r w:rsidR="002C6328">
        <w:rPr>
          <w:kern w:val="0"/>
        </w:rPr>
        <w:t>T</w:t>
      </w:r>
      <w:r w:rsidRPr="002C6328">
        <w:rPr>
          <w:kern w:val="0"/>
        </w:rPr>
        <w:t>raining (IWT)</w:t>
      </w:r>
      <w:r w:rsidR="007A4A42">
        <w:rPr>
          <w:kern w:val="0"/>
        </w:rPr>
        <w:t xml:space="preserve"> programs, authorized by the Workforce Innovation and Opportunity Act (WIOA),</w:t>
      </w:r>
      <w:r w:rsidRPr="002C6328">
        <w:rPr>
          <w:kern w:val="0"/>
        </w:rPr>
        <w:t xml:space="preserve"> </w:t>
      </w:r>
      <w:r w:rsidR="007A4A42">
        <w:rPr>
          <w:kern w:val="0"/>
        </w:rPr>
        <w:t xml:space="preserve">are </w:t>
      </w:r>
      <w:r w:rsidR="00A50387">
        <w:rPr>
          <w:rFonts w:eastAsia="Times New Roman" w:cstheme="minorHAnsi"/>
          <w14:ligatures w14:val="none"/>
        </w:rPr>
        <w:t>unique training service for currently employed workers. IWT can assist employe</w:t>
      </w:r>
      <w:r w:rsidR="00C81B15">
        <w:rPr>
          <w:rFonts w:eastAsia="Times New Roman" w:cstheme="minorHAnsi"/>
          <w14:ligatures w14:val="none"/>
        </w:rPr>
        <w:t>r</w:t>
      </w:r>
      <w:r w:rsidR="00A50387">
        <w:rPr>
          <w:rFonts w:eastAsia="Times New Roman" w:cstheme="minorHAnsi"/>
          <w14:ligatures w14:val="none"/>
        </w:rPr>
        <w:t>s</w:t>
      </w:r>
      <w:r w:rsidR="00A50387" w:rsidRPr="002E2204">
        <w:t xml:space="preserve"> retain a skilled</w:t>
      </w:r>
      <w:r w:rsidR="00A50387">
        <w:t xml:space="preserve"> </w:t>
      </w:r>
      <w:r w:rsidR="00A50387" w:rsidRPr="002E2204">
        <w:t>workforce</w:t>
      </w:r>
      <w:r w:rsidR="00C81B15">
        <w:t>, a</w:t>
      </w:r>
      <w:r w:rsidR="00A50387" w:rsidRPr="002E2204">
        <w:t xml:space="preserve">vert </w:t>
      </w:r>
      <w:r w:rsidR="00C81B15">
        <w:t>l</w:t>
      </w:r>
      <w:r w:rsidR="00A50387" w:rsidRPr="002E2204">
        <w:t>ayoff</w:t>
      </w:r>
      <w:r w:rsidR="00C81B15">
        <w:t>s and increase competitiveness</w:t>
      </w:r>
      <w:r w:rsidR="00A50387">
        <w:rPr>
          <w:kern w:val="0"/>
        </w:rPr>
        <w:t>. Th</w:t>
      </w:r>
      <w:r w:rsidR="00C81B15">
        <w:rPr>
          <w:kern w:val="0"/>
        </w:rPr>
        <w:t>is</w:t>
      </w:r>
      <w:r w:rsidR="00A50387">
        <w:rPr>
          <w:kern w:val="0"/>
        </w:rPr>
        <w:t xml:space="preserve"> policy establishes the requirements for </w:t>
      </w:r>
      <w:r w:rsidR="00C81B15">
        <w:t xml:space="preserve">IWTs. </w:t>
      </w:r>
    </w:p>
    <w:p w14:paraId="509D95A4" w14:textId="77777777" w:rsidR="00A50387" w:rsidRPr="00A50387" w:rsidRDefault="00A50387" w:rsidP="002C6328">
      <w:pPr>
        <w:pStyle w:val="NoSpacing"/>
        <w:rPr>
          <w:kern w:val="0"/>
          <w:sz w:val="12"/>
          <w:szCs w:val="12"/>
        </w:rPr>
      </w:pPr>
    </w:p>
    <w:p w14:paraId="5F89C621" w14:textId="77777777" w:rsidR="0086626B" w:rsidRPr="000969F1" w:rsidRDefault="0086626B" w:rsidP="0086626B">
      <w:pPr>
        <w:pStyle w:val="NoSpacing"/>
        <w:rPr>
          <w:b/>
          <w:bCs/>
        </w:rPr>
      </w:pPr>
      <w:bookmarkStart w:id="0" w:name="_Hlk172234404"/>
      <w:r w:rsidRPr="000969F1">
        <w:rPr>
          <w:b/>
          <w:bCs/>
        </w:rPr>
        <w:t>Relevant Laws, Rules, or Policies</w:t>
      </w:r>
    </w:p>
    <w:bookmarkEnd w:id="0"/>
    <w:p w14:paraId="4382CA3D" w14:textId="77777777" w:rsidR="0086626B" w:rsidRDefault="0086626B" w:rsidP="0086626B">
      <w:pPr>
        <w:pStyle w:val="NoSpacing"/>
      </w:pPr>
      <w:r>
        <w:t>Workforce Innovation and Opportunity Act (WIOA) (42 USC 3101 et seq)</w:t>
      </w:r>
    </w:p>
    <w:p w14:paraId="0B954F5E" w14:textId="65AB49CD" w:rsidR="0086626B" w:rsidRDefault="0086626B" w:rsidP="0086626B">
      <w:pPr>
        <w:pStyle w:val="NoSpacing"/>
        <w:tabs>
          <w:tab w:val="center" w:pos="4680"/>
        </w:tabs>
      </w:pPr>
      <w:r>
        <w:t>Code of Federal Regulations 20 (CFR) Part 68</w:t>
      </w:r>
      <w:r w:rsidR="0026472A">
        <w:t>2</w:t>
      </w:r>
    </w:p>
    <w:p w14:paraId="0A73EEA3" w14:textId="5999F234" w:rsidR="0026472A" w:rsidRDefault="0026472A" w:rsidP="001F7419">
      <w:pPr>
        <w:pStyle w:val="NoSpacing"/>
        <w:tabs>
          <w:tab w:val="center" w:pos="4680"/>
        </w:tabs>
      </w:pPr>
      <w:r>
        <w:t>Code of Federal Regulations 20 (CFR) Part 680</w:t>
      </w:r>
    </w:p>
    <w:p w14:paraId="7A128E61" w14:textId="77777777" w:rsidR="0086626B" w:rsidRDefault="0086626B" w:rsidP="0086626B">
      <w:pPr>
        <w:pStyle w:val="NoSpacing"/>
      </w:pPr>
      <w:r>
        <w:t>Training and Employment Guidance Letter (TEGL) 19-16 (March 1, 2017)</w:t>
      </w:r>
    </w:p>
    <w:p w14:paraId="52F72999" w14:textId="297C6BCE" w:rsidR="0086626B" w:rsidRPr="0068550A" w:rsidRDefault="0086626B" w:rsidP="0068550A">
      <w:pPr>
        <w:pStyle w:val="NoSpacing"/>
      </w:pPr>
      <w:r>
        <w:t xml:space="preserve">Training and </w:t>
      </w:r>
      <w:r w:rsidRPr="00F93426">
        <w:t>Employment</w:t>
      </w:r>
      <w:r>
        <w:t xml:space="preserve"> Guidance Letter (TEGL) 10-16, Change 3 (June 24, 2024)</w:t>
      </w:r>
    </w:p>
    <w:p w14:paraId="399DF0A9" w14:textId="77777777" w:rsidR="0068550A" w:rsidRPr="0068550A" w:rsidRDefault="0068550A" w:rsidP="0068550A">
      <w:pPr>
        <w:pStyle w:val="NoSpacing"/>
        <w:rPr>
          <w:sz w:val="12"/>
          <w:szCs w:val="12"/>
        </w:rPr>
      </w:pPr>
    </w:p>
    <w:p w14:paraId="1927B8A5" w14:textId="6C7402D7" w:rsidR="00DD2084" w:rsidRDefault="00DD2084" w:rsidP="0068550A">
      <w:pPr>
        <w:pStyle w:val="NoSpacing"/>
      </w:pPr>
      <w:r w:rsidRPr="0068550A">
        <w:rPr>
          <w:b/>
          <w:bCs/>
        </w:rPr>
        <w:t>Effective Date</w:t>
      </w:r>
      <w:r w:rsidRPr="00DD2084">
        <w:br/>
        <w:t>7/1/2018</w:t>
      </w:r>
    </w:p>
    <w:p w14:paraId="5C2F60E6" w14:textId="77777777" w:rsidR="0068550A" w:rsidRPr="0068550A" w:rsidRDefault="0068550A" w:rsidP="0068550A">
      <w:pPr>
        <w:pStyle w:val="NoSpacing"/>
        <w:rPr>
          <w:sz w:val="12"/>
          <w:szCs w:val="12"/>
        </w:rPr>
      </w:pPr>
    </w:p>
    <w:p w14:paraId="23E35B13" w14:textId="5B1B71D7" w:rsidR="00DD2084" w:rsidRDefault="00DD2084" w:rsidP="0068550A">
      <w:pPr>
        <w:pStyle w:val="NoSpacing"/>
      </w:pPr>
      <w:r w:rsidRPr="0068550A">
        <w:rPr>
          <w:b/>
          <w:bCs/>
        </w:rPr>
        <w:t>Last Updated</w:t>
      </w:r>
      <w:r w:rsidRPr="00DD2084">
        <w:br/>
      </w:r>
      <w:r w:rsidR="0068550A">
        <w:t>4</w:t>
      </w:r>
      <w:r w:rsidRPr="00DD2084">
        <w:t>/</w:t>
      </w:r>
      <w:r w:rsidR="007F1523">
        <w:t>1</w:t>
      </w:r>
      <w:r w:rsidR="00293E9B">
        <w:t>8</w:t>
      </w:r>
      <w:r w:rsidRPr="00DD2084">
        <w:t>/20</w:t>
      </w:r>
      <w:r w:rsidR="007F1523">
        <w:t>25</w:t>
      </w:r>
    </w:p>
    <w:p w14:paraId="7CF75AC4" w14:textId="77777777" w:rsidR="0068550A" w:rsidRPr="0068550A" w:rsidRDefault="0068550A" w:rsidP="0068550A">
      <w:pPr>
        <w:pStyle w:val="NoSpacing"/>
        <w:rPr>
          <w:sz w:val="12"/>
          <w:szCs w:val="12"/>
        </w:rPr>
      </w:pPr>
    </w:p>
    <w:p w14:paraId="353E2D77" w14:textId="1200F50E" w:rsidR="003440FE" w:rsidRDefault="00DD2084" w:rsidP="0068550A">
      <w:pPr>
        <w:pStyle w:val="NoSpacing"/>
        <w:rPr>
          <w:color w:val="242424"/>
          <w:shd w:val="clear" w:color="auto" w:fill="FFFFFF"/>
        </w:rPr>
      </w:pPr>
      <w:r w:rsidRPr="00DD2084">
        <w:rPr>
          <w:rFonts w:eastAsia="Times New Roman" w:cstheme="minorHAnsi"/>
          <w:b/>
          <w:bCs/>
          <w:smallCaps/>
          <w:kern w:val="0"/>
          <w14:ligatures w14:val="none"/>
        </w:rPr>
        <w:t>Contact</w:t>
      </w:r>
      <w:r w:rsidRPr="00DD2084">
        <w:rPr>
          <w:rFonts w:eastAsia="Times New Roman" w:cstheme="minorHAnsi"/>
          <w:kern w:val="0"/>
          <w14:ligatures w14:val="none"/>
        </w:rPr>
        <w:br/>
      </w:r>
      <w:r w:rsidR="003440FE" w:rsidRPr="003160CF">
        <w:rPr>
          <w:b/>
          <w:bCs/>
        </w:rPr>
        <w:t xml:space="preserve">Email: </w:t>
      </w:r>
      <w:r w:rsidR="003440FE" w:rsidRPr="003160CF">
        <w:t>DWFAPrograms.DEED@state.mn.us</w:t>
      </w:r>
      <w:r w:rsidR="003440FE" w:rsidRPr="003160CF">
        <w:br/>
      </w:r>
      <w:r w:rsidR="003440FE" w:rsidRPr="003160CF">
        <w:rPr>
          <w:b/>
          <w:bCs/>
        </w:rPr>
        <w:t xml:space="preserve">Tel: </w:t>
      </w:r>
      <w:r w:rsidR="003440FE" w:rsidRPr="003160CF">
        <w:rPr>
          <w:color w:val="242424"/>
          <w:shd w:val="clear" w:color="auto" w:fill="FFFFFF"/>
        </w:rPr>
        <w:t>651-259-7503</w:t>
      </w:r>
    </w:p>
    <w:p w14:paraId="7A925F6F" w14:textId="77777777" w:rsidR="0068550A" w:rsidRPr="0068550A" w:rsidRDefault="0068550A" w:rsidP="0068550A">
      <w:pPr>
        <w:pStyle w:val="NoSpacing"/>
        <w:rPr>
          <w:rFonts w:eastAsia="Times New Roman" w:cstheme="minorHAnsi"/>
          <w:kern w:val="0"/>
          <w:sz w:val="12"/>
          <w:szCs w:val="12"/>
          <w14:ligatures w14:val="none"/>
        </w:rPr>
      </w:pPr>
    </w:p>
    <w:p w14:paraId="12B0631A" w14:textId="5DFDD518" w:rsidR="00A0753D" w:rsidRDefault="00DD2084" w:rsidP="00CB3C38">
      <w:pPr>
        <w:pStyle w:val="NoSpacing"/>
      </w:pPr>
      <w:r w:rsidRPr="00DD2084">
        <w:rPr>
          <w:b/>
          <w:bCs/>
          <w:smallCaps/>
        </w:rPr>
        <w:t>Policy</w:t>
      </w:r>
      <w:r w:rsidRPr="00DD2084">
        <w:br/>
      </w:r>
      <w:r w:rsidRPr="00DD2084">
        <w:rPr>
          <w:b/>
          <w:bCs/>
        </w:rPr>
        <w:t>Local Policy Required?</w:t>
      </w:r>
      <w:r w:rsidRPr="00DD2084">
        <w:t> .</w:t>
      </w:r>
      <w:r w:rsidR="00DC3EAD">
        <w:t xml:space="preserve"> Yes. L</w:t>
      </w:r>
      <w:r w:rsidR="00362730" w:rsidRPr="00362730">
        <w:t xml:space="preserve">ocal providers (Herein after “Providers”) </w:t>
      </w:r>
      <w:r w:rsidR="001A36F9" w:rsidRPr="001A36F9">
        <w:rPr>
          <w:u w:val="single"/>
        </w:rPr>
        <w:t>must</w:t>
      </w:r>
      <w:r w:rsidR="00362730" w:rsidRPr="00362730">
        <w:t xml:space="preserve"> have an updated and current policy on file that includes, at minimum, the information required by this policy.</w:t>
      </w:r>
      <w:r w:rsidR="005C0D8F">
        <w:t xml:space="preserve"> </w:t>
      </w:r>
      <w:r w:rsidR="005C0D8F" w:rsidRPr="005C0D8F">
        <w:t xml:space="preserve">Provider policies must be made available to </w:t>
      </w:r>
      <w:r w:rsidR="0014550F">
        <w:t>DEED</w:t>
      </w:r>
      <w:r w:rsidR="0014550F">
        <w:rPr>
          <w:rFonts w:cstheme="minorHAnsi"/>
        </w:rPr>
        <w:t xml:space="preserve"> </w:t>
      </w:r>
      <w:r w:rsidR="005C0D8F" w:rsidRPr="005C0D8F">
        <w:t xml:space="preserve">upon request, either in hard copy or electronic formats. </w:t>
      </w:r>
    </w:p>
    <w:p w14:paraId="23A9C7AF" w14:textId="77777777" w:rsidR="00CB3C38" w:rsidRPr="00CB3C38" w:rsidRDefault="00CB3C38" w:rsidP="00CB3C38">
      <w:pPr>
        <w:pStyle w:val="NoSpacing"/>
        <w:rPr>
          <w:sz w:val="12"/>
          <w:szCs w:val="12"/>
        </w:rPr>
      </w:pPr>
    </w:p>
    <w:p w14:paraId="64B5C7D2" w14:textId="2AFFC4CE" w:rsidR="00A0753D" w:rsidRDefault="00A0753D" w:rsidP="00A0753D">
      <w:pPr>
        <w:pStyle w:val="NoSpacing"/>
        <w:rPr>
          <w:rFonts w:cstheme="minorHAnsi"/>
        </w:rPr>
      </w:pPr>
      <w:r>
        <w:rPr>
          <w:rFonts w:cstheme="minorHAnsi"/>
        </w:rPr>
        <w:t>This policy covers the following Dislocated Worker and Federal Adult Program</w:t>
      </w:r>
      <w:r w:rsidR="00A50387">
        <w:rPr>
          <w:rFonts w:cstheme="minorHAnsi"/>
        </w:rPr>
        <w:t>s</w:t>
      </w:r>
      <w:r>
        <w:rPr>
          <w:rFonts w:cstheme="minorHAnsi"/>
        </w:rPr>
        <w:t>:</w:t>
      </w:r>
    </w:p>
    <w:p w14:paraId="2CBFAA3E" w14:textId="77777777" w:rsidR="00A0753D" w:rsidRDefault="00A0753D" w:rsidP="00A0753D">
      <w:pPr>
        <w:pStyle w:val="NoSpacing"/>
        <w:numPr>
          <w:ilvl w:val="0"/>
          <w:numId w:val="11"/>
        </w:numPr>
      </w:pPr>
      <w:r>
        <w:t>WIOA Adult Program,</w:t>
      </w:r>
    </w:p>
    <w:p w14:paraId="4FF2D607" w14:textId="77777777" w:rsidR="00A0753D" w:rsidRDefault="00A0753D" w:rsidP="00A0753D">
      <w:pPr>
        <w:pStyle w:val="NoSpacing"/>
        <w:numPr>
          <w:ilvl w:val="0"/>
          <w:numId w:val="11"/>
        </w:numPr>
      </w:pPr>
      <w:r>
        <w:t xml:space="preserve">WIOA Dislocated Worker Program, </w:t>
      </w:r>
    </w:p>
    <w:p w14:paraId="3209ABA7" w14:textId="77777777" w:rsidR="00A0753D" w:rsidRDefault="00A0753D" w:rsidP="00A0753D">
      <w:pPr>
        <w:pStyle w:val="NoSpacing"/>
        <w:numPr>
          <w:ilvl w:val="0"/>
          <w:numId w:val="11"/>
        </w:numPr>
      </w:pPr>
      <w:r>
        <w:t>State Dislocated Worker Program,</w:t>
      </w:r>
    </w:p>
    <w:p w14:paraId="380AE8BB" w14:textId="77777777" w:rsidR="00A0753D" w:rsidRDefault="00A0753D" w:rsidP="00A0753D">
      <w:pPr>
        <w:pStyle w:val="NoSpacing"/>
        <w:numPr>
          <w:ilvl w:val="0"/>
          <w:numId w:val="11"/>
        </w:numPr>
      </w:pPr>
      <w:r w:rsidRPr="00565B6B">
        <w:rPr>
          <w:rFonts w:cstheme="minorHAnsi"/>
        </w:rPr>
        <w:t xml:space="preserve">National </w:t>
      </w:r>
      <w:r>
        <w:rPr>
          <w:rFonts w:cstheme="minorHAnsi"/>
        </w:rPr>
        <w:t xml:space="preserve">Dislocated Worker </w:t>
      </w:r>
      <w:r w:rsidRPr="00565B6B">
        <w:rPr>
          <w:rFonts w:cstheme="minorHAnsi"/>
        </w:rPr>
        <w:t>Grant</w:t>
      </w:r>
      <w:r>
        <w:rPr>
          <w:rFonts w:cstheme="minorHAnsi"/>
        </w:rPr>
        <w:t>s</w:t>
      </w:r>
      <w:r w:rsidRPr="00565B6B">
        <w:rPr>
          <w:rFonts w:cstheme="minorHAnsi"/>
        </w:rPr>
        <w:t xml:space="preserve"> </w:t>
      </w:r>
      <w:r>
        <w:rPr>
          <w:rFonts w:cstheme="minorHAnsi"/>
        </w:rPr>
        <w:t>(DWGs)</w:t>
      </w:r>
      <w:r>
        <w:t xml:space="preserve">, and, </w:t>
      </w:r>
    </w:p>
    <w:p w14:paraId="158F1737" w14:textId="6DE4DBA6" w:rsidR="00A0753D" w:rsidRDefault="00A0753D" w:rsidP="00A0753D">
      <w:pPr>
        <w:pStyle w:val="NoSpacing"/>
        <w:numPr>
          <w:ilvl w:val="0"/>
          <w:numId w:val="11"/>
        </w:numPr>
      </w:pPr>
      <w:r>
        <w:t xml:space="preserve">Certain special programs </w:t>
      </w:r>
      <w:r w:rsidR="00E44759">
        <w:t xml:space="preserve">as applicable. </w:t>
      </w:r>
      <w:r>
        <w:t xml:space="preserve"> </w:t>
      </w:r>
    </w:p>
    <w:p w14:paraId="47EA067E" w14:textId="77777777" w:rsidR="00CB3C38" w:rsidRPr="00CB3C38" w:rsidRDefault="00CB3C38" w:rsidP="00CB3C38">
      <w:pPr>
        <w:pStyle w:val="NoSpacing"/>
        <w:rPr>
          <w:sz w:val="12"/>
          <w:szCs w:val="12"/>
        </w:rPr>
      </w:pPr>
    </w:p>
    <w:p w14:paraId="3A600BB3" w14:textId="3FC61895" w:rsidR="00CB3C38" w:rsidRDefault="002309E2" w:rsidP="00CB3C38">
      <w:pPr>
        <w:pStyle w:val="NoSpacing"/>
      </w:pPr>
      <w:r w:rsidRPr="00A961E7">
        <w:rPr>
          <w:b/>
          <w:bCs/>
          <w:shd w:val="clear" w:color="auto" w:fill="FFFFFF"/>
        </w:rPr>
        <w:t>Note:</w:t>
      </w:r>
      <w:r w:rsidRPr="00A961E7">
        <w:rPr>
          <w:shd w:val="clear" w:color="auto" w:fill="FFFFFF"/>
        </w:rPr>
        <w:t xml:space="preserve"> Terms that are </w:t>
      </w:r>
      <w:r w:rsidRPr="00A961E7">
        <w:rPr>
          <w:i/>
          <w:iCs/>
          <w:shd w:val="clear" w:color="auto" w:fill="FFFFFF"/>
        </w:rPr>
        <w:t xml:space="preserve">Italicized </w:t>
      </w:r>
      <w:r w:rsidRPr="00A961E7">
        <w:rPr>
          <w:shd w:val="clear" w:color="auto" w:fill="FFFFFF"/>
        </w:rPr>
        <w:t xml:space="preserve">are also defined within the “Dislocated Worker and Federal Adult Programs (DWFAP) </w:t>
      </w:r>
      <w:r>
        <w:rPr>
          <w:shd w:val="clear" w:color="auto" w:fill="FFFFFF"/>
        </w:rPr>
        <w:t xml:space="preserve">Terms and </w:t>
      </w:r>
      <w:r w:rsidRPr="00A961E7">
        <w:rPr>
          <w:shd w:val="clear" w:color="auto" w:fill="FFFFFF"/>
        </w:rPr>
        <w:t xml:space="preserve">Definitions” document in the </w:t>
      </w:r>
      <w:r>
        <w:t xml:space="preserve">“Related Links” at the bottom of this policy. </w:t>
      </w:r>
    </w:p>
    <w:p w14:paraId="6CF28DB6" w14:textId="77777777" w:rsidR="00A50387" w:rsidRPr="007F1523" w:rsidRDefault="00A50387" w:rsidP="00CB3C38">
      <w:pPr>
        <w:pStyle w:val="NoSpacing"/>
        <w:rPr>
          <w:sz w:val="12"/>
          <w:szCs w:val="12"/>
        </w:rPr>
      </w:pPr>
    </w:p>
    <w:p w14:paraId="5C10CDA3" w14:textId="77777777" w:rsidR="001F7419" w:rsidRPr="001F7419" w:rsidRDefault="00713E07" w:rsidP="001F7419">
      <w:pPr>
        <w:pStyle w:val="NoSpacing"/>
        <w:rPr>
          <w:b/>
          <w:bCs/>
        </w:rPr>
      </w:pPr>
      <w:r w:rsidRPr="001F7419">
        <w:rPr>
          <w:b/>
          <w:bCs/>
        </w:rPr>
        <w:t xml:space="preserve">Incumbent </w:t>
      </w:r>
      <w:r w:rsidR="008D652B" w:rsidRPr="001F7419">
        <w:rPr>
          <w:b/>
          <w:bCs/>
        </w:rPr>
        <w:t>W</w:t>
      </w:r>
      <w:r w:rsidRPr="001F7419">
        <w:rPr>
          <w:b/>
          <w:bCs/>
        </w:rPr>
        <w:t>orker Training</w:t>
      </w:r>
      <w:r w:rsidR="008D652B" w:rsidRPr="001F7419">
        <w:rPr>
          <w:b/>
          <w:bCs/>
        </w:rPr>
        <w:t xml:space="preserve"> Overview</w:t>
      </w:r>
    </w:p>
    <w:p w14:paraId="22ABDC4A" w14:textId="269C2E04" w:rsidR="001F7419" w:rsidRDefault="001F7419" w:rsidP="001F7419">
      <w:pPr>
        <w:pStyle w:val="NoSpacing"/>
      </w:pPr>
      <w:r>
        <w:t xml:space="preserve">Incumbent </w:t>
      </w:r>
      <w:r>
        <w:rPr>
          <w:rFonts w:eastAsia="Times New Roman" w:cstheme="minorHAnsi"/>
          <w14:ligatures w14:val="none"/>
        </w:rPr>
        <w:t>Worker Training (IWT)</w:t>
      </w:r>
      <w:r w:rsidR="00C44392">
        <w:rPr>
          <w:rFonts w:eastAsia="Times New Roman" w:cstheme="minorHAnsi"/>
          <w14:ligatures w14:val="none"/>
        </w:rPr>
        <w:t xml:space="preserve"> is a type of training service </w:t>
      </w:r>
      <w:r>
        <w:rPr>
          <w:rFonts w:eastAsia="Times New Roman" w:cstheme="minorHAnsi"/>
          <w14:ligatures w14:val="none"/>
        </w:rPr>
        <w:t>for</w:t>
      </w:r>
      <w:r w:rsidR="00F5486F">
        <w:rPr>
          <w:rFonts w:eastAsia="Times New Roman" w:cstheme="minorHAnsi"/>
          <w14:ligatures w14:val="none"/>
        </w:rPr>
        <w:t xml:space="preserve"> currently employed workers</w:t>
      </w:r>
      <w:r w:rsidR="0014550F" w:rsidRPr="003641E7">
        <w:rPr>
          <w:rFonts w:eastAsia="Times New Roman" w:cstheme="minorHAnsi"/>
          <w14:ligatures w14:val="none"/>
        </w:rPr>
        <w:t xml:space="preserve">. </w:t>
      </w:r>
      <w:r w:rsidR="00F5486F">
        <w:rPr>
          <w:rFonts w:eastAsia="Times New Roman" w:cstheme="minorHAnsi"/>
          <w14:ligatures w14:val="none"/>
        </w:rPr>
        <w:t xml:space="preserve">IWT is </w:t>
      </w:r>
      <w:r w:rsidR="00F5486F">
        <w:t>designed</w:t>
      </w:r>
      <w:r w:rsidR="00F5486F" w:rsidRPr="002C6328">
        <w:t xml:space="preserve"> to increase the competitiveness </w:t>
      </w:r>
      <w:r w:rsidR="00B7350F">
        <w:t xml:space="preserve">of both </w:t>
      </w:r>
      <w:r w:rsidR="00F5486F" w:rsidRPr="002C6328">
        <w:t xml:space="preserve">businesses and </w:t>
      </w:r>
      <w:r w:rsidR="0014550F">
        <w:t>employees</w:t>
      </w:r>
      <w:r w:rsidR="00F5486F" w:rsidRPr="002C6328">
        <w:t xml:space="preserve"> by ensuring </w:t>
      </w:r>
      <w:r w:rsidR="00963AAD">
        <w:t>workers</w:t>
      </w:r>
      <w:r w:rsidR="00F5486F" w:rsidRPr="002C6328">
        <w:t xml:space="preserve"> acquire the skills necessary to retain employment</w:t>
      </w:r>
      <w:r w:rsidR="00B7350F">
        <w:t xml:space="preserve"> and a</w:t>
      </w:r>
      <w:r w:rsidR="00F5486F" w:rsidRPr="002C6328">
        <w:t>dvance within the business</w:t>
      </w:r>
      <w:r w:rsidR="00963AAD">
        <w:t>.</w:t>
      </w:r>
      <w:r w:rsidR="00347AA1">
        <w:rPr>
          <w:rStyle w:val="FootnoteReference"/>
          <w:kern w:val="0"/>
        </w:rPr>
        <w:footnoteReference w:id="1"/>
      </w:r>
      <w:r w:rsidR="007A60B5">
        <w:t xml:space="preserve"> </w:t>
      </w:r>
      <w:r>
        <w:t>IWT eligibility is determined at the employer level by providers per local policy.</w:t>
      </w:r>
    </w:p>
    <w:p w14:paraId="293816CF" w14:textId="77777777" w:rsidR="000B52F6" w:rsidRPr="000B52F6" w:rsidRDefault="000B52F6" w:rsidP="001F7419">
      <w:pPr>
        <w:pStyle w:val="NoSpacing"/>
        <w:rPr>
          <w:sz w:val="12"/>
          <w:szCs w:val="12"/>
        </w:rPr>
      </w:pPr>
    </w:p>
    <w:p w14:paraId="2B7F6465" w14:textId="27E21C52" w:rsidR="000B52F6" w:rsidRPr="000B52F6" w:rsidRDefault="000B52F6" w:rsidP="001F7419">
      <w:pPr>
        <w:pStyle w:val="NoSpacing"/>
        <w:rPr>
          <w:rFonts w:eastAsia="Times New Roman" w:cstheme="minorHAnsi"/>
          <w14:ligatures w14:val="none"/>
        </w:rPr>
      </w:pPr>
      <w:r>
        <w:t>IWT can</w:t>
      </w:r>
      <w:r w:rsidR="00FE2B86">
        <w:t xml:space="preserve"> also</w:t>
      </w:r>
      <w:r>
        <w:t xml:space="preserve"> be useful for </w:t>
      </w:r>
      <w:r w:rsidRPr="001F7419">
        <w:rPr>
          <w:i/>
          <w:iCs/>
        </w:rPr>
        <w:t>Underemployed</w:t>
      </w:r>
      <w:r>
        <w:t xml:space="preserve"> workers. </w:t>
      </w:r>
      <w:r w:rsidRPr="002C6328">
        <w:t xml:space="preserve">An ideal IWT allows a participant to acquire new skills to move into a higher skilled and higher paid job within the business, thus allowing the organization </w:t>
      </w:r>
      <w:r w:rsidRPr="002C6328">
        <w:lastRenderedPageBreak/>
        <w:t>to hire a job seeker to backfill the incumbent worker’s position.</w:t>
      </w:r>
      <w:r>
        <w:t xml:space="preserve"> IWT is also a vital </w:t>
      </w:r>
      <w:r w:rsidRPr="00B835F9">
        <w:t>layoff aversion strategy</w:t>
      </w:r>
      <w:r>
        <w:t xml:space="preserve"> when used to upskill and re-skill workers to </w:t>
      </w:r>
      <w:r w:rsidRPr="002C6328">
        <w:t>retain employment</w:t>
      </w:r>
      <w:r>
        <w:t>.</w:t>
      </w:r>
      <w:r>
        <w:rPr>
          <w:rStyle w:val="FootnoteReference"/>
          <w:kern w:val="0"/>
        </w:rPr>
        <w:footnoteReference w:id="2"/>
      </w:r>
      <w:r>
        <w:t xml:space="preserve"> </w:t>
      </w:r>
    </w:p>
    <w:p w14:paraId="1A4B1DE3" w14:textId="77777777" w:rsidR="001F7419" w:rsidRPr="001F7419" w:rsidRDefault="001F7419" w:rsidP="001F7419">
      <w:pPr>
        <w:pStyle w:val="NoSpacing"/>
        <w:rPr>
          <w:sz w:val="12"/>
          <w:szCs w:val="12"/>
        </w:rPr>
      </w:pPr>
    </w:p>
    <w:p w14:paraId="1D1BC102" w14:textId="2792BA4E" w:rsidR="001F7419" w:rsidRDefault="001F7419" w:rsidP="001F7419">
      <w:r w:rsidRPr="00415F4C">
        <w:t xml:space="preserve">All </w:t>
      </w:r>
      <w:r>
        <w:t>IWT proposals received by providers must meet the following three requirements:</w:t>
      </w:r>
    </w:p>
    <w:p w14:paraId="4CC81A94" w14:textId="5AB4105C" w:rsidR="001F7419" w:rsidRDefault="001F7419" w:rsidP="001F7419">
      <w:pPr>
        <w:pStyle w:val="ListParagraph"/>
        <w:numPr>
          <w:ilvl w:val="0"/>
          <w:numId w:val="13"/>
        </w:numPr>
        <w:spacing w:line="278" w:lineRule="auto"/>
      </w:pPr>
      <w:r w:rsidRPr="001F7419">
        <w:rPr>
          <w:b/>
          <w:bCs/>
        </w:rPr>
        <w:t>Business Eligibility</w:t>
      </w:r>
      <w:r>
        <w:t>: Employer(s) must be eligible to receive and provide IWT, and,</w:t>
      </w:r>
    </w:p>
    <w:p w14:paraId="33B08A17" w14:textId="48C114CA" w:rsidR="001F7419" w:rsidRDefault="001F7419" w:rsidP="001F7419">
      <w:pPr>
        <w:pStyle w:val="ListParagraph"/>
        <w:numPr>
          <w:ilvl w:val="0"/>
          <w:numId w:val="13"/>
        </w:numPr>
        <w:spacing w:line="278" w:lineRule="auto"/>
      </w:pPr>
      <w:r w:rsidRPr="001F7419">
        <w:rPr>
          <w:b/>
          <w:bCs/>
        </w:rPr>
        <w:t>Training Eligibility</w:t>
      </w:r>
      <w:r>
        <w:t xml:space="preserve">: The training itself must be appropriate for </w:t>
      </w:r>
      <w:r>
        <w:rPr>
          <w:rFonts w:eastAsia="Times New Roman" w:cstheme="minorHAnsi"/>
          <w14:ligatures w14:val="none"/>
        </w:rPr>
        <w:t>incumbent workers</w:t>
      </w:r>
      <w:r>
        <w:t xml:space="preserve">, and, </w:t>
      </w:r>
    </w:p>
    <w:p w14:paraId="16956D87" w14:textId="6344250C" w:rsidR="00142B77" w:rsidRPr="006217BF" w:rsidRDefault="001F7419" w:rsidP="00142B77">
      <w:pPr>
        <w:pStyle w:val="ListParagraph"/>
        <w:numPr>
          <w:ilvl w:val="0"/>
          <w:numId w:val="13"/>
        </w:numPr>
        <w:spacing w:line="278" w:lineRule="auto"/>
      </w:pPr>
      <w:r w:rsidRPr="001F7419">
        <w:rPr>
          <w:b/>
          <w:bCs/>
        </w:rPr>
        <w:t>Incumbent Worker Eligibility:</w:t>
      </w:r>
      <w:r>
        <w:t xml:space="preserve"> The incumbent worker(s) must be eligible to receive IWT.</w:t>
      </w:r>
    </w:p>
    <w:p w14:paraId="7CA6F7BB" w14:textId="7C6C4C0A" w:rsidR="008D652B" w:rsidRPr="00142B77" w:rsidRDefault="001C22DE" w:rsidP="00142B77">
      <w:pPr>
        <w:pStyle w:val="NoSpacing"/>
        <w:rPr>
          <w:b/>
          <w:bCs/>
          <w:u w:val="single"/>
        </w:rPr>
      </w:pPr>
      <w:r w:rsidRPr="006217BF">
        <w:rPr>
          <w:b/>
          <w:bCs/>
          <w:u w:val="single"/>
        </w:rPr>
        <w:t>Business</w:t>
      </w:r>
      <w:r w:rsidR="001E7F45" w:rsidRPr="00142B77">
        <w:rPr>
          <w:b/>
          <w:bCs/>
          <w:u w:val="single"/>
        </w:rPr>
        <w:t xml:space="preserve"> Eligibility</w:t>
      </w:r>
    </w:p>
    <w:p w14:paraId="1311F49E" w14:textId="7385AE84" w:rsidR="001C22DE" w:rsidRDefault="00142B77" w:rsidP="00142B77">
      <w:pPr>
        <w:pStyle w:val="NoSpacing"/>
      </w:pPr>
      <w:r>
        <w:t xml:space="preserve">Providers must ensure that all </w:t>
      </w:r>
      <w:r w:rsidR="001C22DE">
        <w:t>IWT employers</w:t>
      </w:r>
      <w:r w:rsidR="00835049">
        <w:t xml:space="preserve"> are f</w:t>
      </w:r>
      <w:r w:rsidR="00835049" w:rsidRPr="00835049">
        <w:t>inancially viable</w:t>
      </w:r>
      <w:r w:rsidR="00835049">
        <w:t xml:space="preserve"> and</w:t>
      </w:r>
      <w:r>
        <w:t>:</w:t>
      </w:r>
    </w:p>
    <w:p w14:paraId="4C7A304B" w14:textId="77777777" w:rsidR="00F93426" w:rsidRDefault="001C22DE" w:rsidP="00F93426">
      <w:pPr>
        <w:pStyle w:val="NoSpacing"/>
        <w:numPr>
          <w:ilvl w:val="0"/>
          <w:numId w:val="20"/>
        </w:numPr>
      </w:pPr>
      <w:r>
        <w:t>H</w:t>
      </w:r>
      <w:r w:rsidRPr="001C22DE">
        <w:t xml:space="preserve">ave been in </w:t>
      </w:r>
      <w:r w:rsidR="00142B77">
        <w:t>business</w:t>
      </w:r>
      <w:r w:rsidRPr="001C22DE">
        <w:t xml:space="preserve"> for at least one year</w:t>
      </w:r>
      <w:r w:rsidR="00142B77">
        <w:t>,</w:t>
      </w:r>
    </w:p>
    <w:p w14:paraId="0311C972" w14:textId="77777777" w:rsidR="00F93426" w:rsidRDefault="001C22DE" w:rsidP="00F93426">
      <w:pPr>
        <w:pStyle w:val="NoSpacing"/>
        <w:numPr>
          <w:ilvl w:val="0"/>
          <w:numId w:val="20"/>
        </w:numPr>
      </w:pPr>
      <w:r>
        <w:t>N</w:t>
      </w:r>
      <w:r w:rsidRPr="001C22DE">
        <w:t xml:space="preserve">ot </w:t>
      </w:r>
      <w:r w:rsidR="00961CE5">
        <w:t>currently be in</w:t>
      </w:r>
      <w:r w:rsidR="00961CE5" w:rsidRPr="001C22DE">
        <w:t xml:space="preserve"> bankruptcy </w:t>
      </w:r>
      <w:r w:rsidRPr="001C22DE">
        <w:t xml:space="preserve">or </w:t>
      </w:r>
      <w:r w:rsidR="00961CE5">
        <w:t>experienced</w:t>
      </w:r>
      <w:r w:rsidR="00961CE5" w:rsidRPr="001C22DE">
        <w:t xml:space="preserve"> bankruptcy</w:t>
      </w:r>
      <w:r w:rsidR="00961CE5">
        <w:t xml:space="preserve"> </w:t>
      </w:r>
      <w:r>
        <w:t xml:space="preserve">within </w:t>
      </w:r>
      <w:r w:rsidR="00142B77">
        <w:t>the past</w:t>
      </w:r>
      <w:r>
        <w:t xml:space="preserve"> year,</w:t>
      </w:r>
    </w:p>
    <w:p w14:paraId="6BC63646" w14:textId="77777777" w:rsidR="00F93426" w:rsidRDefault="001C22DE" w:rsidP="00F93426">
      <w:pPr>
        <w:pStyle w:val="NoSpacing"/>
        <w:numPr>
          <w:ilvl w:val="0"/>
          <w:numId w:val="20"/>
        </w:numPr>
      </w:pPr>
      <w:r>
        <w:t>B</w:t>
      </w:r>
      <w:r w:rsidRPr="001C22DE">
        <w:t>e current on all</w:t>
      </w:r>
      <w:r w:rsidR="00961CE5">
        <w:t xml:space="preserve"> their</w:t>
      </w:r>
      <w:r w:rsidRPr="001C22DE">
        <w:t xml:space="preserve"> local, state and federal tax obligations, and</w:t>
      </w:r>
      <w:r>
        <w:t>,</w:t>
      </w:r>
    </w:p>
    <w:p w14:paraId="69EB111A" w14:textId="1F647416" w:rsidR="001C22DE" w:rsidRDefault="001C22DE" w:rsidP="00F93426">
      <w:pPr>
        <w:pStyle w:val="NoSpacing"/>
        <w:numPr>
          <w:ilvl w:val="0"/>
          <w:numId w:val="20"/>
        </w:numPr>
      </w:pPr>
      <w:r>
        <w:t>N</w:t>
      </w:r>
      <w:r w:rsidRPr="001C22DE">
        <w:t xml:space="preserve">ot appear on any </w:t>
      </w:r>
      <w:r>
        <w:t>F</w:t>
      </w:r>
      <w:r w:rsidRPr="001C22DE">
        <w:t>ederal suspensions or debarment lists</w:t>
      </w:r>
      <w:r w:rsidR="00961CE5">
        <w:t>.</w:t>
      </w:r>
    </w:p>
    <w:p w14:paraId="2A27D0BA" w14:textId="77777777" w:rsidR="00F93426" w:rsidRPr="00F93426" w:rsidRDefault="00F93426" w:rsidP="00F93426">
      <w:pPr>
        <w:pStyle w:val="NoSpacing"/>
        <w:rPr>
          <w:sz w:val="12"/>
          <w:szCs w:val="12"/>
        </w:rPr>
      </w:pPr>
    </w:p>
    <w:p w14:paraId="7F8856DF" w14:textId="5AD47FC2" w:rsidR="00F93426" w:rsidRDefault="005A2312" w:rsidP="00F93426">
      <w:pPr>
        <w:pStyle w:val="NoSpacing"/>
      </w:pPr>
      <w:r>
        <w:t xml:space="preserve">Employers may be from the private (for-profit), </w:t>
      </w:r>
      <w:r w:rsidR="00FE2B86">
        <w:t xml:space="preserve">certain </w:t>
      </w:r>
      <w:r w:rsidRPr="00835049">
        <w:t xml:space="preserve">non-profit </w:t>
      </w:r>
      <w:r>
        <w:t>or</w:t>
      </w:r>
      <w:r w:rsidRPr="00835049">
        <w:t xml:space="preserve"> local</w:t>
      </w:r>
      <w:r>
        <w:t xml:space="preserve"> </w:t>
      </w:r>
      <w:r w:rsidRPr="00835049">
        <w:t xml:space="preserve">government </w:t>
      </w:r>
      <w:r>
        <w:t>sectors.</w:t>
      </w:r>
      <w:r w:rsidRPr="00835049">
        <w:t xml:space="preserve"> </w:t>
      </w:r>
      <w:r w:rsidR="00835049">
        <w:t>DEED encourages</w:t>
      </w:r>
      <w:r w:rsidR="00835049" w:rsidRPr="00835049">
        <w:t xml:space="preserve"> </w:t>
      </w:r>
      <w:r>
        <w:t xml:space="preserve">providers </w:t>
      </w:r>
      <w:r w:rsidR="00FE2B86">
        <w:t xml:space="preserve">to </w:t>
      </w:r>
      <w:r w:rsidR="00835049">
        <w:t>prioritize</w:t>
      </w:r>
      <w:r>
        <w:t xml:space="preserve"> IWT</w:t>
      </w:r>
      <w:r w:rsidR="00835049" w:rsidRPr="00835049">
        <w:t xml:space="preserve"> </w:t>
      </w:r>
      <w:r>
        <w:t>for</w:t>
      </w:r>
      <w:r w:rsidR="00835049" w:rsidRPr="00835049">
        <w:t xml:space="preserve"> private sector employers; however, there </w:t>
      </w:r>
      <w:r>
        <w:t>are</w:t>
      </w:r>
      <w:r w:rsidR="00835049" w:rsidRPr="00835049">
        <w:t xml:space="preserve"> instances where </w:t>
      </w:r>
      <w:r>
        <w:t xml:space="preserve">IWT for </w:t>
      </w:r>
      <w:r w:rsidR="00835049" w:rsidRPr="00835049">
        <w:t xml:space="preserve">non-profit </w:t>
      </w:r>
      <w:r>
        <w:t>or</w:t>
      </w:r>
      <w:r w:rsidR="00835049" w:rsidRPr="00835049">
        <w:t xml:space="preserve"> local government </w:t>
      </w:r>
      <w:r w:rsidRPr="00835049">
        <w:t xml:space="preserve">employers </w:t>
      </w:r>
      <w:r w:rsidR="00835049" w:rsidRPr="00835049">
        <w:t xml:space="preserve">may be </w:t>
      </w:r>
      <w:r>
        <w:t>appropriate</w:t>
      </w:r>
      <w:r w:rsidR="00835049" w:rsidRPr="00835049">
        <w:t>.</w:t>
      </w:r>
      <w:r w:rsidR="00835049">
        <w:rPr>
          <w:rStyle w:val="FootnoteReference"/>
          <w:rFonts w:eastAsia="Times New Roman" w:cstheme="minorHAnsi"/>
          <w:kern w:val="0"/>
          <w14:ligatures w14:val="none"/>
        </w:rPr>
        <w:footnoteReference w:id="3"/>
      </w:r>
    </w:p>
    <w:p w14:paraId="2E06A8BB" w14:textId="77777777" w:rsidR="00F93426" w:rsidRPr="00F93426" w:rsidRDefault="00F93426" w:rsidP="00F93426">
      <w:pPr>
        <w:pStyle w:val="NoSpacing"/>
        <w:rPr>
          <w:sz w:val="12"/>
          <w:szCs w:val="12"/>
        </w:rPr>
      </w:pPr>
    </w:p>
    <w:p w14:paraId="7052CCAC" w14:textId="28496D54" w:rsidR="00F93426" w:rsidRPr="00F93426" w:rsidRDefault="00F93426" w:rsidP="00F93426">
      <w:pPr>
        <w:pStyle w:val="NoSpacing"/>
        <w:rPr>
          <w:sz w:val="12"/>
          <w:szCs w:val="12"/>
        </w:rPr>
      </w:pPr>
      <w:r>
        <w:rPr>
          <w:u w:val="single"/>
        </w:rPr>
        <w:t xml:space="preserve">Employer </w:t>
      </w:r>
      <w:r w:rsidRPr="00F93426">
        <w:rPr>
          <w:u w:val="single"/>
        </w:rPr>
        <w:t>Cost Sharing Requirements</w:t>
      </w:r>
      <w:r w:rsidRPr="00DD2084">
        <w:br/>
      </w:r>
      <w:r w:rsidRPr="00DD2084">
        <w:rPr>
          <w:shd w:val="clear" w:color="auto" w:fill="FFFFFF"/>
        </w:rPr>
        <w:t xml:space="preserve">Employers participating in IWT </w:t>
      </w:r>
      <w:r>
        <w:rPr>
          <w:shd w:val="clear" w:color="auto" w:fill="FFFFFF"/>
        </w:rPr>
        <w:t>must</w:t>
      </w:r>
      <w:r w:rsidRPr="00DD2084">
        <w:rPr>
          <w:shd w:val="clear" w:color="auto" w:fill="FFFFFF"/>
        </w:rPr>
        <w:t xml:space="preserve"> pay the entire non-</w:t>
      </w:r>
      <w:r>
        <w:rPr>
          <w:shd w:val="clear" w:color="auto" w:fill="FFFFFF"/>
        </w:rPr>
        <w:t>F</w:t>
      </w:r>
      <w:r w:rsidRPr="00DD2084">
        <w:rPr>
          <w:shd w:val="clear" w:color="auto" w:fill="FFFFFF"/>
        </w:rPr>
        <w:t xml:space="preserve">ederal share of the cost of the training for their </w:t>
      </w:r>
      <w:r>
        <w:rPr>
          <w:rFonts w:eastAsia="Times New Roman" w:cstheme="minorHAnsi"/>
          <w14:ligatures w14:val="none"/>
        </w:rPr>
        <w:t>incumbent workers</w:t>
      </w:r>
      <w:r w:rsidRPr="00DD2084">
        <w:rPr>
          <w:shd w:val="clear" w:color="auto" w:fill="FFFFFF"/>
        </w:rPr>
        <w:t>.</w:t>
      </w:r>
      <w:r>
        <w:rPr>
          <w:rStyle w:val="FootnoteReference"/>
          <w:rFonts w:eastAsia="Times New Roman" w:cstheme="minorHAnsi"/>
          <w:kern w:val="0"/>
          <w:shd w:val="clear" w:color="auto" w:fill="FFFFFF"/>
          <w14:ligatures w14:val="none"/>
        </w:rPr>
        <w:footnoteReference w:id="4"/>
      </w:r>
      <w:r w:rsidRPr="00DD2084">
        <w:rPr>
          <w:shd w:val="clear" w:color="auto" w:fill="FFFFFF"/>
        </w:rPr>
        <w:t xml:space="preserve"> This amount can be paid either through cash payments or fairly evaluated in-kind contributions, including the wages the employer pays to the </w:t>
      </w:r>
      <w:r>
        <w:rPr>
          <w:rFonts w:eastAsia="Times New Roman" w:cstheme="minorHAnsi"/>
          <w14:ligatures w14:val="none"/>
        </w:rPr>
        <w:t>incumbent workers</w:t>
      </w:r>
      <w:r w:rsidRPr="00DD2084">
        <w:rPr>
          <w:shd w:val="clear" w:color="auto" w:fill="FFFFFF"/>
        </w:rPr>
        <w:t xml:space="preserve"> while attending training.</w:t>
      </w:r>
      <w:r>
        <w:rPr>
          <w:rStyle w:val="FootnoteReference"/>
          <w:rFonts w:eastAsia="Times New Roman" w:cstheme="minorHAnsi"/>
          <w:kern w:val="0"/>
          <w:shd w:val="clear" w:color="auto" w:fill="FFFFFF"/>
          <w14:ligatures w14:val="none"/>
        </w:rPr>
        <w:footnoteReference w:id="5"/>
      </w:r>
      <w:r w:rsidRPr="00DD2084">
        <w:rPr>
          <w:shd w:val="clear" w:color="auto" w:fill="FFFFFF"/>
        </w:rPr>
        <w:t xml:space="preserve"> The minimum amount </w:t>
      </w:r>
      <w:r w:rsidR="00FE2B86">
        <w:rPr>
          <w:shd w:val="clear" w:color="auto" w:fill="FFFFFF"/>
        </w:rPr>
        <w:t xml:space="preserve">of </w:t>
      </w:r>
      <w:r w:rsidRPr="00DD2084">
        <w:rPr>
          <w:shd w:val="clear" w:color="auto" w:fill="FFFFFF"/>
        </w:rPr>
        <w:t>employer</w:t>
      </w:r>
      <w:r w:rsidR="00FE2B86">
        <w:rPr>
          <w:shd w:val="clear" w:color="auto" w:fill="FFFFFF"/>
        </w:rPr>
        <w:t xml:space="preserve"> share</w:t>
      </w:r>
      <w:r>
        <w:rPr>
          <w:shd w:val="clear" w:color="auto" w:fill="FFFFFF"/>
        </w:rPr>
        <w:t xml:space="preserve"> </w:t>
      </w:r>
      <w:r w:rsidRPr="00DD2084">
        <w:rPr>
          <w:shd w:val="clear" w:color="auto" w:fill="FFFFFF"/>
        </w:rPr>
        <w:t>depends on the size of the employer</w:t>
      </w:r>
      <w:r>
        <w:rPr>
          <w:shd w:val="clear" w:color="auto" w:fill="FFFFFF"/>
        </w:rPr>
        <w:t>(s)</w:t>
      </w:r>
      <w:r w:rsidRPr="00DD2084">
        <w:rPr>
          <w:shd w:val="clear" w:color="auto" w:fill="FFFFFF"/>
        </w:rPr>
        <w:t xml:space="preserve"> and cannot be less than:</w:t>
      </w:r>
      <w:r>
        <w:rPr>
          <w:rStyle w:val="FootnoteReference"/>
          <w:rFonts w:eastAsia="Times New Roman" w:cstheme="minorHAnsi"/>
          <w:kern w:val="0"/>
          <w:shd w:val="clear" w:color="auto" w:fill="FFFFFF"/>
          <w14:ligatures w14:val="none"/>
        </w:rPr>
        <w:footnoteReference w:id="6"/>
      </w:r>
      <w:r w:rsidRPr="00DD2084">
        <w:br/>
      </w:r>
    </w:p>
    <w:p w14:paraId="3382DB58" w14:textId="77777777" w:rsidR="00F93426" w:rsidRPr="00DD2084" w:rsidRDefault="00F93426" w:rsidP="00F93426">
      <w:pPr>
        <w:numPr>
          <w:ilvl w:val="0"/>
          <w:numId w:val="5"/>
        </w:numPr>
        <w:spacing w:after="75" w:line="270" w:lineRule="atLeast"/>
        <w:rPr>
          <w:rFonts w:eastAsia="Times New Roman" w:cstheme="minorHAnsi"/>
          <w:kern w:val="0"/>
          <w14:ligatures w14:val="none"/>
        </w:rPr>
      </w:pPr>
      <w:r w:rsidRPr="00DD2084">
        <w:rPr>
          <w:rFonts w:eastAsia="Times New Roman" w:cstheme="minorHAnsi"/>
          <w:kern w:val="0"/>
          <w14:ligatures w14:val="none"/>
        </w:rPr>
        <w:t>10% of the cost for employers with 50 or fewer employees</w:t>
      </w:r>
      <w:r>
        <w:rPr>
          <w:rFonts w:eastAsia="Times New Roman" w:cstheme="minorHAnsi"/>
          <w:kern w:val="0"/>
          <w14:ligatures w14:val="none"/>
        </w:rPr>
        <w:t>,</w:t>
      </w:r>
    </w:p>
    <w:p w14:paraId="3E25985C" w14:textId="77777777" w:rsidR="00F93426" w:rsidRPr="00DD2084" w:rsidRDefault="00F93426" w:rsidP="00F93426">
      <w:pPr>
        <w:numPr>
          <w:ilvl w:val="0"/>
          <w:numId w:val="5"/>
        </w:numPr>
        <w:spacing w:after="75" w:line="270" w:lineRule="atLeast"/>
        <w:rPr>
          <w:rFonts w:eastAsia="Times New Roman" w:cstheme="minorHAnsi"/>
          <w:kern w:val="0"/>
          <w14:ligatures w14:val="none"/>
        </w:rPr>
      </w:pPr>
      <w:r w:rsidRPr="00DD2084">
        <w:rPr>
          <w:rFonts w:eastAsia="Times New Roman" w:cstheme="minorHAnsi"/>
          <w:kern w:val="0"/>
          <w14:ligatures w14:val="none"/>
        </w:rPr>
        <w:t>25% of the cost for employers with between 51 to 100 employees</w:t>
      </w:r>
      <w:r>
        <w:rPr>
          <w:rFonts w:eastAsia="Times New Roman" w:cstheme="minorHAnsi"/>
          <w:kern w:val="0"/>
          <w14:ligatures w14:val="none"/>
        </w:rPr>
        <w:t>,</w:t>
      </w:r>
      <w:r w:rsidRPr="00DD2084">
        <w:rPr>
          <w:rFonts w:eastAsia="Times New Roman" w:cstheme="minorHAnsi"/>
          <w:kern w:val="0"/>
          <w14:ligatures w14:val="none"/>
        </w:rPr>
        <w:t xml:space="preserve"> and</w:t>
      </w:r>
      <w:r>
        <w:rPr>
          <w:rFonts w:eastAsia="Times New Roman" w:cstheme="minorHAnsi"/>
          <w:kern w:val="0"/>
          <w14:ligatures w14:val="none"/>
        </w:rPr>
        <w:t>,</w:t>
      </w:r>
    </w:p>
    <w:p w14:paraId="4352CFA6" w14:textId="77777777" w:rsidR="00F93426" w:rsidRPr="00DD2084" w:rsidRDefault="00F93426" w:rsidP="00F93426">
      <w:pPr>
        <w:numPr>
          <w:ilvl w:val="0"/>
          <w:numId w:val="5"/>
        </w:numPr>
        <w:spacing w:after="75" w:line="270" w:lineRule="atLeast"/>
        <w:rPr>
          <w:rFonts w:eastAsia="Times New Roman" w:cstheme="minorHAnsi"/>
          <w:kern w:val="0"/>
          <w14:ligatures w14:val="none"/>
        </w:rPr>
      </w:pPr>
      <w:r w:rsidRPr="00DD2084">
        <w:rPr>
          <w:rFonts w:eastAsia="Times New Roman" w:cstheme="minorHAnsi"/>
          <w:kern w:val="0"/>
          <w14:ligatures w14:val="none"/>
        </w:rPr>
        <w:t>50% of the cost for employers with more than 100 employees</w:t>
      </w:r>
      <w:r>
        <w:rPr>
          <w:rFonts w:eastAsia="Times New Roman" w:cstheme="minorHAnsi"/>
          <w:kern w:val="0"/>
          <w14:ligatures w14:val="none"/>
        </w:rPr>
        <w:t>.</w:t>
      </w:r>
    </w:p>
    <w:p w14:paraId="0493C166" w14:textId="77777777" w:rsidR="00F93426" w:rsidRPr="00F93426" w:rsidRDefault="00F93426" w:rsidP="00F93426">
      <w:pPr>
        <w:pStyle w:val="NoSpacing"/>
        <w:rPr>
          <w:sz w:val="12"/>
          <w:szCs w:val="12"/>
          <w:shd w:val="clear" w:color="auto" w:fill="FFFFFF"/>
        </w:rPr>
      </w:pPr>
    </w:p>
    <w:p w14:paraId="47E5B973" w14:textId="12690DF8" w:rsidR="00F93426" w:rsidRDefault="00F93426" w:rsidP="00F93426">
      <w:pPr>
        <w:pStyle w:val="NoSpacing"/>
        <w:rPr>
          <w:shd w:val="clear" w:color="auto" w:fill="FFFFFF"/>
        </w:rPr>
      </w:pPr>
      <w:r w:rsidRPr="00DD2084">
        <w:rPr>
          <w:shd w:val="clear" w:color="auto" w:fill="FFFFFF"/>
        </w:rPr>
        <w:t xml:space="preserve">Employer size is determined by the </w:t>
      </w:r>
      <w:r>
        <w:rPr>
          <w:shd w:val="clear" w:color="auto" w:fill="FFFFFF"/>
        </w:rPr>
        <w:t xml:space="preserve">total </w:t>
      </w:r>
      <w:r w:rsidRPr="00DD2084">
        <w:rPr>
          <w:shd w:val="clear" w:color="auto" w:fill="FFFFFF"/>
        </w:rPr>
        <w:t xml:space="preserve">number of </w:t>
      </w:r>
      <w:r w:rsidRPr="00F93426">
        <w:rPr>
          <w:u w:val="single"/>
          <w:shd w:val="clear" w:color="auto" w:fill="FFFFFF"/>
        </w:rPr>
        <w:t xml:space="preserve">current </w:t>
      </w:r>
      <w:r w:rsidR="00A50387">
        <w:rPr>
          <w:u w:val="single"/>
          <w:shd w:val="clear" w:color="auto" w:fill="FFFFFF"/>
        </w:rPr>
        <w:t xml:space="preserve">full-time and part-time </w:t>
      </w:r>
      <w:r w:rsidRPr="00F93426">
        <w:rPr>
          <w:u w:val="single"/>
          <w:shd w:val="clear" w:color="auto" w:fill="FFFFFF"/>
        </w:rPr>
        <w:t>employees</w:t>
      </w:r>
      <w:r w:rsidRPr="00DD2084">
        <w:rPr>
          <w:shd w:val="clear" w:color="auto" w:fill="FFFFFF"/>
        </w:rPr>
        <w:t xml:space="preserve"> </w:t>
      </w:r>
      <w:r>
        <w:rPr>
          <w:shd w:val="clear" w:color="auto" w:fill="FFFFFF"/>
        </w:rPr>
        <w:t xml:space="preserve">(not just the number of incumbent workers being trained) </w:t>
      </w:r>
      <w:r w:rsidRPr="00DD2084">
        <w:rPr>
          <w:shd w:val="clear" w:color="auto" w:fill="FFFFFF"/>
        </w:rPr>
        <w:t>currently employed at the local operation where the training placements will be made at the time of the execution of the training contract. The employer share cost contributions must be documented in the contract for service and must be tracked through invoices during the contract term.</w:t>
      </w:r>
      <w:r>
        <w:rPr>
          <w:rStyle w:val="FootnoteReference"/>
          <w:rFonts w:eastAsia="Times New Roman" w:cstheme="minorHAnsi"/>
          <w:kern w:val="0"/>
          <w:shd w:val="clear" w:color="auto" w:fill="FFFFFF"/>
          <w14:ligatures w14:val="none"/>
        </w:rPr>
        <w:footnoteReference w:id="7"/>
      </w:r>
    </w:p>
    <w:p w14:paraId="1B3318EB" w14:textId="77777777" w:rsidR="00A50387" w:rsidRPr="002625B4" w:rsidRDefault="00A50387" w:rsidP="00E25350">
      <w:pPr>
        <w:pStyle w:val="NoSpacing"/>
        <w:rPr>
          <w:b/>
          <w:bCs/>
          <w:sz w:val="12"/>
          <w:szCs w:val="12"/>
          <w:u w:val="single"/>
        </w:rPr>
      </w:pPr>
    </w:p>
    <w:p w14:paraId="7274CB03" w14:textId="6349A45B" w:rsidR="00E25350" w:rsidRPr="00E25350" w:rsidRDefault="00E25350" w:rsidP="00E25350">
      <w:pPr>
        <w:pStyle w:val="NoSpacing"/>
        <w:rPr>
          <w:b/>
          <w:bCs/>
          <w:u w:val="single"/>
        </w:rPr>
      </w:pPr>
      <w:r w:rsidRPr="00E25350">
        <w:rPr>
          <w:b/>
          <w:bCs/>
          <w:u w:val="single"/>
        </w:rPr>
        <w:t>Training Eligibility:</w:t>
      </w:r>
    </w:p>
    <w:p w14:paraId="32018A02" w14:textId="34864FC4" w:rsidR="00E25350" w:rsidRDefault="00E25350" w:rsidP="00E25350">
      <w:pPr>
        <w:pStyle w:val="NoSpacing"/>
      </w:pPr>
      <w:r>
        <w:t xml:space="preserve">Providers must ensure that all incumbent workers </w:t>
      </w:r>
      <w:r w:rsidR="005A2312">
        <w:t>trainings</w:t>
      </w:r>
      <w:r>
        <w:t>:</w:t>
      </w:r>
    </w:p>
    <w:p w14:paraId="0D3660CD" w14:textId="204F1A58" w:rsidR="00E25350" w:rsidRDefault="00C67B53" w:rsidP="00C67B53">
      <w:pPr>
        <w:pStyle w:val="NoSpacing"/>
        <w:numPr>
          <w:ilvl w:val="0"/>
          <w:numId w:val="16"/>
        </w:numPr>
      </w:pPr>
      <w:r>
        <w:t>Are</w:t>
      </w:r>
      <w:r w:rsidR="00E25350">
        <w:t xml:space="preserve"> d</w:t>
      </w:r>
      <w:r w:rsidR="00E25350" w:rsidRPr="002E2204">
        <w:t xml:space="preserve">esigned to meet the special requirements of </w:t>
      </w:r>
      <w:r>
        <w:t>the</w:t>
      </w:r>
      <w:r w:rsidR="00E25350" w:rsidRPr="002E2204">
        <w:t xml:space="preserve"> employe</w:t>
      </w:r>
      <w:r w:rsidR="00E25350">
        <w:t>r</w:t>
      </w:r>
      <w:r>
        <w:t xml:space="preserve">(s) </w:t>
      </w:r>
      <w:r w:rsidR="00E25350" w:rsidRPr="002E2204">
        <w:t>to retain a skilled</w:t>
      </w:r>
      <w:r>
        <w:t xml:space="preserve"> </w:t>
      </w:r>
      <w:r w:rsidR="00E25350" w:rsidRPr="002E2204">
        <w:t>workforce</w:t>
      </w:r>
      <w:r w:rsidR="00E25350">
        <w:t>,</w:t>
      </w:r>
      <w:r w:rsidR="00E25350" w:rsidRPr="002E2204">
        <w:t xml:space="preserve"> </w:t>
      </w:r>
      <w:r w:rsidR="00E25350" w:rsidRPr="00C67B53">
        <w:rPr>
          <w:u w:val="single"/>
        </w:rPr>
        <w:t>or</w:t>
      </w:r>
      <w:r w:rsidR="00E25350">
        <w:t>, to a</w:t>
      </w:r>
      <w:r w:rsidR="00E25350" w:rsidRPr="002E2204">
        <w:t>vert the need to lay off employees by assisting workers in obtaining the skills necessary to retain employment</w:t>
      </w:r>
      <w:r w:rsidR="00E25350">
        <w:t>,</w:t>
      </w:r>
      <w:r w:rsidR="00E25350">
        <w:rPr>
          <w:rStyle w:val="FootnoteReference"/>
        </w:rPr>
        <w:footnoteReference w:id="8"/>
      </w:r>
      <w:r w:rsidR="00E25350">
        <w:t xml:space="preserve"> </w:t>
      </w:r>
      <w:r w:rsidR="00E25350" w:rsidRPr="00C67B53">
        <w:rPr>
          <w:b/>
          <w:bCs/>
        </w:rPr>
        <w:t>and</w:t>
      </w:r>
      <w:r w:rsidR="00E25350">
        <w:t xml:space="preserve">, </w:t>
      </w:r>
    </w:p>
    <w:p w14:paraId="3365B419" w14:textId="62AAAA27" w:rsidR="00E25350" w:rsidRPr="008F08E0" w:rsidRDefault="00E25350" w:rsidP="00E25350">
      <w:pPr>
        <w:pStyle w:val="NoSpacing"/>
        <w:numPr>
          <w:ilvl w:val="0"/>
          <w:numId w:val="16"/>
        </w:numPr>
      </w:pPr>
      <w:r w:rsidRPr="00E25350">
        <w:rPr>
          <w:rFonts w:eastAsia="Times New Roman" w:cstheme="minorHAnsi"/>
          <w:kern w:val="0"/>
          <w14:ligatures w14:val="none"/>
        </w:rPr>
        <w:lastRenderedPageBreak/>
        <w:t>Be conducted with a commitment by the employer</w:t>
      </w:r>
      <w:r w:rsidR="00C67B53">
        <w:rPr>
          <w:rFonts w:eastAsia="Times New Roman" w:cstheme="minorHAnsi"/>
          <w:kern w:val="0"/>
          <w14:ligatures w14:val="none"/>
        </w:rPr>
        <w:t>(s)</w:t>
      </w:r>
      <w:r w:rsidRPr="00E25350">
        <w:rPr>
          <w:rFonts w:eastAsia="Times New Roman" w:cstheme="minorHAnsi"/>
          <w:kern w:val="0"/>
          <w14:ligatures w14:val="none"/>
        </w:rPr>
        <w:t xml:space="preserve"> to retain or avert the layoffs of the incumbent worker(s) trained</w:t>
      </w:r>
      <w:r w:rsidR="00770BEB">
        <w:rPr>
          <w:rFonts w:eastAsia="Times New Roman" w:cstheme="minorHAnsi"/>
          <w:kern w:val="0"/>
          <w14:ligatures w14:val="none"/>
        </w:rPr>
        <w:t>.</w:t>
      </w:r>
      <w:r>
        <w:rPr>
          <w:rStyle w:val="FootnoteReference"/>
          <w:rFonts w:eastAsia="Times New Roman" w:cstheme="minorHAnsi"/>
          <w:kern w:val="0"/>
          <w14:ligatures w14:val="none"/>
        </w:rPr>
        <w:footnoteReference w:id="9"/>
      </w:r>
      <w:r w:rsidR="008F08E0">
        <w:rPr>
          <w:rFonts w:eastAsia="Times New Roman" w:cstheme="minorHAnsi"/>
          <w:kern w:val="0"/>
          <w14:ligatures w14:val="none"/>
        </w:rPr>
        <w:t xml:space="preserve"> </w:t>
      </w:r>
    </w:p>
    <w:p w14:paraId="62A09902" w14:textId="77777777" w:rsidR="005A2312" w:rsidRPr="005A2312" w:rsidRDefault="005A2312" w:rsidP="005A2312">
      <w:pPr>
        <w:pStyle w:val="NoSpacing"/>
        <w:rPr>
          <w:rFonts w:eastAsia="Times New Roman" w:cstheme="minorHAnsi"/>
          <w:kern w:val="0"/>
          <w:sz w:val="12"/>
          <w:szCs w:val="12"/>
          <w14:ligatures w14:val="none"/>
        </w:rPr>
      </w:pPr>
    </w:p>
    <w:p w14:paraId="1243CBD9" w14:textId="40BD6B8E" w:rsidR="00E25350" w:rsidRPr="00E25350" w:rsidRDefault="001C22DE" w:rsidP="005A2312">
      <w:pPr>
        <w:pStyle w:val="NoSpacing"/>
      </w:pPr>
      <w:r w:rsidRPr="00E25350">
        <w:rPr>
          <w:rFonts w:eastAsia="Times New Roman" w:cstheme="minorHAnsi"/>
          <w:kern w:val="0"/>
          <w14:ligatures w14:val="none"/>
        </w:rPr>
        <w:t xml:space="preserve">Providers </w:t>
      </w:r>
      <w:r w:rsidRPr="005A2312">
        <w:rPr>
          <w:rFonts w:eastAsia="Times New Roman" w:cstheme="minorHAnsi"/>
          <w:kern w:val="0"/>
          <w:u w:val="single"/>
          <w14:ligatures w14:val="none"/>
        </w:rPr>
        <w:t>must</w:t>
      </w:r>
      <w:r w:rsidRPr="00E25350">
        <w:rPr>
          <w:rFonts w:eastAsia="Times New Roman" w:cstheme="minorHAnsi"/>
          <w:kern w:val="0"/>
          <w14:ligatures w14:val="none"/>
        </w:rPr>
        <w:t xml:space="preserve"> also consider</w:t>
      </w:r>
      <w:r w:rsidR="005A2312">
        <w:rPr>
          <w:rFonts w:eastAsia="Times New Roman" w:cstheme="minorHAnsi"/>
          <w:kern w:val="0"/>
          <w14:ligatures w14:val="none"/>
        </w:rPr>
        <w:t xml:space="preserve"> the following when determining eligibility for </w:t>
      </w:r>
      <w:r w:rsidR="005A2312">
        <w:t>incumbent worker trainings:</w:t>
      </w:r>
    </w:p>
    <w:p w14:paraId="54C26470" w14:textId="18AA9A66" w:rsidR="005A2312" w:rsidRDefault="00514AFF" w:rsidP="003641E7">
      <w:pPr>
        <w:pStyle w:val="NoSpacing"/>
        <w:numPr>
          <w:ilvl w:val="0"/>
          <w:numId w:val="21"/>
        </w:numPr>
      </w:pPr>
      <w:r w:rsidRPr="00E25350">
        <w:rPr>
          <w:rFonts w:eastAsia="Times New Roman" w:cstheme="minorHAnsi"/>
          <w:kern w:val="0"/>
          <w14:ligatures w14:val="none"/>
        </w:rPr>
        <w:t xml:space="preserve">The characteristics </w:t>
      </w:r>
      <w:r w:rsidR="00770BEB">
        <w:rPr>
          <w:rFonts w:eastAsia="Times New Roman" w:cstheme="minorHAnsi"/>
          <w:kern w:val="0"/>
          <w14:ligatures w14:val="none"/>
        </w:rPr>
        <w:t>(job</w:t>
      </w:r>
      <w:r w:rsidR="00770BEB" w:rsidRPr="00770BEB">
        <w:rPr>
          <w:rFonts w:eastAsia="Times New Roman" w:cstheme="minorHAnsi"/>
          <w:kern w:val="0"/>
          <w14:ligatures w14:val="none"/>
        </w:rPr>
        <w:t xml:space="preserve"> titles, skill levels, employment sector, barriers to employment, wages, etc.)</w:t>
      </w:r>
      <w:r w:rsidR="00770BEB">
        <w:rPr>
          <w:rFonts w:eastAsia="Times New Roman" w:cstheme="minorHAnsi"/>
          <w:kern w:val="0"/>
          <w14:ligatures w14:val="none"/>
        </w:rPr>
        <w:t xml:space="preserve"> </w:t>
      </w:r>
      <w:r w:rsidRPr="00E25350">
        <w:rPr>
          <w:rFonts w:eastAsia="Times New Roman" w:cstheme="minorHAnsi"/>
          <w:kern w:val="0"/>
          <w14:ligatures w14:val="none"/>
        </w:rPr>
        <w:t xml:space="preserve">of the individuals in the program, </w:t>
      </w:r>
    </w:p>
    <w:p w14:paraId="7B5C2134" w14:textId="08581610" w:rsidR="00E25350" w:rsidRPr="00E25350" w:rsidRDefault="00BC6882" w:rsidP="003641E7">
      <w:pPr>
        <w:pStyle w:val="NoSpacing"/>
        <w:numPr>
          <w:ilvl w:val="0"/>
          <w:numId w:val="21"/>
        </w:numPr>
      </w:pPr>
      <w:r>
        <w:t>Whether the training improves the labor market competitiveness of the employee</w:t>
      </w:r>
      <w:r w:rsidR="00A50387">
        <w:t>(</w:t>
      </w:r>
      <w:r>
        <w:t>s</w:t>
      </w:r>
      <w:r w:rsidR="00A50387">
        <w:t>)</w:t>
      </w:r>
      <w:r>
        <w:t xml:space="preserve"> or both the employee</w:t>
      </w:r>
      <w:r w:rsidR="00A50387">
        <w:t>(</w:t>
      </w:r>
      <w:r>
        <w:t>s</w:t>
      </w:r>
      <w:r w:rsidR="00A50387">
        <w:t>)</w:t>
      </w:r>
      <w:r>
        <w:t xml:space="preserve"> and the employer</w:t>
      </w:r>
      <w:r w:rsidR="00A50387">
        <w:t>(s)</w:t>
      </w:r>
      <w:r w:rsidR="00C61DDE" w:rsidRPr="005A2312">
        <w:rPr>
          <w:rFonts w:eastAsia="Times New Roman" w:cstheme="minorHAnsi"/>
          <w:kern w:val="0"/>
          <w14:ligatures w14:val="none"/>
        </w:rPr>
        <w:t xml:space="preserve">, </w:t>
      </w:r>
    </w:p>
    <w:p w14:paraId="08445FC4" w14:textId="77777777" w:rsidR="00E25350" w:rsidRPr="00E25350" w:rsidRDefault="00C61DDE" w:rsidP="003641E7">
      <w:pPr>
        <w:pStyle w:val="NoSpacing"/>
        <w:numPr>
          <w:ilvl w:val="0"/>
          <w:numId w:val="21"/>
        </w:numPr>
      </w:pPr>
      <w:r w:rsidRPr="00E25350">
        <w:rPr>
          <w:rFonts w:eastAsia="Times New Roman" w:cstheme="minorHAnsi"/>
          <w:kern w:val="0"/>
          <w14:ligatures w14:val="none"/>
        </w:rPr>
        <w:t xml:space="preserve">Other factors the </w:t>
      </w:r>
      <w:r w:rsidR="005A554E" w:rsidRPr="00E25350">
        <w:rPr>
          <w:rFonts w:eastAsia="Times New Roman" w:cstheme="minorHAnsi"/>
          <w:kern w:val="0"/>
          <w14:ligatures w14:val="none"/>
        </w:rPr>
        <w:t>provider</w:t>
      </w:r>
      <w:r w:rsidRPr="00E25350">
        <w:rPr>
          <w:rFonts w:eastAsia="Times New Roman" w:cstheme="minorHAnsi"/>
          <w:kern w:val="0"/>
          <w14:ligatures w14:val="none"/>
        </w:rPr>
        <w:t xml:space="preserve"> determines appropriate including</w:t>
      </w:r>
      <w:r w:rsidR="003869F8" w:rsidRPr="00E25350">
        <w:rPr>
          <w:rFonts w:eastAsia="Times New Roman" w:cstheme="minorHAnsi"/>
          <w:kern w:val="0"/>
          <w14:ligatures w14:val="none"/>
        </w:rPr>
        <w:t xml:space="preserve"> but not limited to</w:t>
      </w:r>
      <w:r w:rsidRPr="00E25350">
        <w:rPr>
          <w:rFonts w:eastAsia="Times New Roman" w:cstheme="minorHAnsi"/>
          <w:kern w:val="0"/>
          <w14:ligatures w14:val="none"/>
        </w:rPr>
        <w:t>:</w:t>
      </w:r>
      <w:r w:rsidR="005A554E">
        <w:rPr>
          <w:rStyle w:val="FootnoteReference"/>
          <w:rFonts w:eastAsia="Times New Roman" w:cstheme="minorHAnsi"/>
          <w:kern w:val="0"/>
          <w14:ligatures w14:val="none"/>
        </w:rPr>
        <w:footnoteReference w:id="10"/>
      </w:r>
      <w:r w:rsidRPr="00E25350">
        <w:rPr>
          <w:rFonts w:eastAsia="Times New Roman" w:cstheme="minorHAnsi"/>
          <w:kern w:val="0"/>
          <w14:ligatures w14:val="none"/>
        </w:rPr>
        <w:t xml:space="preserve"> </w:t>
      </w:r>
    </w:p>
    <w:p w14:paraId="6E6FE069" w14:textId="0DB5ACDB" w:rsidR="00E25350" w:rsidRPr="00E25350" w:rsidRDefault="00C61DDE" w:rsidP="005A2312">
      <w:pPr>
        <w:pStyle w:val="NoSpacing"/>
        <w:numPr>
          <w:ilvl w:val="1"/>
          <w:numId w:val="17"/>
        </w:numPr>
      </w:pPr>
      <w:r w:rsidRPr="00E25350">
        <w:rPr>
          <w:rFonts w:eastAsia="Times New Roman" w:cstheme="minorHAnsi"/>
          <w:kern w:val="0"/>
          <w14:ligatures w14:val="none"/>
        </w:rPr>
        <w:t xml:space="preserve">The number of </w:t>
      </w:r>
      <w:r w:rsidRPr="00CC1845">
        <w:rPr>
          <w:rFonts w:eastAsia="Times New Roman" w:cstheme="minorHAnsi"/>
          <w:kern w:val="0"/>
          <w14:ligatures w14:val="none"/>
        </w:rPr>
        <w:t>employees</w:t>
      </w:r>
      <w:r w:rsidR="00C67B53" w:rsidRPr="00CC1845">
        <w:rPr>
          <w:rFonts w:eastAsia="Times New Roman" w:cstheme="minorHAnsi"/>
          <w:kern w:val="0"/>
          <w14:ligatures w14:val="none"/>
        </w:rPr>
        <w:t xml:space="preserve"> to</w:t>
      </w:r>
      <w:r w:rsidRPr="00CC1845">
        <w:rPr>
          <w:rFonts w:eastAsia="Times New Roman" w:cstheme="minorHAnsi"/>
          <w:kern w:val="0"/>
          <w14:ligatures w14:val="none"/>
        </w:rPr>
        <w:t xml:space="preserve"> </w:t>
      </w:r>
      <w:r w:rsidR="0092519D" w:rsidRPr="00CC1845">
        <w:rPr>
          <w:rFonts w:eastAsia="Times New Roman" w:cstheme="minorHAnsi"/>
          <w:kern w:val="0"/>
          <w14:ligatures w14:val="none"/>
        </w:rPr>
        <w:t>be</w:t>
      </w:r>
      <w:r w:rsidR="0092519D">
        <w:rPr>
          <w:rFonts w:eastAsia="Times New Roman" w:cstheme="minorHAnsi"/>
          <w:kern w:val="0"/>
          <w14:ligatures w14:val="none"/>
        </w:rPr>
        <w:t xml:space="preserve"> </w:t>
      </w:r>
      <w:r w:rsidRPr="00E25350">
        <w:rPr>
          <w:rFonts w:eastAsia="Times New Roman" w:cstheme="minorHAnsi"/>
          <w:kern w:val="0"/>
          <w14:ligatures w14:val="none"/>
        </w:rPr>
        <w:t>trained,</w:t>
      </w:r>
    </w:p>
    <w:p w14:paraId="6D7D0C24" w14:textId="77777777" w:rsidR="00E25350" w:rsidRPr="00E25350" w:rsidRDefault="00187BB0" w:rsidP="005A2312">
      <w:pPr>
        <w:pStyle w:val="NoSpacing"/>
        <w:numPr>
          <w:ilvl w:val="1"/>
          <w:numId w:val="17"/>
        </w:numPr>
      </w:pPr>
      <w:r w:rsidRPr="00E25350">
        <w:rPr>
          <w:rFonts w:eastAsia="Times New Roman" w:cstheme="minorHAnsi"/>
          <w:kern w:val="0"/>
          <w14:ligatures w14:val="none"/>
        </w:rPr>
        <w:t>Projected w</w:t>
      </w:r>
      <w:r w:rsidR="00C61DDE" w:rsidRPr="00E25350">
        <w:rPr>
          <w:rFonts w:eastAsia="Times New Roman" w:cstheme="minorHAnsi"/>
          <w:kern w:val="0"/>
          <w14:ligatures w14:val="none"/>
        </w:rPr>
        <w:t>age and benefits</w:t>
      </w:r>
      <w:r w:rsidRPr="00E25350">
        <w:rPr>
          <w:rFonts w:eastAsia="Times New Roman" w:cstheme="minorHAnsi"/>
          <w:kern w:val="0"/>
          <w14:ligatures w14:val="none"/>
        </w:rPr>
        <w:t xml:space="preserve"> improvements</w:t>
      </w:r>
      <w:r w:rsidR="00C61DDE" w:rsidRPr="00E25350">
        <w:rPr>
          <w:rFonts w:eastAsia="Times New Roman" w:cstheme="minorHAnsi"/>
          <w:kern w:val="0"/>
          <w14:ligatures w14:val="none"/>
        </w:rPr>
        <w:t xml:space="preserve"> post training,</w:t>
      </w:r>
    </w:p>
    <w:p w14:paraId="377A4965" w14:textId="6D28B2FE" w:rsidR="00E25350" w:rsidRPr="00E25350" w:rsidRDefault="00C61DDE" w:rsidP="005A2312">
      <w:pPr>
        <w:pStyle w:val="NoSpacing"/>
        <w:numPr>
          <w:ilvl w:val="1"/>
          <w:numId w:val="17"/>
        </w:numPr>
      </w:pPr>
      <w:r w:rsidRPr="00E25350">
        <w:rPr>
          <w:rFonts w:eastAsia="Times New Roman" w:cstheme="minorHAnsi"/>
          <w:kern w:val="0"/>
          <w14:ligatures w14:val="none"/>
        </w:rPr>
        <w:t>The existence of other training opportunities provided by the employer</w:t>
      </w:r>
      <w:r w:rsidR="00A50387">
        <w:rPr>
          <w:rFonts w:eastAsia="Times New Roman" w:cstheme="minorHAnsi"/>
          <w:kern w:val="0"/>
          <w14:ligatures w14:val="none"/>
        </w:rPr>
        <w:t>(s)</w:t>
      </w:r>
      <w:r w:rsidR="00DD0C43" w:rsidRPr="00E25350">
        <w:rPr>
          <w:rFonts w:eastAsia="Times New Roman" w:cstheme="minorHAnsi"/>
          <w:kern w:val="0"/>
          <w14:ligatures w14:val="none"/>
        </w:rPr>
        <w:t>,</w:t>
      </w:r>
    </w:p>
    <w:p w14:paraId="3872A3F7" w14:textId="77777777" w:rsidR="00E25350" w:rsidRDefault="00DD0C43" w:rsidP="005A2312">
      <w:pPr>
        <w:pStyle w:val="NoSpacing"/>
        <w:numPr>
          <w:ilvl w:val="1"/>
          <w:numId w:val="17"/>
        </w:numPr>
      </w:pPr>
      <w:r>
        <w:t>The credentials and skills gained as a result of the training,</w:t>
      </w:r>
    </w:p>
    <w:p w14:paraId="1691FB26" w14:textId="555CCE7B" w:rsidR="00E25350" w:rsidRDefault="00DD0C43" w:rsidP="005A2312">
      <w:pPr>
        <w:pStyle w:val="NoSpacing"/>
        <w:numPr>
          <w:ilvl w:val="1"/>
          <w:numId w:val="17"/>
        </w:numPr>
      </w:pPr>
      <w:r>
        <w:t>The number of layoffs averted as a result of the training,</w:t>
      </w:r>
    </w:p>
    <w:p w14:paraId="2A0AA029" w14:textId="77777777" w:rsidR="00E25350" w:rsidRDefault="00DD0C43" w:rsidP="005A2312">
      <w:pPr>
        <w:pStyle w:val="NoSpacing"/>
        <w:numPr>
          <w:ilvl w:val="1"/>
          <w:numId w:val="17"/>
        </w:numPr>
      </w:pPr>
      <w:r>
        <w:t>Utilization as part of a larger sector and/or career pathway strategy</w:t>
      </w:r>
      <w:r w:rsidR="00443EE2">
        <w:t>, and,</w:t>
      </w:r>
    </w:p>
    <w:p w14:paraId="2F7414AB" w14:textId="3B40C375" w:rsidR="00593A4D" w:rsidRDefault="005A2312" w:rsidP="00C67B53">
      <w:pPr>
        <w:pStyle w:val="NoSpacing"/>
        <w:numPr>
          <w:ilvl w:val="1"/>
          <w:numId w:val="17"/>
        </w:numPr>
      </w:pPr>
      <w:r>
        <w:t>E</w:t>
      </w:r>
      <w:r w:rsidR="00DD0C43">
        <w:t>mployer size</w:t>
      </w:r>
      <w:r w:rsidR="00443EE2">
        <w:t>.</w:t>
      </w:r>
    </w:p>
    <w:p w14:paraId="4BD8A71F" w14:textId="77777777" w:rsidR="00C67B53" w:rsidRPr="00C67B53" w:rsidRDefault="00C67B53" w:rsidP="00C67B53">
      <w:pPr>
        <w:pStyle w:val="NoSpacing"/>
        <w:rPr>
          <w:sz w:val="12"/>
          <w:szCs w:val="12"/>
        </w:rPr>
      </w:pPr>
    </w:p>
    <w:p w14:paraId="4415AFE8" w14:textId="6E917313" w:rsidR="006217BF" w:rsidRDefault="006217BF" w:rsidP="00C67B53">
      <w:pPr>
        <w:pStyle w:val="NoSpacing"/>
        <w:rPr>
          <w:u w:val="single"/>
        </w:rPr>
      </w:pPr>
      <w:r w:rsidRPr="008E63D5">
        <w:rPr>
          <w:u w:val="single"/>
        </w:rPr>
        <w:t>Incumbent Worker Training</w:t>
      </w:r>
      <w:r>
        <w:rPr>
          <w:u w:val="single"/>
        </w:rPr>
        <w:t xml:space="preserve"> Provider:</w:t>
      </w:r>
    </w:p>
    <w:p w14:paraId="0B680FA8" w14:textId="745DEC84" w:rsidR="006217BF" w:rsidRPr="006217BF" w:rsidRDefault="006217BF" w:rsidP="00C67B53">
      <w:pPr>
        <w:pStyle w:val="NoSpacing"/>
      </w:pPr>
      <w:r>
        <w:t xml:space="preserve">Incumbent workers trainings </w:t>
      </w:r>
      <w:r w:rsidRPr="006217BF">
        <w:t xml:space="preserve">can be provided through Minnesota’s public or private educational institutions, private training organizations, trainers employed by the </w:t>
      </w:r>
      <w:r>
        <w:t>IWT employer(s)</w:t>
      </w:r>
      <w:r w:rsidRPr="006217BF">
        <w:t>, training provided in-house or a combination of training providers</w:t>
      </w:r>
      <w:r>
        <w:t xml:space="preserve">. Incumbent workers trainings </w:t>
      </w:r>
      <w:r w:rsidRPr="006217BF">
        <w:rPr>
          <w:u w:val="single"/>
        </w:rPr>
        <w:t>do not</w:t>
      </w:r>
      <w:r>
        <w:t xml:space="preserve"> need to be on the Minnesota Eligible Training Provider List (ETPL).</w:t>
      </w:r>
    </w:p>
    <w:p w14:paraId="10BE2A55" w14:textId="77777777" w:rsidR="006217BF" w:rsidRPr="008E63D5" w:rsidRDefault="006217BF" w:rsidP="00C67B53">
      <w:pPr>
        <w:pStyle w:val="NoSpacing"/>
        <w:rPr>
          <w:sz w:val="12"/>
          <w:szCs w:val="12"/>
        </w:rPr>
      </w:pPr>
    </w:p>
    <w:p w14:paraId="294BAB94" w14:textId="3B315733" w:rsidR="008E63D5" w:rsidRPr="008E63D5" w:rsidRDefault="00CB3C38" w:rsidP="00C67B53">
      <w:pPr>
        <w:pStyle w:val="NoSpacing"/>
        <w:rPr>
          <w:u w:val="single"/>
        </w:rPr>
      </w:pPr>
      <w:r>
        <w:rPr>
          <w:u w:val="single"/>
        </w:rPr>
        <w:t>Dis</w:t>
      </w:r>
      <w:r w:rsidR="008E63D5" w:rsidRPr="008E63D5">
        <w:rPr>
          <w:u w:val="single"/>
        </w:rPr>
        <w:t>allowed Incumbent Worker Trainings:</w:t>
      </w:r>
    </w:p>
    <w:p w14:paraId="233BB2A7" w14:textId="5F442894" w:rsidR="00C67B53" w:rsidRDefault="00CB3C38" w:rsidP="00C67B53">
      <w:pPr>
        <w:pStyle w:val="NoSpacing"/>
      </w:pPr>
      <w:r>
        <w:t>I</w:t>
      </w:r>
      <w:r w:rsidR="00C67B53">
        <w:t xml:space="preserve">ncumbent workers trainings </w:t>
      </w:r>
      <w:r w:rsidR="00C67B53" w:rsidRPr="00C67B53">
        <w:rPr>
          <w:u w:val="single"/>
        </w:rPr>
        <w:t>cannot</w:t>
      </w:r>
      <w:r w:rsidR="00C67B53">
        <w:t xml:space="preserve"> include: </w:t>
      </w:r>
    </w:p>
    <w:p w14:paraId="087924F2" w14:textId="30D06297" w:rsidR="00CB3C38" w:rsidRDefault="00CB3C38" w:rsidP="00C67B53">
      <w:pPr>
        <w:pStyle w:val="ListParagraph"/>
        <w:numPr>
          <w:ilvl w:val="0"/>
          <w:numId w:val="18"/>
        </w:numPr>
        <w:spacing w:line="278" w:lineRule="auto"/>
      </w:pPr>
      <w:r>
        <w:t>P</w:t>
      </w:r>
      <w:r w:rsidRPr="00CB3C38">
        <w:t xml:space="preserve">rovide skills for </w:t>
      </w:r>
      <w:r w:rsidR="00030F9F" w:rsidRPr="00CB3C38">
        <w:t>seasonal</w:t>
      </w:r>
      <w:r>
        <w:t xml:space="preserve"> or t</w:t>
      </w:r>
      <w:r w:rsidRPr="00CB3C38">
        <w:t xml:space="preserve">emporary </w:t>
      </w:r>
      <w:r>
        <w:t>jobs,</w:t>
      </w:r>
    </w:p>
    <w:p w14:paraId="0234CC22" w14:textId="5AC007F8" w:rsidR="00030F9F" w:rsidRDefault="00030F9F" w:rsidP="00C67B53">
      <w:pPr>
        <w:pStyle w:val="ListParagraph"/>
        <w:numPr>
          <w:ilvl w:val="0"/>
          <w:numId w:val="18"/>
        </w:numPr>
        <w:spacing w:line="278" w:lineRule="auto"/>
      </w:pPr>
      <w:r>
        <w:t>P</w:t>
      </w:r>
      <w:r w:rsidRPr="00CB3C38">
        <w:t xml:space="preserve">rovide skills for </w:t>
      </w:r>
      <w:r>
        <w:t>independent contractors,</w:t>
      </w:r>
    </w:p>
    <w:p w14:paraId="0BF362EF" w14:textId="0651BAD5" w:rsidR="00C67B53" w:rsidRDefault="00C67B53" w:rsidP="00C67B53">
      <w:pPr>
        <w:pStyle w:val="ListParagraph"/>
        <w:numPr>
          <w:ilvl w:val="0"/>
          <w:numId w:val="18"/>
        </w:numPr>
        <w:spacing w:line="278" w:lineRule="auto"/>
      </w:pPr>
      <w:r w:rsidRPr="00256637">
        <w:t>Personal development courses,</w:t>
      </w:r>
    </w:p>
    <w:p w14:paraId="13272A5E" w14:textId="77777777" w:rsidR="00C67B53" w:rsidRPr="00256637" w:rsidRDefault="00C67B53" w:rsidP="00C67B53">
      <w:pPr>
        <w:pStyle w:val="ListParagraph"/>
        <w:numPr>
          <w:ilvl w:val="0"/>
          <w:numId w:val="18"/>
        </w:numPr>
        <w:spacing w:line="278" w:lineRule="auto"/>
      </w:pPr>
      <w:r>
        <w:t>Onboarding or new-hire trainings,</w:t>
      </w:r>
    </w:p>
    <w:p w14:paraId="60910CD2" w14:textId="77777777" w:rsidR="00C67B53" w:rsidRPr="00256637" w:rsidRDefault="00C67B53" w:rsidP="00C67B53">
      <w:pPr>
        <w:pStyle w:val="ListParagraph"/>
        <w:numPr>
          <w:ilvl w:val="0"/>
          <w:numId w:val="18"/>
        </w:numPr>
        <w:spacing w:line="278" w:lineRule="auto"/>
      </w:pPr>
      <w:r w:rsidRPr="00256637">
        <w:t>Non-skill related assessments,</w:t>
      </w:r>
    </w:p>
    <w:p w14:paraId="37A5C8BA" w14:textId="77777777" w:rsidR="00C67B53" w:rsidRPr="00256637" w:rsidRDefault="00C67B53" w:rsidP="00C67B53">
      <w:pPr>
        <w:pStyle w:val="ListParagraph"/>
        <w:numPr>
          <w:ilvl w:val="0"/>
          <w:numId w:val="18"/>
        </w:numPr>
        <w:spacing w:line="278" w:lineRule="auto"/>
      </w:pPr>
      <w:r w:rsidRPr="00256637">
        <w:t>English as a second language</w:t>
      </w:r>
      <w:r>
        <w:t xml:space="preserve"> courses</w:t>
      </w:r>
      <w:r w:rsidRPr="00256637">
        <w:t>,</w:t>
      </w:r>
    </w:p>
    <w:p w14:paraId="6E126BBF" w14:textId="5AC419F2" w:rsidR="00C67B53" w:rsidRDefault="00C67B53" w:rsidP="00C67B53">
      <w:pPr>
        <w:pStyle w:val="ListParagraph"/>
        <w:numPr>
          <w:ilvl w:val="0"/>
          <w:numId w:val="18"/>
        </w:numPr>
        <w:spacing w:line="278" w:lineRule="auto"/>
      </w:pPr>
      <w:r w:rsidRPr="00256637">
        <w:t>Basic skills or remedial education,</w:t>
      </w:r>
    </w:p>
    <w:p w14:paraId="10A3B9C9" w14:textId="1AB25CB3" w:rsidR="000B52F6" w:rsidRDefault="000B52F6" w:rsidP="00C67B53">
      <w:pPr>
        <w:pStyle w:val="ListParagraph"/>
        <w:numPr>
          <w:ilvl w:val="0"/>
          <w:numId w:val="18"/>
        </w:numPr>
        <w:spacing w:line="278" w:lineRule="auto"/>
      </w:pPr>
      <w:r>
        <w:t>D</w:t>
      </w:r>
      <w:r w:rsidRPr="00DD2084">
        <w:rPr>
          <w:rFonts w:eastAsia="Times New Roman" w:cstheme="minorHAnsi"/>
          <w:kern w:val="0"/>
          <w:shd w:val="clear" w:color="auto" w:fill="FFFFFF"/>
          <w14:ligatures w14:val="none"/>
        </w:rPr>
        <w:t>irectly or indirectly assist</w:t>
      </w:r>
      <w:r>
        <w:rPr>
          <w:rFonts w:eastAsia="Times New Roman" w:cstheme="minorHAnsi"/>
          <w:kern w:val="0"/>
          <w:shd w:val="clear" w:color="auto" w:fill="FFFFFF"/>
          <w14:ligatures w14:val="none"/>
        </w:rPr>
        <w:t>ing</w:t>
      </w:r>
      <w:r w:rsidRPr="00DD2084">
        <w:rPr>
          <w:rFonts w:eastAsia="Times New Roman" w:cstheme="minorHAnsi"/>
          <w:kern w:val="0"/>
          <w:shd w:val="clear" w:color="auto" w:fill="FFFFFF"/>
          <w14:ligatures w14:val="none"/>
        </w:rPr>
        <w:t>, promot</w:t>
      </w:r>
      <w:r>
        <w:rPr>
          <w:rFonts w:eastAsia="Times New Roman" w:cstheme="minorHAnsi"/>
          <w:kern w:val="0"/>
          <w:shd w:val="clear" w:color="auto" w:fill="FFFFFF"/>
          <w14:ligatures w14:val="none"/>
        </w:rPr>
        <w:t>ing</w:t>
      </w:r>
      <w:r w:rsidRPr="00DD2084">
        <w:rPr>
          <w:rFonts w:eastAsia="Times New Roman" w:cstheme="minorHAnsi"/>
          <w:kern w:val="0"/>
          <w:shd w:val="clear" w:color="auto" w:fill="FFFFFF"/>
          <w14:ligatures w14:val="none"/>
        </w:rPr>
        <w:t xml:space="preserve">, or </w:t>
      </w:r>
      <w:r>
        <w:rPr>
          <w:rFonts w:eastAsia="Times New Roman" w:cstheme="minorHAnsi"/>
          <w:kern w:val="0"/>
          <w:shd w:val="clear" w:color="auto" w:fill="FFFFFF"/>
          <w14:ligatures w14:val="none"/>
        </w:rPr>
        <w:t>deterring</w:t>
      </w:r>
      <w:r w:rsidRPr="00DD2084">
        <w:rPr>
          <w:rFonts w:eastAsia="Times New Roman" w:cstheme="minorHAnsi"/>
          <w:kern w:val="0"/>
          <w:shd w:val="clear" w:color="auto" w:fill="FFFFFF"/>
          <w14:ligatures w14:val="none"/>
        </w:rPr>
        <w:t xml:space="preserve"> union organizing</w:t>
      </w:r>
      <w:r>
        <w:rPr>
          <w:rFonts w:eastAsia="Times New Roman" w:cstheme="minorHAnsi"/>
          <w:kern w:val="0"/>
          <w:shd w:val="clear" w:color="auto" w:fill="FFFFFF"/>
          <w14:ligatures w14:val="none"/>
        </w:rPr>
        <w:t>,</w:t>
      </w:r>
      <w:r>
        <w:rPr>
          <w:rStyle w:val="FootnoteReference"/>
          <w:rFonts w:eastAsia="Times New Roman" w:cstheme="minorHAnsi"/>
          <w:kern w:val="0"/>
          <w:shd w:val="clear" w:color="auto" w:fill="FFFFFF"/>
          <w14:ligatures w14:val="none"/>
        </w:rPr>
        <w:footnoteReference w:id="11"/>
      </w:r>
      <w:r>
        <w:rPr>
          <w:rFonts w:eastAsia="Times New Roman" w:cstheme="minorHAnsi"/>
          <w:kern w:val="0"/>
          <w:shd w:val="clear" w:color="auto" w:fill="FFFFFF"/>
          <w14:ligatures w14:val="none"/>
        </w:rPr>
        <w:t xml:space="preserve"> or,</w:t>
      </w:r>
    </w:p>
    <w:p w14:paraId="42717908" w14:textId="6D0BF662" w:rsidR="006351E7" w:rsidRDefault="00C67B53" w:rsidP="007F1523">
      <w:pPr>
        <w:pStyle w:val="ListParagraph"/>
        <w:numPr>
          <w:ilvl w:val="0"/>
          <w:numId w:val="18"/>
        </w:numPr>
        <w:spacing w:line="278" w:lineRule="auto"/>
      </w:pPr>
      <w:r w:rsidRPr="00256637">
        <w:t>Mandated safety training</w:t>
      </w:r>
      <w:r>
        <w:t>s</w:t>
      </w:r>
      <w:r w:rsidRPr="00256637">
        <w:t xml:space="preserve"> (</w:t>
      </w:r>
      <w:r>
        <w:t xml:space="preserve">including Federal, State, union or employer mandated </w:t>
      </w:r>
      <w:r w:rsidRPr="00256637">
        <w:t xml:space="preserve">safety </w:t>
      </w:r>
      <w:r>
        <w:t>trainings</w:t>
      </w:r>
      <w:r w:rsidRPr="00256637">
        <w:t>)</w:t>
      </w:r>
      <w:r>
        <w:t>.</w:t>
      </w:r>
    </w:p>
    <w:p w14:paraId="4971C16D" w14:textId="581D9DFC" w:rsidR="008E63D5" w:rsidRPr="008E63D5" w:rsidRDefault="008E63D5" w:rsidP="008E63D5">
      <w:pPr>
        <w:pStyle w:val="NoSpacing"/>
        <w:rPr>
          <w:u w:val="single"/>
        </w:rPr>
      </w:pPr>
      <w:r w:rsidRPr="008E63D5">
        <w:rPr>
          <w:u w:val="single"/>
        </w:rPr>
        <w:t>Incumbent Worker Training</w:t>
      </w:r>
      <w:r>
        <w:rPr>
          <w:u w:val="single"/>
        </w:rPr>
        <w:t xml:space="preserve"> Delivery</w:t>
      </w:r>
      <w:r w:rsidR="00B37268">
        <w:rPr>
          <w:u w:val="single"/>
        </w:rPr>
        <w:t xml:space="preserve">, </w:t>
      </w:r>
      <w:r>
        <w:rPr>
          <w:u w:val="single"/>
        </w:rPr>
        <w:t>Location and Time:</w:t>
      </w:r>
    </w:p>
    <w:p w14:paraId="1231596E" w14:textId="7EF7F3E0" w:rsidR="008E63D5" w:rsidRPr="0068550A" w:rsidRDefault="008E63D5" w:rsidP="008E63D5">
      <w:pPr>
        <w:pStyle w:val="NoSpacing"/>
      </w:pPr>
      <w:r>
        <w:t xml:space="preserve">Incumbent worker trainings may be done in-person, online, or in a hybrid environment. </w:t>
      </w:r>
      <w:r w:rsidR="006217BF">
        <w:t>In-person t</w:t>
      </w:r>
      <w:r>
        <w:t xml:space="preserve">rainings may occur at the employer(s) place(s) of business or another location (training center, classroom, etc.) </w:t>
      </w:r>
      <w:r w:rsidR="006217BF">
        <w:t xml:space="preserve">and </w:t>
      </w:r>
      <w:r>
        <w:t>at whatever time is most appropriate.</w:t>
      </w:r>
    </w:p>
    <w:p w14:paraId="4AF12A51" w14:textId="02E73F19" w:rsidR="00C24D90" w:rsidRPr="00593A4D" w:rsidRDefault="00C24D90" w:rsidP="00593A4D">
      <w:pPr>
        <w:pStyle w:val="NoSpacing"/>
        <w:rPr>
          <w:b/>
          <w:bCs/>
          <w:u w:val="single"/>
        </w:rPr>
      </w:pPr>
      <w:r w:rsidRPr="00593A4D">
        <w:rPr>
          <w:b/>
          <w:bCs/>
          <w:u w:val="single"/>
        </w:rPr>
        <w:t xml:space="preserve">Worker </w:t>
      </w:r>
      <w:r w:rsidR="0075341A" w:rsidRPr="00593A4D">
        <w:rPr>
          <w:b/>
          <w:bCs/>
          <w:u w:val="single"/>
        </w:rPr>
        <w:t>Eligibility</w:t>
      </w:r>
      <w:r w:rsidRPr="00593A4D">
        <w:rPr>
          <w:b/>
          <w:bCs/>
          <w:u w:val="single"/>
        </w:rPr>
        <w:t xml:space="preserve"> </w:t>
      </w:r>
    </w:p>
    <w:p w14:paraId="0D80F067" w14:textId="5A3C8841" w:rsidR="00593A4D" w:rsidRPr="00CB3C38" w:rsidRDefault="00CB3C38" w:rsidP="00593A4D">
      <w:pPr>
        <w:pStyle w:val="NoSpacing"/>
        <w:rPr>
          <w:rFonts w:eastAsia="Times New Roman" w:cstheme="minorHAnsi"/>
          <w:kern w:val="0"/>
          <w14:ligatures w14:val="none"/>
        </w:rPr>
      </w:pPr>
      <w:r>
        <w:rPr>
          <w:rFonts w:eastAsia="Times New Roman" w:cstheme="minorHAnsi"/>
          <w:kern w:val="0"/>
          <w14:ligatures w14:val="none"/>
        </w:rPr>
        <w:t>A</w:t>
      </w:r>
      <w:r w:rsidR="008D5F83">
        <w:rPr>
          <w:rFonts w:eastAsia="Times New Roman" w:cstheme="minorHAnsi"/>
          <w:kern w:val="0"/>
          <w14:ligatures w14:val="none"/>
        </w:rPr>
        <w:t>ll</w:t>
      </w:r>
      <w:r w:rsidR="00C24D90" w:rsidRPr="001F7419">
        <w:rPr>
          <w:rFonts w:eastAsia="Times New Roman" w:cstheme="minorHAnsi"/>
          <w:kern w:val="0"/>
          <w14:ligatures w14:val="none"/>
        </w:rPr>
        <w:t xml:space="preserve"> </w:t>
      </w:r>
      <w:r w:rsidR="00593A4D" w:rsidRPr="006E0270">
        <w:rPr>
          <w:rFonts w:eastAsia="Times New Roman" w:cstheme="minorHAnsi"/>
          <w:kern w:val="0"/>
          <w14:ligatures w14:val="none"/>
        </w:rPr>
        <w:t>the incumbent worker</w:t>
      </w:r>
      <w:r w:rsidR="00593A4D">
        <w:rPr>
          <w:rFonts w:eastAsia="Times New Roman" w:cstheme="minorHAnsi"/>
          <w:kern w:val="0"/>
          <w14:ligatures w14:val="none"/>
        </w:rPr>
        <w:t>s</w:t>
      </w:r>
      <w:r w:rsidR="00C24D90" w:rsidRPr="001F7419">
        <w:rPr>
          <w:rFonts w:eastAsia="Times New Roman" w:cstheme="minorHAnsi"/>
          <w:kern w:val="0"/>
          <w14:ligatures w14:val="none"/>
        </w:rPr>
        <w:t xml:space="preserve"> must</w:t>
      </w:r>
      <w:r w:rsidR="00424711">
        <w:rPr>
          <w:rFonts w:eastAsia="Times New Roman" w:cstheme="minorHAnsi"/>
          <w:kern w:val="0"/>
          <w14:ligatures w14:val="none"/>
        </w:rPr>
        <w:t>:</w:t>
      </w:r>
    </w:p>
    <w:p w14:paraId="52F2D4C3" w14:textId="2587005A" w:rsidR="00112B79" w:rsidRPr="00112B79" w:rsidRDefault="00112B79" w:rsidP="00112B79">
      <w:pPr>
        <w:pStyle w:val="ListParagraph"/>
        <w:numPr>
          <w:ilvl w:val="0"/>
          <w:numId w:val="10"/>
        </w:numPr>
        <w:spacing w:after="0" w:line="240" w:lineRule="auto"/>
        <w:rPr>
          <w:rFonts w:eastAsia="Times New Roman" w:cstheme="minorHAnsi"/>
          <w:kern w:val="0"/>
          <w14:ligatures w14:val="none"/>
        </w:rPr>
      </w:pPr>
      <w:r w:rsidRPr="005A2ED3">
        <w:rPr>
          <w:rFonts w:eastAsia="Times New Roman" w:cstheme="minorHAnsi"/>
          <w:kern w:val="0"/>
          <w14:ligatures w14:val="none"/>
        </w:rPr>
        <w:t xml:space="preserve">Be a U.S. citizen or </w:t>
      </w:r>
      <w:r>
        <w:rPr>
          <w:rFonts w:eastAsia="Times New Roman" w:cstheme="minorHAnsi"/>
          <w:kern w:val="0"/>
          <w14:ligatures w14:val="none"/>
        </w:rPr>
        <w:t>have U.S. work authorization,</w:t>
      </w:r>
    </w:p>
    <w:p w14:paraId="7CE1A729" w14:textId="51D31376" w:rsidR="00424711" w:rsidRPr="00142B77" w:rsidRDefault="00EA4BCD" w:rsidP="00142B77">
      <w:pPr>
        <w:pStyle w:val="ListParagraph"/>
        <w:numPr>
          <w:ilvl w:val="0"/>
          <w:numId w:val="10"/>
        </w:numPr>
        <w:spacing w:before="100" w:beforeAutospacing="1" w:after="100" w:afterAutospacing="1" w:line="270" w:lineRule="atLeast"/>
        <w:rPr>
          <w:rFonts w:eastAsia="Times New Roman" w:cstheme="minorHAnsi"/>
          <w:kern w:val="0"/>
          <w14:ligatures w14:val="none"/>
        </w:rPr>
      </w:pPr>
      <w:r>
        <w:rPr>
          <w:rFonts w:eastAsia="Times New Roman" w:cstheme="minorHAnsi"/>
          <w:kern w:val="0"/>
          <w14:ligatures w14:val="none"/>
        </w:rPr>
        <w:lastRenderedPageBreak/>
        <w:t>Be e</w:t>
      </w:r>
      <w:r w:rsidR="00E77FE2" w:rsidRPr="001F7419">
        <w:rPr>
          <w:rFonts w:eastAsia="Times New Roman" w:cstheme="minorHAnsi"/>
          <w:kern w:val="0"/>
          <w14:ligatures w14:val="none"/>
        </w:rPr>
        <w:t>mployed</w:t>
      </w:r>
      <w:r w:rsidR="00666C8D">
        <w:rPr>
          <w:rFonts w:eastAsia="Times New Roman" w:cstheme="minorHAnsi"/>
          <w:kern w:val="0"/>
          <w14:ligatures w14:val="none"/>
        </w:rPr>
        <w:t xml:space="preserve"> </w:t>
      </w:r>
      <w:r w:rsidR="00142B77" w:rsidRPr="00142B77">
        <w:rPr>
          <w:rFonts w:eastAsia="Times New Roman" w:cstheme="minorHAnsi"/>
          <w:kern w:val="0"/>
          <w:u w:val="single"/>
          <w14:ligatures w14:val="none"/>
        </w:rPr>
        <w:t>and</w:t>
      </w:r>
      <w:r w:rsidR="00142B77">
        <w:rPr>
          <w:rFonts w:eastAsia="Times New Roman" w:cstheme="minorHAnsi"/>
          <w:kern w:val="0"/>
          <w14:ligatures w14:val="none"/>
        </w:rPr>
        <w:t xml:space="preserve"> have</w:t>
      </w:r>
      <w:r w:rsidR="00142B77" w:rsidRPr="001F7419">
        <w:rPr>
          <w:rFonts w:eastAsia="Times New Roman" w:cstheme="minorHAnsi"/>
          <w:kern w:val="0"/>
          <w14:ligatures w14:val="none"/>
        </w:rPr>
        <w:t xml:space="preserve"> Fair Labor Standards Act </w:t>
      </w:r>
      <w:r w:rsidR="00142B77">
        <w:rPr>
          <w:rFonts w:eastAsia="Times New Roman" w:cstheme="minorHAnsi"/>
          <w:kern w:val="0"/>
          <w14:ligatures w14:val="none"/>
        </w:rPr>
        <w:t>(FLSA)</w:t>
      </w:r>
      <w:r w:rsidR="00142B77" w:rsidRPr="001F7419">
        <w:rPr>
          <w:rFonts w:eastAsia="Times New Roman" w:cstheme="minorHAnsi"/>
          <w:kern w:val="0"/>
          <w14:ligatures w14:val="none"/>
        </w:rPr>
        <w:t xml:space="preserve"> </w:t>
      </w:r>
      <w:r w:rsidR="00142B77" w:rsidRPr="001F7419">
        <w:rPr>
          <w:rFonts w:eastAsia="Times New Roman" w:cstheme="minorHAnsi"/>
          <w:i/>
          <w:iCs/>
          <w:kern w:val="0"/>
          <w14:ligatures w14:val="none"/>
        </w:rPr>
        <w:t>Employer-Employee Relationshi</w:t>
      </w:r>
      <w:r w:rsidR="00142B77">
        <w:rPr>
          <w:rFonts w:eastAsia="Times New Roman" w:cstheme="minorHAnsi"/>
          <w:i/>
          <w:iCs/>
          <w:kern w:val="0"/>
          <w14:ligatures w14:val="none"/>
        </w:rPr>
        <w:t xml:space="preserve">p </w:t>
      </w:r>
      <w:r w:rsidR="00142B77">
        <w:rPr>
          <w:rFonts w:eastAsia="Times New Roman" w:cstheme="minorHAnsi"/>
          <w:kern w:val="0"/>
          <w14:ligatures w14:val="none"/>
        </w:rPr>
        <w:t>with the IWT employer(s),</w:t>
      </w:r>
      <w:r w:rsidR="00142B77">
        <w:rPr>
          <w:rStyle w:val="FootnoteReference"/>
          <w:rFonts w:eastAsia="Times New Roman" w:cstheme="minorHAnsi"/>
          <w:kern w:val="0"/>
          <w14:ligatures w14:val="none"/>
        </w:rPr>
        <w:footnoteReference w:id="12"/>
      </w:r>
    </w:p>
    <w:p w14:paraId="015873CD" w14:textId="77777777" w:rsidR="0068550A" w:rsidRPr="0068550A" w:rsidRDefault="00142B77" w:rsidP="0068550A">
      <w:pPr>
        <w:pStyle w:val="ListParagraph"/>
        <w:numPr>
          <w:ilvl w:val="0"/>
          <w:numId w:val="10"/>
        </w:numPr>
        <w:spacing w:before="100" w:beforeAutospacing="1" w:after="100" w:afterAutospacing="1" w:line="270" w:lineRule="atLeast"/>
        <w:rPr>
          <w:rFonts w:eastAsia="Times New Roman" w:cstheme="minorHAnsi"/>
          <w:kern w:val="0"/>
          <w14:ligatures w14:val="none"/>
        </w:rPr>
      </w:pPr>
      <w:r w:rsidRPr="004A776B">
        <w:rPr>
          <w:rFonts w:eastAsia="Times New Roman" w:cstheme="minorHAnsi"/>
          <w:kern w:val="0"/>
          <w14:ligatures w14:val="none"/>
        </w:rPr>
        <w:t xml:space="preserve">Have </w:t>
      </w:r>
      <w:r w:rsidR="00424711" w:rsidRPr="004A776B">
        <w:rPr>
          <w:rFonts w:eastAsia="Times New Roman" w:cstheme="minorHAnsi"/>
          <w:kern w:val="0"/>
          <w14:ligatures w14:val="none"/>
        </w:rPr>
        <w:t xml:space="preserve">an </w:t>
      </w:r>
      <w:r w:rsidR="00EA4BCD" w:rsidRPr="00F64A16">
        <w:t xml:space="preserve">established employment history with the </w:t>
      </w:r>
      <w:r>
        <w:t xml:space="preserve">IWT </w:t>
      </w:r>
      <w:r w:rsidR="00EA4BCD" w:rsidRPr="00E77FE2">
        <w:t>employer</w:t>
      </w:r>
      <w:r>
        <w:t>(s)</w:t>
      </w:r>
      <w:r w:rsidR="00EA4BCD" w:rsidRPr="00E77FE2">
        <w:t xml:space="preserve"> for </w:t>
      </w:r>
      <w:r>
        <w:t xml:space="preserve">at least </w:t>
      </w:r>
      <w:r w:rsidR="00EA4BCD">
        <w:t>six</w:t>
      </w:r>
      <w:r w:rsidR="00EA4BCD" w:rsidRPr="00E77FE2">
        <w:t xml:space="preserve"> months</w:t>
      </w:r>
      <w:r w:rsidR="00EA4BCD">
        <w:t>,</w:t>
      </w:r>
      <w:r w:rsidR="00424711">
        <w:rPr>
          <w:rStyle w:val="FootnoteReference"/>
        </w:rPr>
        <w:footnoteReference w:id="13"/>
      </w:r>
      <w:r w:rsidR="00EA4BCD">
        <w:t xml:space="preserve"> and,</w:t>
      </w:r>
    </w:p>
    <w:p w14:paraId="632D62FD" w14:textId="77777777" w:rsidR="0068550A" w:rsidRPr="0068550A" w:rsidRDefault="005F7531" w:rsidP="007F1523">
      <w:pPr>
        <w:pStyle w:val="ListParagraph"/>
        <w:numPr>
          <w:ilvl w:val="0"/>
          <w:numId w:val="10"/>
        </w:numPr>
        <w:spacing w:before="100" w:beforeAutospacing="1" w:after="100" w:afterAutospacing="1" w:line="270" w:lineRule="atLeast"/>
        <w:rPr>
          <w:rFonts w:eastAsia="Times New Roman" w:cstheme="minorHAnsi"/>
          <w:kern w:val="0"/>
          <w14:ligatures w14:val="none"/>
        </w:rPr>
      </w:pPr>
      <w:r w:rsidRPr="003641E7">
        <w:t>Meet</w:t>
      </w:r>
      <w:r w:rsidR="00593A4D" w:rsidRPr="003641E7">
        <w:t xml:space="preserve"> Selective Service registration requirements (if applicable, see DEED’s Selective Service Registration policy)</w:t>
      </w:r>
      <w:r w:rsidRPr="003641E7">
        <w:t>.</w:t>
      </w:r>
    </w:p>
    <w:p w14:paraId="179EAA83" w14:textId="7FF1328E" w:rsidR="00030F9F" w:rsidRPr="0068550A" w:rsidRDefault="005F7531" w:rsidP="0068550A">
      <w:pPr>
        <w:pStyle w:val="NoSpacing"/>
        <w:rPr>
          <w:rFonts w:eastAsia="Times New Roman" w:cstheme="minorHAnsi"/>
          <w:kern w:val="0"/>
          <w:u w:val="single"/>
          <w14:ligatures w14:val="none"/>
        </w:rPr>
      </w:pPr>
      <w:r w:rsidRPr="0068550A">
        <w:rPr>
          <w:u w:val="single"/>
        </w:rPr>
        <w:t>Employer and Employer-Employee Relationship Clarification:</w:t>
      </w:r>
    </w:p>
    <w:p w14:paraId="63F12A48" w14:textId="559F7E17" w:rsidR="001300FB" w:rsidRPr="001300FB" w:rsidRDefault="001300FB" w:rsidP="001300FB">
      <w:pPr>
        <w:pStyle w:val="NoSpacing"/>
      </w:pPr>
      <w:r>
        <w:t>Employment must be with the IWT employer(s)</w:t>
      </w:r>
      <w:r w:rsidR="00B37268">
        <w:t xml:space="preserve"> as an employee and not as an independent</w:t>
      </w:r>
      <w:r w:rsidR="00B37268" w:rsidRPr="00517497">
        <w:t xml:space="preserve"> contract</w:t>
      </w:r>
      <w:r w:rsidR="00B37268">
        <w:t>or, s</w:t>
      </w:r>
      <w:r w:rsidR="00B37268" w:rsidRPr="00517497">
        <w:t>easonal work</w:t>
      </w:r>
      <w:r w:rsidR="00B37268">
        <w:t>er, or t</w:t>
      </w:r>
      <w:r w:rsidR="00B37268" w:rsidRPr="007D28FA">
        <w:t>emporary work</w:t>
      </w:r>
      <w:r w:rsidR="00B37268">
        <w:t>er (Temp jobs, etc.).</w:t>
      </w:r>
      <w:r>
        <w:t xml:space="preserve"> </w:t>
      </w:r>
      <w:r w:rsidRPr="00D1057F">
        <w:t xml:space="preserve">Employment may include full-time </w:t>
      </w:r>
      <w:r w:rsidR="00B37268">
        <w:rPr>
          <w:u w:val="single"/>
        </w:rPr>
        <w:t>or</w:t>
      </w:r>
      <w:r w:rsidRPr="00D1057F">
        <w:t xml:space="preserve"> part-time employees. There is no minimum number of hours that </w:t>
      </w:r>
      <w:r w:rsidR="00B37268">
        <w:t xml:space="preserve">a </w:t>
      </w:r>
      <w:r w:rsidRPr="00D1057F">
        <w:t>part-time employee must work to qualify for IWT.</w:t>
      </w:r>
    </w:p>
    <w:p w14:paraId="3B96DFC6" w14:textId="77777777" w:rsidR="001300FB" w:rsidRPr="00D1057F" w:rsidRDefault="001300FB" w:rsidP="001300FB">
      <w:pPr>
        <w:pStyle w:val="NoSpacing"/>
        <w:rPr>
          <w:sz w:val="12"/>
          <w:szCs w:val="12"/>
        </w:rPr>
      </w:pPr>
    </w:p>
    <w:p w14:paraId="2D07B2F8" w14:textId="65126640" w:rsidR="00B37268" w:rsidRDefault="001300FB" w:rsidP="00593A4D">
      <w:pPr>
        <w:pStyle w:val="NoSpacing"/>
        <w:rPr>
          <w:u w:val="single"/>
        </w:rPr>
      </w:pPr>
      <w:r w:rsidRPr="001300FB">
        <w:rPr>
          <w:b/>
          <w:bCs/>
        </w:rPr>
        <w:t>Note:</w:t>
      </w:r>
      <w:r>
        <w:t xml:space="preserve"> </w:t>
      </w:r>
      <w:r w:rsidRPr="00D1057F">
        <w:t xml:space="preserve">Refer to </w:t>
      </w:r>
      <w:hyperlink r:id="rId8" w:history="1">
        <w:r w:rsidRPr="00D1057F">
          <w:rPr>
            <w:rStyle w:val="Hyperlink"/>
          </w:rPr>
          <w:t>Wage and Hour Division Fact Sheet #13</w:t>
        </w:r>
      </w:hyperlink>
      <w:r w:rsidRPr="00D1057F">
        <w:t xml:space="preserve"> for </w:t>
      </w:r>
      <w:r w:rsidR="002625B4">
        <w:t xml:space="preserve">more </w:t>
      </w:r>
      <w:r>
        <w:t xml:space="preserve">information on </w:t>
      </w:r>
      <w:r w:rsidRPr="00506EC7">
        <w:rPr>
          <w:i/>
          <w:iCs/>
        </w:rPr>
        <w:t>Employee-Employer Relationship</w:t>
      </w:r>
      <w:r w:rsidRPr="00D1057F">
        <w:t xml:space="preserve"> determinations</w:t>
      </w:r>
      <w:r>
        <w:t>.</w:t>
      </w:r>
    </w:p>
    <w:p w14:paraId="370C0C5C" w14:textId="77777777" w:rsidR="00B37268" w:rsidRPr="002625B4" w:rsidRDefault="00B37268" w:rsidP="00593A4D">
      <w:pPr>
        <w:pStyle w:val="NoSpacing"/>
        <w:rPr>
          <w:sz w:val="12"/>
          <w:szCs w:val="12"/>
        </w:rPr>
      </w:pPr>
    </w:p>
    <w:p w14:paraId="1E314237" w14:textId="58ED6543" w:rsidR="00593A4D" w:rsidRPr="00FC1FA9" w:rsidRDefault="00FC1FA9" w:rsidP="00593A4D">
      <w:pPr>
        <w:pStyle w:val="NoSpacing"/>
        <w:rPr>
          <w:rFonts w:eastAsia="Times New Roman" w:cstheme="minorHAnsi"/>
          <w:kern w:val="0"/>
          <w:u w:val="single"/>
          <w14:ligatures w14:val="none"/>
        </w:rPr>
      </w:pPr>
      <w:r w:rsidRPr="00FC1FA9">
        <w:rPr>
          <w:u w:val="single"/>
        </w:rPr>
        <w:t xml:space="preserve">Six-Month </w:t>
      </w:r>
      <w:r w:rsidR="00593A4D" w:rsidRPr="00FC1FA9">
        <w:rPr>
          <w:u w:val="single"/>
        </w:rPr>
        <w:t>Employment History</w:t>
      </w:r>
      <w:r w:rsidR="00B37268" w:rsidRPr="00FC1FA9">
        <w:rPr>
          <w:u w:val="single"/>
        </w:rPr>
        <w:t xml:space="preserve"> Clarification</w:t>
      </w:r>
    </w:p>
    <w:p w14:paraId="7D3CFE0B" w14:textId="62B51DE2" w:rsidR="00533719" w:rsidRDefault="00B37268" w:rsidP="00593A4D">
      <w:pPr>
        <w:pStyle w:val="NoSpacing"/>
      </w:pPr>
      <w:r w:rsidRPr="00517497">
        <w:rPr>
          <w:rFonts w:cs="Calibri"/>
        </w:rPr>
        <w:t xml:space="preserve">While </w:t>
      </w:r>
      <w:r>
        <w:rPr>
          <w:rFonts w:cs="Calibri"/>
        </w:rPr>
        <w:t>i</w:t>
      </w:r>
      <w:r w:rsidRPr="00517497">
        <w:rPr>
          <w:rFonts w:eastAsia="Times New Roman" w:cs="Calibri"/>
          <w:kern w:val="0"/>
          <w14:ligatures w14:val="none"/>
        </w:rPr>
        <w:t>ndependent contractor</w:t>
      </w:r>
      <w:r>
        <w:rPr>
          <w:rFonts w:eastAsia="Times New Roman" w:cs="Calibri"/>
          <w:kern w:val="0"/>
          <w14:ligatures w14:val="none"/>
        </w:rPr>
        <w:t>s, s</w:t>
      </w:r>
      <w:r w:rsidRPr="00517497">
        <w:rPr>
          <w:rFonts w:eastAsia="Times New Roman" w:cs="Calibri"/>
          <w:kern w:val="0"/>
          <w14:ligatures w14:val="none"/>
        </w:rPr>
        <w:t>easonal work</w:t>
      </w:r>
      <w:r>
        <w:rPr>
          <w:rFonts w:eastAsia="Times New Roman" w:cs="Calibri"/>
          <w:kern w:val="0"/>
          <w14:ligatures w14:val="none"/>
        </w:rPr>
        <w:t>ers, and t</w:t>
      </w:r>
      <w:r w:rsidRPr="00DE49A5">
        <w:rPr>
          <w:rFonts w:eastAsia="Times New Roman" w:cs="Calibri"/>
          <w:kern w:val="0"/>
          <w14:ligatures w14:val="none"/>
        </w:rPr>
        <w:t>emporary work</w:t>
      </w:r>
      <w:r>
        <w:rPr>
          <w:rFonts w:eastAsia="Times New Roman" w:cs="Calibri"/>
          <w:kern w:val="0"/>
          <w14:ligatures w14:val="none"/>
        </w:rPr>
        <w:t xml:space="preserve">ers cannot receive IWT, </w:t>
      </w:r>
      <w:r w:rsidRPr="00E713F9">
        <w:rPr>
          <w:rFonts w:eastAsia="Times New Roman" w:cs="Calibri"/>
          <w:kern w:val="0"/>
          <w14:ligatures w14:val="none"/>
        </w:rPr>
        <w:t xml:space="preserve">periods </w:t>
      </w:r>
      <w:r>
        <w:rPr>
          <w:rFonts w:eastAsia="Times New Roman" w:cs="Calibri"/>
          <w:kern w:val="0"/>
          <w14:ligatures w14:val="none"/>
        </w:rPr>
        <w:t xml:space="preserve">(including non-consecutive periods) </w:t>
      </w:r>
      <w:r w:rsidRPr="00E713F9">
        <w:rPr>
          <w:rFonts w:eastAsia="Times New Roman" w:cs="Calibri"/>
          <w:kern w:val="0"/>
          <w14:ligatures w14:val="none"/>
        </w:rPr>
        <w:t xml:space="preserve">of </w:t>
      </w:r>
      <w:r>
        <w:rPr>
          <w:rFonts w:eastAsia="Times New Roman" w:cs="Calibri"/>
          <w:kern w:val="0"/>
          <w14:ligatures w14:val="none"/>
        </w:rPr>
        <w:t>this work</w:t>
      </w:r>
      <w:r w:rsidRPr="00E713F9">
        <w:rPr>
          <w:rFonts w:eastAsia="Times New Roman" w:cs="Calibri"/>
          <w:kern w:val="0"/>
          <w14:ligatures w14:val="none"/>
        </w:rPr>
        <w:t xml:space="preserve"> </w:t>
      </w:r>
      <w:r>
        <w:rPr>
          <w:rFonts w:eastAsia="Times New Roman" w:cs="Calibri"/>
          <w:kern w:val="0"/>
          <w14:ligatures w14:val="none"/>
        </w:rPr>
        <w:t>for the same IWT employer do</w:t>
      </w:r>
      <w:r w:rsidRPr="00E713F9">
        <w:rPr>
          <w:rFonts w:eastAsia="Times New Roman" w:cs="Calibri"/>
          <w:kern w:val="0"/>
          <w14:ligatures w14:val="none"/>
        </w:rPr>
        <w:t xml:space="preserve"> count towards an employee’s time for the purposes of </w:t>
      </w:r>
      <w:r>
        <w:rPr>
          <w:rFonts w:eastAsia="Times New Roman" w:cs="Calibri"/>
          <w:kern w:val="0"/>
          <w14:ligatures w14:val="none"/>
        </w:rPr>
        <w:t xml:space="preserve">meeting </w:t>
      </w:r>
      <w:r>
        <w:t>six-month employment history requirement</w:t>
      </w:r>
      <w:r w:rsidR="00D97758">
        <w:t>.</w:t>
      </w:r>
      <w:r w:rsidR="00D97758">
        <w:rPr>
          <w:rStyle w:val="FootnoteReference"/>
        </w:rPr>
        <w:footnoteReference w:id="14"/>
      </w:r>
      <w:r w:rsidR="00BC307C">
        <w:t xml:space="preserve"> Providers </w:t>
      </w:r>
      <w:r w:rsidR="00BC307C" w:rsidRPr="001F7419">
        <w:rPr>
          <w:u w:val="single"/>
        </w:rPr>
        <w:t>must</w:t>
      </w:r>
      <w:r w:rsidR="00BC307C">
        <w:t xml:space="preserve"> develop a process for documenting the </w:t>
      </w:r>
      <w:r>
        <w:t>six</w:t>
      </w:r>
      <w:r w:rsidR="00533719">
        <w:t>-month</w:t>
      </w:r>
      <w:r w:rsidR="00BC307C">
        <w:t xml:space="preserve"> </w:t>
      </w:r>
      <w:r>
        <w:t xml:space="preserve">employment </w:t>
      </w:r>
      <w:r w:rsidR="00BC307C">
        <w:t>history</w:t>
      </w:r>
      <w:r>
        <w:t xml:space="preserve"> requirement and include it in the c</w:t>
      </w:r>
      <w:r w:rsidR="00533719">
        <w:t xml:space="preserve">ontract between the provider and </w:t>
      </w:r>
      <w:r>
        <w:t xml:space="preserve">IWT </w:t>
      </w:r>
      <w:r w:rsidR="00533719">
        <w:t>employer(s).</w:t>
      </w:r>
      <w:r w:rsidR="00533719">
        <w:rPr>
          <w:rStyle w:val="FootnoteReference"/>
        </w:rPr>
        <w:footnoteReference w:id="15"/>
      </w:r>
    </w:p>
    <w:p w14:paraId="3A4F187D" w14:textId="77777777" w:rsidR="007C509B" w:rsidRPr="007C509B" w:rsidRDefault="007C509B" w:rsidP="00593A4D">
      <w:pPr>
        <w:pStyle w:val="NoSpacing"/>
        <w:rPr>
          <w:sz w:val="12"/>
          <w:szCs w:val="12"/>
        </w:rPr>
      </w:pPr>
    </w:p>
    <w:p w14:paraId="0D504F3B" w14:textId="7DC6728E" w:rsidR="008E707C" w:rsidRPr="007F1523" w:rsidRDefault="005E6A3F" w:rsidP="007C509B">
      <w:pPr>
        <w:pStyle w:val="NoSpacing"/>
      </w:pPr>
      <w:r>
        <w:t xml:space="preserve">For </w:t>
      </w:r>
      <w:r w:rsidR="00B37268">
        <w:t>i</w:t>
      </w:r>
      <w:r w:rsidR="00030F9F">
        <w:t xml:space="preserve">ncumbent worker trainings </w:t>
      </w:r>
      <w:r>
        <w:t xml:space="preserve">that include multiple individuals in the same </w:t>
      </w:r>
      <w:r w:rsidR="00335572">
        <w:t xml:space="preserve">cohort of employees, not every employee in the cohort must have an established employment history with the employer for six months or more as long as </w:t>
      </w:r>
      <w:r w:rsidR="00335572" w:rsidRPr="001F7419">
        <w:rPr>
          <w:u w:val="single"/>
        </w:rPr>
        <w:t>a majority</w:t>
      </w:r>
      <w:r w:rsidR="00335572">
        <w:t xml:space="preserve"> </w:t>
      </w:r>
      <w:r w:rsidR="006C38A1">
        <w:t xml:space="preserve">(at least 51%) </w:t>
      </w:r>
      <w:r w:rsidR="00335572">
        <w:t xml:space="preserve">of those employees </w:t>
      </w:r>
      <w:r w:rsidR="00FC1FA9">
        <w:t>in the cohort</w:t>
      </w:r>
      <w:r w:rsidR="00335572">
        <w:t xml:space="preserve"> meet the </w:t>
      </w:r>
      <w:r w:rsidR="00FC1FA9">
        <w:t xml:space="preserve">six-month </w:t>
      </w:r>
      <w:r w:rsidR="00335572">
        <w:t>employment history requirement.</w:t>
      </w:r>
      <w:r w:rsidR="008F382A">
        <w:rPr>
          <w:rStyle w:val="FootnoteReference"/>
        </w:rPr>
        <w:footnoteReference w:id="16"/>
      </w:r>
    </w:p>
    <w:p w14:paraId="42A7C027" w14:textId="1F2F459D" w:rsidR="008E707C" w:rsidRPr="007F1523" w:rsidRDefault="008E707C" w:rsidP="007F1523">
      <w:pPr>
        <w:pStyle w:val="NoSpacing"/>
        <w:rPr>
          <w:sz w:val="12"/>
          <w:szCs w:val="12"/>
        </w:rPr>
      </w:pPr>
    </w:p>
    <w:p w14:paraId="2CD8974A" w14:textId="1058BF71" w:rsidR="00DD2084" w:rsidRPr="00DD2084" w:rsidRDefault="00DD2084" w:rsidP="00090DC6">
      <w:pPr>
        <w:pStyle w:val="NoSpacing"/>
      </w:pPr>
      <w:r w:rsidRPr="00090DC6">
        <w:rPr>
          <w:b/>
          <w:bCs/>
          <w:u w:val="single"/>
        </w:rPr>
        <w:t xml:space="preserve">Use of </w:t>
      </w:r>
      <w:r w:rsidR="00090DC6" w:rsidRPr="00090DC6">
        <w:rPr>
          <w:b/>
          <w:bCs/>
          <w:u w:val="single"/>
        </w:rPr>
        <w:t xml:space="preserve">Incumbent Worker Training </w:t>
      </w:r>
      <w:r w:rsidRPr="00090DC6">
        <w:rPr>
          <w:b/>
          <w:bCs/>
          <w:u w:val="single"/>
        </w:rPr>
        <w:t>Funds</w:t>
      </w:r>
      <w:r w:rsidRPr="00DD2084">
        <w:br/>
      </w:r>
      <w:r w:rsidR="00090DC6">
        <w:t xml:space="preserve">Providers may use up to a </w:t>
      </w:r>
      <w:r w:rsidRPr="00DD2084">
        <w:t xml:space="preserve">combined 20% of </w:t>
      </w:r>
      <w:r w:rsidR="00A36F6E">
        <w:t>WIOA</w:t>
      </w:r>
      <w:r w:rsidR="00A36F6E" w:rsidRPr="00DD2084">
        <w:t xml:space="preserve"> </w:t>
      </w:r>
      <w:r w:rsidR="00A36F6E">
        <w:t>Adult and</w:t>
      </w:r>
      <w:r w:rsidR="001842C2">
        <w:t xml:space="preserve"> WIOA</w:t>
      </w:r>
      <w:r w:rsidR="00A36F6E">
        <w:t xml:space="preserve"> DW </w:t>
      </w:r>
      <w:r w:rsidRPr="00DD2084">
        <w:t xml:space="preserve">funds </w:t>
      </w:r>
      <w:r w:rsidR="00090DC6">
        <w:t xml:space="preserve">to </w:t>
      </w:r>
      <w:r w:rsidRPr="00DD2084">
        <w:t xml:space="preserve">provide IWT at the local level. Similarly, up to 20% of </w:t>
      </w:r>
      <w:r w:rsidR="00090DC6">
        <w:t>S</w:t>
      </w:r>
      <w:r w:rsidRPr="00DD2084">
        <w:t>tate</w:t>
      </w:r>
      <w:r w:rsidR="005A2ED3">
        <w:t xml:space="preserve"> DW</w:t>
      </w:r>
      <w:r w:rsidRPr="00DD2084">
        <w:t xml:space="preserve"> funds can be used for IWT.</w:t>
      </w:r>
      <w:r w:rsidR="00090DC6">
        <w:t xml:space="preserve"> </w:t>
      </w:r>
      <w:r w:rsidRPr="00DD2084">
        <w:t xml:space="preserve">Allowable costs for </w:t>
      </w:r>
      <w:r w:rsidR="00731E4A">
        <w:t>IWT</w:t>
      </w:r>
      <w:r w:rsidRPr="00DD2084">
        <w:t xml:space="preserve"> are the same as the allowable costs for all other types of training</w:t>
      </w:r>
      <w:r w:rsidR="00285AAA">
        <w:t xml:space="preserve"> services</w:t>
      </w:r>
      <w:r w:rsidRPr="00DD2084">
        <w:t>. For example, costs that qualify for reimbursement include (but are not limited to)</w:t>
      </w:r>
      <w:r w:rsidR="005A2ED3">
        <w:t>:</w:t>
      </w:r>
    </w:p>
    <w:p w14:paraId="0C30B94B" w14:textId="6FE5FF11" w:rsidR="00DD2084" w:rsidRPr="00DD2084" w:rsidRDefault="00DD2084" w:rsidP="00DD2084">
      <w:pPr>
        <w:numPr>
          <w:ilvl w:val="0"/>
          <w:numId w:val="1"/>
        </w:numPr>
        <w:spacing w:after="75" w:line="270" w:lineRule="atLeast"/>
        <w:rPr>
          <w:rFonts w:eastAsia="Times New Roman" w:cstheme="minorHAnsi"/>
          <w:kern w:val="0"/>
          <w14:ligatures w14:val="none"/>
        </w:rPr>
      </w:pPr>
      <w:r w:rsidRPr="00DD2084">
        <w:rPr>
          <w:rFonts w:eastAsia="Times New Roman" w:cstheme="minorHAnsi"/>
          <w:kern w:val="0"/>
          <w14:ligatures w14:val="none"/>
        </w:rPr>
        <w:t>Instructors’/trainers’ salaries</w:t>
      </w:r>
      <w:r w:rsidR="00FD328A">
        <w:rPr>
          <w:rFonts w:eastAsia="Times New Roman" w:cstheme="minorHAnsi"/>
          <w:kern w:val="0"/>
          <w14:ligatures w14:val="none"/>
        </w:rPr>
        <w:t xml:space="preserve">, </w:t>
      </w:r>
    </w:p>
    <w:p w14:paraId="444129B1" w14:textId="64548F0D" w:rsidR="00DD2084" w:rsidRPr="00DD2084" w:rsidRDefault="00DD2084" w:rsidP="00DD2084">
      <w:pPr>
        <w:numPr>
          <w:ilvl w:val="0"/>
          <w:numId w:val="1"/>
        </w:numPr>
        <w:spacing w:after="75" w:line="270" w:lineRule="atLeast"/>
        <w:rPr>
          <w:rFonts w:eastAsia="Times New Roman" w:cstheme="minorHAnsi"/>
          <w:kern w:val="0"/>
          <w14:ligatures w14:val="none"/>
        </w:rPr>
      </w:pPr>
      <w:r w:rsidRPr="00DD2084">
        <w:rPr>
          <w:rFonts w:eastAsia="Times New Roman" w:cstheme="minorHAnsi"/>
          <w:kern w:val="0"/>
          <w14:ligatures w14:val="none"/>
        </w:rPr>
        <w:t>Curriculum development</w:t>
      </w:r>
      <w:r w:rsidR="00FD328A">
        <w:rPr>
          <w:rFonts w:eastAsia="Times New Roman" w:cstheme="minorHAnsi"/>
          <w:kern w:val="0"/>
          <w14:ligatures w14:val="none"/>
        </w:rPr>
        <w:t>,</w:t>
      </w:r>
    </w:p>
    <w:p w14:paraId="12E95507" w14:textId="5AEF934A" w:rsidR="00DD2084" w:rsidRPr="00DD2084" w:rsidRDefault="00DD2084" w:rsidP="00DD2084">
      <w:pPr>
        <w:numPr>
          <w:ilvl w:val="0"/>
          <w:numId w:val="1"/>
        </w:numPr>
        <w:spacing w:after="75" w:line="270" w:lineRule="atLeast"/>
        <w:rPr>
          <w:rFonts w:eastAsia="Times New Roman" w:cstheme="minorHAnsi"/>
          <w:kern w:val="0"/>
          <w14:ligatures w14:val="none"/>
        </w:rPr>
      </w:pPr>
      <w:r w:rsidRPr="00DD2084">
        <w:rPr>
          <w:rFonts w:eastAsia="Times New Roman" w:cstheme="minorHAnsi"/>
          <w:kern w:val="0"/>
          <w14:ligatures w14:val="none"/>
        </w:rPr>
        <w:t>Textbooks and manuals</w:t>
      </w:r>
      <w:r w:rsidR="00FD328A">
        <w:rPr>
          <w:rFonts w:eastAsia="Times New Roman" w:cstheme="minorHAnsi"/>
          <w:kern w:val="0"/>
          <w14:ligatures w14:val="none"/>
        </w:rPr>
        <w:t>,</w:t>
      </w:r>
    </w:p>
    <w:p w14:paraId="1C6FAC56" w14:textId="15936EE5" w:rsidR="00DD2084" w:rsidRPr="00DD2084" w:rsidRDefault="00DD2084" w:rsidP="00DD2084">
      <w:pPr>
        <w:numPr>
          <w:ilvl w:val="0"/>
          <w:numId w:val="1"/>
        </w:numPr>
        <w:spacing w:after="75" w:line="270" w:lineRule="atLeast"/>
        <w:rPr>
          <w:rFonts w:eastAsia="Times New Roman" w:cstheme="minorHAnsi"/>
          <w:kern w:val="0"/>
          <w14:ligatures w14:val="none"/>
        </w:rPr>
      </w:pPr>
      <w:r w:rsidRPr="00DD2084">
        <w:rPr>
          <w:rFonts w:eastAsia="Times New Roman" w:cstheme="minorHAnsi"/>
          <w:kern w:val="0"/>
          <w14:ligatures w14:val="none"/>
        </w:rPr>
        <w:t>Materials and supplies</w:t>
      </w:r>
      <w:r w:rsidR="00FD328A">
        <w:rPr>
          <w:rFonts w:eastAsia="Times New Roman" w:cstheme="minorHAnsi"/>
          <w:kern w:val="0"/>
          <w14:ligatures w14:val="none"/>
        </w:rPr>
        <w:t>,</w:t>
      </w:r>
    </w:p>
    <w:p w14:paraId="03331AF7" w14:textId="6EC61FD1" w:rsidR="00DD2084" w:rsidRPr="00DD2084" w:rsidRDefault="00DD2084" w:rsidP="00DD2084">
      <w:pPr>
        <w:numPr>
          <w:ilvl w:val="0"/>
          <w:numId w:val="1"/>
        </w:numPr>
        <w:spacing w:after="75" w:line="270" w:lineRule="atLeast"/>
        <w:rPr>
          <w:rFonts w:eastAsia="Times New Roman" w:cstheme="minorHAnsi"/>
          <w:kern w:val="0"/>
          <w14:ligatures w14:val="none"/>
        </w:rPr>
      </w:pPr>
      <w:r w:rsidRPr="00DD2084">
        <w:rPr>
          <w:rFonts w:eastAsia="Times New Roman" w:cstheme="minorHAnsi"/>
          <w:kern w:val="0"/>
          <w14:ligatures w14:val="none"/>
        </w:rPr>
        <w:t>Tuition expenses</w:t>
      </w:r>
      <w:r w:rsidR="00FD328A">
        <w:rPr>
          <w:rFonts w:eastAsia="Times New Roman" w:cstheme="minorHAnsi"/>
          <w:kern w:val="0"/>
          <w14:ligatures w14:val="none"/>
        </w:rPr>
        <w:t xml:space="preserve">, and, </w:t>
      </w:r>
    </w:p>
    <w:p w14:paraId="70523B64" w14:textId="709494EC" w:rsidR="0068550A" w:rsidRDefault="00DD2084" w:rsidP="00090DC6">
      <w:pPr>
        <w:numPr>
          <w:ilvl w:val="0"/>
          <w:numId w:val="1"/>
        </w:numPr>
        <w:spacing w:after="75" w:line="270" w:lineRule="atLeast"/>
        <w:rPr>
          <w:rFonts w:eastAsia="Times New Roman" w:cstheme="minorHAnsi"/>
          <w:kern w:val="0"/>
          <w14:ligatures w14:val="none"/>
        </w:rPr>
      </w:pPr>
      <w:r w:rsidRPr="00DD2084">
        <w:rPr>
          <w:rFonts w:eastAsia="Times New Roman" w:cstheme="minorHAnsi"/>
          <w:kern w:val="0"/>
          <w14:ligatures w14:val="none"/>
        </w:rPr>
        <w:t>Off-site training space (i.e. classroom rental)</w:t>
      </w:r>
      <w:r w:rsidR="00FD328A">
        <w:rPr>
          <w:rFonts w:eastAsia="Times New Roman" w:cstheme="minorHAnsi"/>
          <w:kern w:val="0"/>
          <w14:ligatures w14:val="none"/>
        </w:rPr>
        <w:t>.</w:t>
      </w:r>
    </w:p>
    <w:p w14:paraId="2935401D" w14:textId="77777777" w:rsidR="0068550A" w:rsidRPr="0068550A" w:rsidRDefault="0068550A" w:rsidP="0068550A">
      <w:pPr>
        <w:pStyle w:val="NoSpacing"/>
        <w:rPr>
          <w:sz w:val="12"/>
          <w:szCs w:val="12"/>
        </w:rPr>
      </w:pPr>
    </w:p>
    <w:p w14:paraId="0CE975E0" w14:textId="77777777" w:rsidR="0068550A" w:rsidRDefault="0068550A" w:rsidP="00090DC6">
      <w:pPr>
        <w:pStyle w:val="NoSpacing"/>
        <w:rPr>
          <w:b/>
          <w:bCs/>
          <w:u w:val="single"/>
        </w:rPr>
      </w:pPr>
    </w:p>
    <w:p w14:paraId="24040AE3" w14:textId="77777777" w:rsidR="0068550A" w:rsidRDefault="0068550A" w:rsidP="00090DC6">
      <w:pPr>
        <w:pStyle w:val="NoSpacing"/>
        <w:rPr>
          <w:b/>
          <w:bCs/>
          <w:u w:val="single"/>
        </w:rPr>
      </w:pPr>
    </w:p>
    <w:p w14:paraId="24D56DB9" w14:textId="77777777" w:rsidR="0068550A" w:rsidRDefault="0068550A" w:rsidP="00090DC6">
      <w:pPr>
        <w:pStyle w:val="NoSpacing"/>
        <w:rPr>
          <w:b/>
          <w:bCs/>
          <w:u w:val="single"/>
        </w:rPr>
      </w:pPr>
    </w:p>
    <w:p w14:paraId="4A9EC897" w14:textId="77777777" w:rsidR="0068550A" w:rsidRDefault="0068550A" w:rsidP="00090DC6">
      <w:pPr>
        <w:pStyle w:val="NoSpacing"/>
        <w:rPr>
          <w:b/>
          <w:bCs/>
          <w:u w:val="single"/>
        </w:rPr>
      </w:pPr>
    </w:p>
    <w:p w14:paraId="7880B17B" w14:textId="2ADF1113" w:rsidR="000B52F6" w:rsidRPr="000B52F6" w:rsidRDefault="000B52F6" w:rsidP="00090DC6">
      <w:pPr>
        <w:pStyle w:val="NoSpacing"/>
        <w:rPr>
          <w:b/>
          <w:bCs/>
          <w:u w:val="single"/>
        </w:rPr>
      </w:pPr>
      <w:r w:rsidRPr="000B52F6">
        <w:rPr>
          <w:b/>
          <w:bCs/>
          <w:u w:val="single"/>
        </w:rPr>
        <w:lastRenderedPageBreak/>
        <w:t>Unallowed Uses of Incumbent Worker Training Funds</w:t>
      </w:r>
    </w:p>
    <w:p w14:paraId="365E1007" w14:textId="547CBD90" w:rsidR="000B52F6" w:rsidRPr="007F1523" w:rsidRDefault="000B52F6" w:rsidP="00DD2084">
      <w:pPr>
        <w:spacing w:after="0" w:line="240" w:lineRule="auto"/>
        <w:rPr>
          <w:rFonts w:eastAsia="Times New Roman" w:cstheme="minorHAnsi"/>
          <w:kern w:val="0"/>
          <w:shd w:val="clear" w:color="auto" w:fill="FFFFFF"/>
          <w14:ligatures w14:val="none"/>
        </w:rPr>
      </w:pPr>
      <w:r>
        <w:rPr>
          <w:rFonts w:eastAsia="Times New Roman" w:cstheme="minorHAnsi"/>
          <w:kern w:val="0"/>
          <w:shd w:val="clear" w:color="auto" w:fill="FFFFFF"/>
          <w14:ligatures w14:val="none"/>
        </w:rPr>
        <w:t>IWT funds cannot be used for any of the following:</w:t>
      </w:r>
    </w:p>
    <w:p w14:paraId="453EE680" w14:textId="79189969" w:rsidR="00DD2084" w:rsidRPr="00DD2084" w:rsidRDefault="00DD2084" w:rsidP="00DD2084">
      <w:pPr>
        <w:numPr>
          <w:ilvl w:val="0"/>
          <w:numId w:val="2"/>
        </w:numPr>
        <w:spacing w:after="75" w:line="270" w:lineRule="atLeast"/>
        <w:rPr>
          <w:rFonts w:eastAsia="Times New Roman" w:cstheme="minorHAnsi"/>
          <w:kern w:val="0"/>
          <w14:ligatures w14:val="none"/>
        </w:rPr>
      </w:pPr>
      <w:r w:rsidRPr="00DD2084">
        <w:rPr>
          <w:rFonts w:eastAsia="Times New Roman" w:cstheme="minorHAnsi"/>
          <w:kern w:val="0"/>
          <w14:ligatures w14:val="none"/>
        </w:rPr>
        <w:t>Administrative costs</w:t>
      </w:r>
      <w:r w:rsidR="000B52F6">
        <w:rPr>
          <w:rFonts w:eastAsia="Times New Roman" w:cstheme="minorHAnsi"/>
          <w:kern w:val="0"/>
          <w14:ligatures w14:val="none"/>
        </w:rPr>
        <w:t xml:space="preserve"> </w:t>
      </w:r>
    </w:p>
    <w:p w14:paraId="191DA1E1" w14:textId="01BBD892" w:rsidR="00DD2084" w:rsidRPr="00DD2084" w:rsidRDefault="0091451B" w:rsidP="00DD2084">
      <w:pPr>
        <w:numPr>
          <w:ilvl w:val="0"/>
          <w:numId w:val="2"/>
        </w:numPr>
        <w:spacing w:after="75" w:line="270" w:lineRule="atLeast"/>
        <w:rPr>
          <w:rFonts w:eastAsia="Times New Roman" w:cstheme="minorHAnsi"/>
          <w:kern w:val="0"/>
          <w14:ligatures w14:val="none"/>
        </w:rPr>
      </w:pPr>
      <w:r>
        <w:rPr>
          <w:rFonts w:eastAsia="Times New Roman" w:cstheme="minorHAnsi"/>
          <w:kern w:val="0"/>
          <w14:ligatures w14:val="none"/>
        </w:rPr>
        <w:t>Employee</w:t>
      </w:r>
      <w:r w:rsidR="00DD2084" w:rsidRPr="00DD2084">
        <w:rPr>
          <w:rFonts w:eastAsia="Times New Roman" w:cstheme="minorHAnsi"/>
          <w:kern w:val="0"/>
          <w14:ligatures w14:val="none"/>
        </w:rPr>
        <w:t xml:space="preserve"> wages</w:t>
      </w:r>
      <w:r w:rsidR="00FD328A">
        <w:rPr>
          <w:rFonts w:eastAsia="Times New Roman" w:cstheme="minorHAnsi"/>
          <w:kern w:val="0"/>
          <w14:ligatures w14:val="none"/>
        </w:rPr>
        <w:t xml:space="preserve">, </w:t>
      </w:r>
    </w:p>
    <w:p w14:paraId="20D8055D" w14:textId="3FC190BE" w:rsidR="00DD2084" w:rsidRPr="00DD2084" w:rsidRDefault="00DD2084" w:rsidP="00DD2084">
      <w:pPr>
        <w:numPr>
          <w:ilvl w:val="0"/>
          <w:numId w:val="2"/>
        </w:numPr>
        <w:spacing w:after="75" w:line="270" w:lineRule="atLeast"/>
        <w:rPr>
          <w:rFonts w:eastAsia="Times New Roman" w:cstheme="minorHAnsi"/>
          <w:kern w:val="0"/>
          <w14:ligatures w14:val="none"/>
        </w:rPr>
      </w:pPr>
      <w:r w:rsidRPr="00DD2084">
        <w:rPr>
          <w:rFonts w:eastAsia="Times New Roman" w:cstheme="minorHAnsi"/>
          <w:kern w:val="0"/>
          <w14:ligatures w14:val="none"/>
        </w:rPr>
        <w:t>Purchases of capital equipment or capital improvement</w:t>
      </w:r>
      <w:r w:rsidR="000B52F6">
        <w:rPr>
          <w:rFonts w:eastAsia="Times New Roman" w:cstheme="minorHAnsi"/>
          <w:kern w:val="0"/>
          <w14:ligatures w14:val="none"/>
        </w:rPr>
        <w:t>s</w:t>
      </w:r>
      <w:r w:rsidR="00FD328A">
        <w:rPr>
          <w:rFonts w:eastAsia="Times New Roman" w:cstheme="minorHAnsi"/>
          <w:kern w:val="0"/>
          <w14:ligatures w14:val="none"/>
        </w:rPr>
        <w:t>,</w:t>
      </w:r>
    </w:p>
    <w:p w14:paraId="1A528559" w14:textId="095EA0F4" w:rsidR="00DD2084" w:rsidRPr="00DD2084" w:rsidRDefault="00DD2084" w:rsidP="00DD2084">
      <w:pPr>
        <w:numPr>
          <w:ilvl w:val="0"/>
          <w:numId w:val="2"/>
        </w:numPr>
        <w:spacing w:after="75" w:line="270" w:lineRule="atLeast"/>
        <w:rPr>
          <w:rFonts w:eastAsia="Times New Roman" w:cstheme="minorHAnsi"/>
          <w:kern w:val="0"/>
          <w14:ligatures w14:val="none"/>
        </w:rPr>
      </w:pPr>
      <w:r w:rsidRPr="00DD2084">
        <w:rPr>
          <w:rFonts w:eastAsia="Times New Roman" w:cstheme="minorHAnsi"/>
          <w:kern w:val="0"/>
          <w14:ligatures w14:val="none"/>
        </w:rPr>
        <w:t>Purchases of items or services that will be used primarily outside of the incumbent worker training</w:t>
      </w:r>
      <w:r w:rsidR="00FD328A">
        <w:rPr>
          <w:rFonts w:eastAsia="Times New Roman" w:cstheme="minorHAnsi"/>
          <w:kern w:val="0"/>
          <w14:ligatures w14:val="none"/>
        </w:rPr>
        <w:t>,</w:t>
      </w:r>
    </w:p>
    <w:p w14:paraId="6AD26286" w14:textId="2B2E980F" w:rsidR="00DD2084" w:rsidRPr="00DD2084" w:rsidRDefault="00DD2084" w:rsidP="00DD2084">
      <w:pPr>
        <w:numPr>
          <w:ilvl w:val="0"/>
          <w:numId w:val="2"/>
        </w:numPr>
        <w:spacing w:after="75" w:line="270" w:lineRule="atLeast"/>
        <w:rPr>
          <w:rFonts w:eastAsia="Times New Roman" w:cstheme="minorHAnsi"/>
          <w:kern w:val="0"/>
          <w14:ligatures w14:val="none"/>
        </w:rPr>
      </w:pPr>
      <w:r w:rsidRPr="00DD2084">
        <w:rPr>
          <w:rFonts w:eastAsia="Times New Roman" w:cstheme="minorHAnsi"/>
          <w:kern w:val="0"/>
          <w14:ligatures w14:val="none"/>
        </w:rPr>
        <w:t xml:space="preserve">Travel expenses for trainers or </w:t>
      </w:r>
      <w:r w:rsidR="000B52F6">
        <w:rPr>
          <w:rFonts w:eastAsia="Times New Roman" w:cstheme="minorHAnsi"/>
          <w:kern w:val="0"/>
          <w14:ligatures w14:val="none"/>
        </w:rPr>
        <w:t>incumbent workers</w:t>
      </w:r>
      <w:r w:rsidR="00FD328A">
        <w:rPr>
          <w:rFonts w:eastAsia="Times New Roman" w:cstheme="minorHAnsi"/>
          <w:kern w:val="0"/>
          <w14:ligatures w14:val="none"/>
        </w:rPr>
        <w:t>,</w:t>
      </w:r>
    </w:p>
    <w:p w14:paraId="241A9B8D" w14:textId="7FDAAA94" w:rsidR="00DD2084" w:rsidRPr="00DD2084" w:rsidRDefault="00DD2084" w:rsidP="00DD2084">
      <w:pPr>
        <w:numPr>
          <w:ilvl w:val="0"/>
          <w:numId w:val="2"/>
        </w:numPr>
        <w:spacing w:after="75" w:line="270" w:lineRule="atLeast"/>
        <w:rPr>
          <w:rFonts w:eastAsia="Times New Roman" w:cstheme="minorHAnsi"/>
          <w:kern w:val="0"/>
          <w14:ligatures w14:val="none"/>
        </w:rPr>
      </w:pPr>
      <w:r w:rsidRPr="00DD2084">
        <w:rPr>
          <w:rFonts w:eastAsia="Times New Roman" w:cstheme="minorHAnsi"/>
          <w:kern w:val="0"/>
          <w14:ligatures w14:val="none"/>
        </w:rPr>
        <w:t>Assessment</w:t>
      </w:r>
      <w:r w:rsidR="000B52F6">
        <w:rPr>
          <w:rFonts w:eastAsia="Times New Roman" w:cstheme="minorHAnsi"/>
          <w:kern w:val="0"/>
          <w14:ligatures w14:val="none"/>
        </w:rPr>
        <w:t>s</w:t>
      </w:r>
      <w:r w:rsidRPr="00DD2084">
        <w:rPr>
          <w:rFonts w:eastAsia="Times New Roman" w:cstheme="minorHAnsi"/>
          <w:kern w:val="0"/>
          <w14:ligatures w14:val="none"/>
        </w:rPr>
        <w:t>, testing or certification fees</w:t>
      </w:r>
      <w:r w:rsidR="00FD328A">
        <w:rPr>
          <w:rFonts w:eastAsia="Times New Roman" w:cstheme="minorHAnsi"/>
          <w:kern w:val="0"/>
          <w14:ligatures w14:val="none"/>
        </w:rPr>
        <w:t>, and,</w:t>
      </w:r>
    </w:p>
    <w:p w14:paraId="2BCE4737" w14:textId="4178BB77" w:rsidR="00DD2084" w:rsidRPr="00DD2084" w:rsidRDefault="00DD2084" w:rsidP="00DD2084">
      <w:pPr>
        <w:numPr>
          <w:ilvl w:val="0"/>
          <w:numId w:val="2"/>
        </w:numPr>
        <w:spacing w:after="75" w:line="270" w:lineRule="atLeast"/>
        <w:rPr>
          <w:rFonts w:eastAsia="Times New Roman" w:cstheme="minorHAnsi"/>
          <w:kern w:val="0"/>
          <w14:ligatures w14:val="none"/>
        </w:rPr>
      </w:pPr>
      <w:r w:rsidRPr="00DD2084">
        <w:rPr>
          <w:rFonts w:eastAsia="Times New Roman" w:cstheme="minorHAnsi"/>
          <w:kern w:val="0"/>
          <w14:ligatures w14:val="none"/>
        </w:rPr>
        <w:t>Advertisement or recruitment</w:t>
      </w:r>
      <w:r w:rsidR="000B52F6">
        <w:rPr>
          <w:rFonts w:eastAsia="Times New Roman" w:cstheme="minorHAnsi"/>
          <w:kern w:val="0"/>
          <w14:ligatures w14:val="none"/>
        </w:rPr>
        <w:t>.</w:t>
      </w:r>
    </w:p>
    <w:p w14:paraId="4FDC7FAB" w14:textId="77777777" w:rsidR="007F1523" w:rsidRPr="007F1523" w:rsidRDefault="007F1523" w:rsidP="002625B4">
      <w:pPr>
        <w:pStyle w:val="NoSpacing"/>
        <w:rPr>
          <w:b/>
          <w:bCs/>
          <w:sz w:val="12"/>
          <w:szCs w:val="12"/>
          <w:shd w:val="clear" w:color="auto" w:fill="FFFFFF"/>
        </w:rPr>
      </w:pPr>
    </w:p>
    <w:p w14:paraId="730C1914" w14:textId="4D73003A" w:rsidR="002625B4" w:rsidRDefault="00F76B03" w:rsidP="002625B4">
      <w:pPr>
        <w:pStyle w:val="NoSpacing"/>
        <w:rPr>
          <w:shd w:val="clear" w:color="auto" w:fill="FFFFFF"/>
        </w:rPr>
      </w:pPr>
      <w:r w:rsidRPr="000B52F6">
        <w:rPr>
          <w:b/>
          <w:bCs/>
          <w:shd w:val="clear" w:color="auto" w:fill="FFFFFF"/>
        </w:rPr>
        <w:t>Note</w:t>
      </w:r>
      <w:r>
        <w:rPr>
          <w:shd w:val="clear" w:color="auto" w:fill="FFFFFF"/>
        </w:rPr>
        <w:t xml:space="preserve">: </w:t>
      </w:r>
      <w:r w:rsidR="00DD2084" w:rsidRPr="00DD2084">
        <w:rPr>
          <w:shd w:val="clear" w:color="auto" w:fill="FFFFFF"/>
        </w:rPr>
        <w:t xml:space="preserve">Funds provided to employers for IWT </w:t>
      </w:r>
      <w:r w:rsidR="00DD2084" w:rsidRPr="001F7419">
        <w:rPr>
          <w:u w:val="single"/>
          <w:shd w:val="clear" w:color="auto" w:fill="FFFFFF"/>
        </w:rPr>
        <w:t>must not</w:t>
      </w:r>
      <w:r w:rsidR="00DD2084" w:rsidRPr="00DD2084">
        <w:rPr>
          <w:shd w:val="clear" w:color="auto" w:fill="FFFFFF"/>
        </w:rPr>
        <w:t xml:space="preserve"> be used directly or indirectly to assist, promote, or deter union organizing.</w:t>
      </w:r>
      <w:r w:rsidR="00996D4F">
        <w:rPr>
          <w:rStyle w:val="FootnoteReference"/>
          <w:rFonts w:eastAsia="Times New Roman" w:cstheme="minorHAnsi"/>
          <w:kern w:val="0"/>
          <w:shd w:val="clear" w:color="auto" w:fill="FFFFFF"/>
          <w14:ligatures w14:val="none"/>
        </w:rPr>
        <w:footnoteReference w:id="17"/>
      </w:r>
    </w:p>
    <w:p w14:paraId="38B77D09" w14:textId="77777777" w:rsidR="002625B4" w:rsidRPr="002625B4" w:rsidRDefault="002625B4" w:rsidP="002625B4">
      <w:pPr>
        <w:spacing w:after="0" w:line="240" w:lineRule="auto"/>
        <w:rPr>
          <w:rFonts w:eastAsia="Times New Roman" w:cstheme="minorHAnsi"/>
          <w:kern w:val="0"/>
          <w:sz w:val="12"/>
          <w:szCs w:val="12"/>
          <w:shd w:val="clear" w:color="auto" w:fill="FFFFFF"/>
          <w14:ligatures w14:val="none"/>
        </w:rPr>
      </w:pPr>
    </w:p>
    <w:p w14:paraId="08380F46" w14:textId="77777777" w:rsidR="007F1523" w:rsidRPr="0068550A" w:rsidRDefault="00FC1FA9" w:rsidP="0068550A">
      <w:pPr>
        <w:pStyle w:val="NoSpacing"/>
      </w:pPr>
      <w:r w:rsidRPr="001F7419">
        <w:rPr>
          <w:b/>
          <w:bCs/>
          <w:u w:val="single"/>
        </w:rPr>
        <w:t>Contract for Services</w:t>
      </w:r>
      <w:r w:rsidRPr="00DD2084">
        <w:br/>
      </w:r>
      <w:r w:rsidRPr="002625B4">
        <w:t>Contracts for services can be used to provide IWT instead of using an Individual Training Account (ITA). The Local Plan must describe the process to be used in selecting the providers under a contract for services. The contract must be between the Local Workforce Development Area (WDA) and the eligible employer. The contract commits the business to complete the training criteria as proposed in its application, as well as committing to compliance with all applicable local, State, and Federal laws.</w:t>
      </w:r>
    </w:p>
    <w:p w14:paraId="4EC72593" w14:textId="6A0CCD97" w:rsidR="00090DC6" w:rsidRPr="007F1523" w:rsidRDefault="00DD2084" w:rsidP="0068550A">
      <w:pPr>
        <w:pStyle w:val="NoSpacing"/>
        <w:rPr>
          <w:sz w:val="12"/>
          <w:szCs w:val="12"/>
        </w:rPr>
      </w:pPr>
      <w:r w:rsidRPr="00DD2084">
        <w:br/>
      </w:r>
      <w:r w:rsidRPr="00FC1FA9">
        <w:rPr>
          <w:b/>
          <w:bCs/>
          <w:u w:val="single"/>
        </w:rPr>
        <w:t>Workforce One and Performance Reporting</w:t>
      </w:r>
      <w:r w:rsidRPr="00DD2084">
        <w:br/>
      </w:r>
      <w:r w:rsidRPr="00DD2084">
        <w:rPr>
          <w:shd w:val="clear" w:color="auto" w:fill="FFFFFF"/>
        </w:rPr>
        <w:t>Each incumbent worker must be enrolled in Workforce One and must meet DEED’s case management requirements (see DEED’s Case Management Policy</w:t>
      </w:r>
      <w:r w:rsidR="002625B4">
        <w:rPr>
          <w:shd w:val="clear" w:color="auto" w:fill="FFFFFF"/>
        </w:rPr>
        <w:t xml:space="preserve"> in the “Related Links” section at the bottom of this policy</w:t>
      </w:r>
      <w:r w:rsidRPr="00DD2084">
        <w:rPr>
          <w:shd w:val="clear" w:color="auto" w:fill="FFFFFF"/>
        </w:rPr>
        <w:t xml:space="preserve">). </w:t>
      </w:r>
      <w:r w:rsidR="00A50387">
        <w:rPr>
          <w:shd w:val="clear" w:color="auto" w:fill="FFFFFF"/>
        </w:rPr>
        <w:t>P</w:t>
      </w:r>
      <w:r w:rsidRPr="00DD2084">
        <w:rPr>
          <w:shd w:val="clear" w:color="auto" w:fill="FFFFFF"/>
        </w:rPr>
        <w:t>rovider</w:t>
      </w:r>
      <w:r w:rsidR="00A50387">
        <w:rPr>
          <w:shd w:val="clear" w:color="auto" w:fill="FFFFFF"/>
        </w:rPr>
        <w:t>s</w:t>
      </w:r>
      <w:r w:rsidRPr="00DD2084">
        <w:rPr>
          <w:shd w:val="clear" w:color="auto" w:fill="FFFFFF"/>
        </w:rPr>
        <w:t xml:space="preserve"> must provide evidence that they have been in live contact with either the business or the training provider at some point every </w:t>
      </w:r>
      <w:r w:rsidR="00A50387">
        <w:rPr>
          <w:shd w:val="clear" w:color="auto" w:fill="FFFFFF"/>
        </w:rPr>
        <w:t>30</w:t>
      </w:r>
      <w:r w:rsidRPr="00DD2084">
        <w:rPr>
          <w:shd w:val="clear" w:color="auto" w:fill="FFFFFF"/>
        </w:rPr>
        <w:t xml:space="preserve"> days since the incumbent worker(</w:t>
      </w:r>
      <w:r w:rsidR="00A50387">
        <w:rPr>
          <w:shd w:val="clear" w:color="auto" w:fill="FFFFFF"/>
        </w:rPr>
        <w:t>s)’(s)</w:t>
      </w:r>
      <w:r w:rsidRPr="00DD2084">
        <w:rPr>
          <w:shd w:val="clear" w:color="auto" w:fill="FFFFFF"/>
        </w:rPr>
        <w:t xml:space="preserve"> enrollment. Case managers must include this documentation in each individual’s case </w:t>
      </w:r>
      <w:proofErr w:type="gramStart"/>
      <w:r w:rsidRPr="00DD2084">
        <w:rPr>
          <w:shd w:val="clear" w:color="auto" w:fill="FFFFFF"/>
        </w:rPr>
        <w:t>notes, but</w:t>
      </w:r>
      <w:proofErr w:type="gramEnd"/>
      <w:r w:rsidRPr="00DD2084">
        <w:rPr>
          <w:shd w:val="clear" w:color="auto" w:fill="FFFFFF"/>
        </w:rPr>
        <w:t xml:space="preserve"> can use the same live contact event for each participant. A participant’s case file must also </w:t>
      </w:r>
      <w:r w:rsidRPr="002625B4">
        <w:t>contain</w:t>
      </w:r>
      <w:r w:rsidRPr="00DD2084">
        <w:rPr>
          <w:shd w:val="clear" w:color="auto" w:fill="FFFFFF"/>
        </w:rPr>
        <w:t xml:space="preserve"> proof of their attendance at the training (i.e. their signature on a sign-in sheet), as well as a copy of </w:t>
      </w:r>
      <w:r w:rsidRPr="00123B53">
        <w:rPr>
          <w:shd w:val="clear" w:color="auto" w:fill="FFFFFF"/>
        </w:rPr>
        <w:t xml:space="preserve">any </w:t>
      </w:r>
      <w:r w:rsidR="00123B53" w:rsidRPr="00123B53">
        <w:rPr>
          <w:shd w:val="clear" w:color="auto" w:fill="FFFFFF"/>
        </w:rPr>
        <w:t>c</w:t>
      </w:r>
      <w:r w:rsidR="00FC1FA9" w:rsidRPr="003641E7">
        <w:t>redential(s)</w:t>
      </w:r>
      <w:r w:rsidR="00FC1FA9">
        <w:t xml:space="preserve"> </w:t>
      </w:r>
      <w:r w:rsidRPr="00DD2084">
        <w:rPr>
          <w:shd w:val="clear" w:color="auto" w:fill="FFFFFF"/>
        </w:rPr>
        <w:t>obtained through the training (if applicable).</w:t>
      </w:r>
      <w:r w:rsidRPr="00DD2084">
        <w:br/>
      </w:r>
    </w:p>
    <w:p w14:paraId="0C4DA8D2" w14:textId="1B6D415C" w:rsidR="00DD2084" w:rsidRPr="002625B4" w:rsidRDefault="00090DC6" w:rsidP="00CD7CA2">
      <w:pPr>
        <w:spacing w:after="0" w:line="240" w:lineRule="auto"/>
        <w:rPr>
          <w:rFonts w:eastAsia="Times New Roman" w:cstheme="minorHAnsi"/>
          <w:kern w:val="0"/>
          <w:sz w:val="12"/>
          <w:szCs w:val="12"/>
          <w:shd w:val="clear" w:color="auto" w:fill="FFFFFF"/>
          <w14:ligatures w14:val="none"/>
        </w:rPr>
      </w:pPr>
      <w:r w:rsidRPr="00DD2084">
        <w:rPr>
          <w:rFonts w:eastAsia="Times New Roman" w:cstheme="minorHAnsi"/>
          <w:kern w:val="0"/>
          <w:shd w:val="clear" w:color="auto" w:fill="FFFFFF"/>
          <w14:ligatures w14:val="none"/>
        </w:rPr>
        <w:t>If an individual is only receiving incumbent worker training</w:t>
      </w:r>
      <w:r>
        <w:rPr>
          <w:rFonts w:eastAsia="Times New Roman" w:cstheme="minorHAnsi"/>
          <w:kern w:val="0"/>
          <w:shd w:val="clear" w:color="auto" w:fill="FFFFFF"/>
          <w14:ligatures w14:val="none"/>
        </w:rPr>
        <w:t xml:space="preserve"> and </w:t>
      </w:r>
      <w:r w:rsidR="00123B53">
        <w:rPr>
          <w:rFonts w:eastAsia="Times New Roman" w:cstheme="minorHAnsi"/>
          <w:kern w:val="0"/>
          <w:shd w:val="clear" w:color="auto" w:fill="FFFFFF"/>
          <w14:ligatures w14:val="none"/>
        </w:rPr>
        <w:t>no other WIOA Tile I services, they</w:t>
      </w:r>
      <w:r w:rsidRPr="00DD2084">
        <w:rPr>
          <w:rFonts w:eastAsia="Times New Roman" w:cstheme="minorHAnsi"/>
          <w:kern w:val="0"/>
          <w:shd w:val="clear" w:color="auto" w:fill="FFFFFF"/>
          <w14:ligatures w14:val="none"/>
        </w:rPr>
        <w:t xml:space="preserve"> are </w:t>
      </w:r>
      <w:r w:rsidRPr="00090DC6">
        <w:rPr>
          <w:rFonts w:eastAsia="Times New Roman" w:cstheme="minorHAnsi"/>
          <w:kern w:val="0"/>
          <w:u w:val="single"/>
          <w:shd w:val="clear" w:color="auto" w:fill="FFFFFF"/>
          <w14:ligatures w14:val="none"/>
        </w:rPr>
        <w:t>not</w:t>
      </w:r>
      <w:r w:rsidRPr="00DD2084">
        <w:rPr>
          <w:rFonts w:eastAsia="Times New Roman" w:cstheme="minorHAnsi"/>
          <w:kern w:val="0"/>
          <w:shd w:val="clear" w:color="auto" w:fill="FFFFFF"/>
          <w14:ligatures w14:val="none"/>
        </w:rPr>
        <w:t xml:space="preserve"> considered a “participant” for the purposes of performance reporting and are therefore not included in the </w:t>
      </w:r>
      <w:r>
        <w:rPr>
          <w:rFonts w:eastAsia="Times New Roman" w:cstheme="minorHAnsi"/>
          <w:kern w:val="0"/>
          <w:shd w:val="clear" w:color="auto" w:fill="FFFFFF"/>
          <w14:ligatures w14:val="none"/>
        </w:rPr>
        <w:t>S</w:t>
      </w:r>
      <w:r w:rsidRPr="00DD2084">
        <w:rPr>
          <w:rFonts w:eastAsia="Times New Roman" w:cstheme="minorHAnsi"/>
          <w:kern w:val="0"/>
          <w:shd w:val="clear" w:color="auto" w:fill="FFFFFF"/>
          <w14:ligatures w14:val="none"/>
        </w:rPr>
        <w:t>tate’s federal performance metrics.</w:t>
      </w:r>
      <w:r>
        <w:rPr>
          <w:rStyle w:val="FootnoteReference"/>
          <w:rFonts w:eastAsia="Times New Roman" w:cstheme="minorHAnsi"/>
          <w:kern w:val="0"/>
          <w:shd w:val="clear" w:color="auto" w:fill="FFFFFF"/>
          <w14:ligatures w14:val="none"/>
        </w:rPr>
        <w:footnoteReference w:id="18"/>
      </w:r>
      <w:r w:rsidR="002625B4">
        <w:rPr>
          <w:rFonts w:eastAsia="Times New Roman" w:cstheme="minorHAnsi"/>
          <w:kern w:val="0"/>
          <w:shd w:val="clear" w:color="auto" w:fill="FFFFFF"/>
          <w14:ligatures w14:val="none"/>
        </w:rPr>
        <w:t xml:space="preserve"> However, p</w:t>
      </w:r>
      <w:r w:rsidR="00DD2084" w:rsidRPr="00DD2084">
        <w:rPr>
          <w:rFonts w:eastAsia="Times New Roman" w:cstheme="minorHAnsi"/>
          <w:kern w:val="0"/>
          <w:shd w:val="clear" w:color="auto" w:fill="FFFFFF"/>
          <w14:ligatures w14:val="none"/>
        </w:rPr>
        <w:t>rovider</w:t>
      </w:r>
      <w:r w:rsidR="002625B4">
        <w:rPr>
          <w:rFonts w:eastAsia="Times New Roman" w:cstheme="minorHAnsi"/>
          <w:kern w:val="0"/>
          <w:shd w:val="clear" w:color="auto" w:fill="FFFFFF"/>
          <w14:ligatures w14:val="none"/>
        </w:rPr>
        <w:t>s</w:t>
      </w:r>
      <w:r w:rsidR="00DD2084" w:rsidRPr="00DD2084">
        <w:rPr>
          <w:rFonts w:eastAsia="Times New Roman" w:cstheme="minorHAnsi"/>
          <w:kern w:val="0"/>
          <w:shd w:val="clear" w:color="auto" w:fill="FFFFFF"/>
          <w14:ligatures w14:val="none"/>
        </w:rPr>
        <w:t xml:space="preserve"> </w:t>
      </w:r>
      <w:r w:rsidR="002625B4" w:rsidRPr="002625B4">
        <w:rPr>
          <w:rFonts w:eastAsia="Times New Roman" w:cstheme="minorHAnsi"/>
          <w:kern w:val="0"/>
          <w:u w:val="single"/>
          <w:shd w:val="clear" w:color="auto" w:fill="FFFFFF"/>
          <w14:ligatures w14:val="none"/>
        </w:rPr>
        <w:t>must</w:t>
      </w:r>
      <w:r w:rsidR="002625B4">
        <w:rPr>
          <w:rFonts w:eastAsia="Times New Roman" w:cstheme="minorHAnsi"/>
          <w:kern w:val="0"/>
          <w:shd w:val="clear" w:color="auto" w:fill="FFFFFF"/>
          <w14:ligatures w14:val="none"/>
        </w:rPr>
        <w:t xml:space="preserve"> still </w:t>
      </w:r>
      <w:r w:rsidR="00DD2084" w:rsidRPr="00DD2084">
        <w:rPr>
          <w:rFonts w:eastAsia="Times New Roman" w:cstheme="minorHAnsi"/>
          <w:kern w:val="0"/>
          <w:shd w:val="clear" w:color="auto" w:fill="FFFFFF"/>
          <w14:ligatures w14:val="none"/>
        </w:rPr>
        <w:t>collect the following</w:t>
      </w:r>
      <w:r w:rsidR="002625B4">
        <w:rPr>
          <w:rFonts w:eastAsia="Times New Roman" w:cstheme="minorHAnsi"/>
          <w:kern w:val="0"/>
          <w:shd w:val="clear" w:color="auto" w:fill="FFFFFF"/>
          <w14:ligatures w14:val="none"/>
        </w:rPr>
        <w:t xml:space="preserve"> four</w:t>
      </w:r>
      <w:r w:rsidR="00DD2084" w:rsidRPr="00DD2084">
        <w:rPr>
          <w:rFonts w:eastAsia="Times New Roman" w:cstheme="minorHAnsi"/>
          <w:kern w:val="0"/>
          <w:shd w:val="clear" w:color="auto" w:fill="FFFFFF"/>
          <w14:ligatures w14:val="none"/>
        </w:rPr>
        <w:t xml:space="preserve"> performance </w:t>
      </w:r>
      <w:r w:rsidR="002625B4">
        <w:rPr>
          <w:rFonts w:eastAsia="Times New Roman" w:cstheme="minorHAnsi"/>
          <w:kern w:val="0"/>
          <w:shd w:val="clear" w:color="auto" w:fill="FFFFFF"/>
          <w14:ligatures w14:val="none"/>
        </w:rPr>
        <w:t>metrics</w:t>
      </w:r>
      <w:r w:rsidR="00DD2084" w:rsidRPr="00DD2084">
        <w:rPr>
          <w:rFonts w:eastAsia="Times New Roman" w:cstheme="minorHAnsi"/>
          <w:kern w:val="0"/>
          <w:shd w:val="clear" w:color="auto" w:fill="FFFFFF"/>
          <w14:ligatures w14:val="none"/>
        </w:rPr>
        <w:t xml:space="preserve"> to demonstrate the efficacy of the </w:t>
      </w:r>
      <w:r w:rsidRPr="002C6328">
        <w:rPr>
          <w:rFonts w:eastAsia="Times New Roman" w:cstheme="minorHAnsi"/>
          <w:kern w:val="0"/>
          <w:shd w:val="clear" w:color="auto" w:fill="FFFFFF"/>
          <w14:ligatures w14:val="none"/>
        </w:rPr>
        <w:t xml:space="preserve">training </w:t>
      </w:r>
      <w:r w:rsidR="00DD2084" w:rsidRPr="00DD2084">
        <w:rPr>
          <w:rFonts w:eastAsia="Times New Roman" w:cstheme="minorHAnsi"/>
          <w:kern w:val="0"/>
          <w:shd w:val="clear" w:color="auto" w:fill="FFFFFF"/>
          <w14:ligatures w14:val="none"/>
        </w:rPr>
        <w:t>in Workforce One:</w:t>
      </w:r>
      <w:r w:rsidR="00DD2084" w:rsidRPr="00DD2084">
        <w:rPr>
          <w:rFonts w:eastAsia="Times New Roman" w:cstheme="minorHAnsi"/>
          <w:kern w:val="0"/>
          <w14:ligatures w14:val="none"/>
        </w:rPr>
        <w:br/>
      </w:r>
    </w:p>
    <w:p w14:paraId="1A523FC2" w14:textId="77777777" w:rsidR="00DD2084" w:rsidRPr="00DD2084" w:rsidRDefault="00DD2084" w:rsidP="00DD2084">
      <w:pPr>
        <w:numPr>
          <w:ilvl w:val="0"/>
          <w:numId w:val="7"/>
        </w:numPr>
        <w:spacing w:after="75" w:line="270" w:lineRule="atLeast"/>
        <w:rPr>
          <w:rFonts w:eastAsia="Times New Roman" w:cstheme="minorHAnsi"/>
          <w:kern w:val="0"/>
          <w14:ligatures w14:val="none"/>
        </w:rPr>
      </w:pPr>
      <w:r w:rsidRPr="00DD2084">
        <w:rPr>
          <w:rFonts w:eastAsia="Times New Roman" w:cstheme="minorHAnsi"/>
          <w:kern w:val="0"/>
          <w14:ligatures w14:val="none"/>
        </w:rPr>
        <w:t>Demographic information</w:t>
      </w:r>
    </w:p>
    <w:p w14:paraId="6064A32E" w14:textId="49711A0C" w:rsidR="00DD2084" w:rsidRPr="00DD2084" w:rsidRDefault="00DD2084" w:rsidP="00DD2084">
      <w:pPr>
        <w:numPr>
          <w:ilvl w:val="0"/>
          <w:numId w:val="7"/>
        </w:numPr>
        <w:spacing w:after="75" w:line="270" w:lineRule="atLeast"/>
        <w:rPr>
          <w:rFonts w:eastAsia="Times New Roman" w:cstheme="minorHAnsi"/>
          <w:kern w:val="0"/>
          <w14:ligatures w14:val="none"/>
        </w:rPr>
      </w:pPr>
      <w:r w:rsidRPr="00DD2084">
        <w:rPr>
          <w:rFonts w:eastAsia="Times New Roman" w:cstheme="minorHAnsi"/>
          <w:kern w:val="0"/>
          <w14:ligatures w14:val="none"/>
        </w:rPr>
        <w:t>Employment in the 2</w:t>
      </w:r>
      <w:r w:rsidRPr="003641E7">
        <w:rPr>
          <w:rFonts w:eastAsia="Times New Roman" w:cstheme="minorHAnsi"/>
          <w:kern w:val="0"/>
          <w:vertAlign w:val="superscript"/>
          <w14:ligatures w14:val="none"/>
        </w:rPr>
        <w:t>nd</w:t>
      </w:r>
      <w:r w:rsidR="00E15F57">
        <w:rPr>
          <w:rFonts w:eastAsia="Times New Roman" w:cstheme="minorHAnsi"/>
          <w:kern w:val="0"/>
          <w14:ligatures w14:val="none"/>
        </w:rPr>
        <w:t xml:space="preserve"> </w:t>
      </w:r>
      <w:r w:rsidRPr="00DD2084">
        <w:rPr>
          <w:rFonts w:eastAsia="Times New Roman" w:cstheme="minorHAnsi"/>
          <w:kern w:val="0"/>
          <w14:ligatures w14:val="none"/>
        </w:rPr>
        <w:t>and 4</w:t>
      </w:r>
      <w:r w:rsidRPr="003641E7">
        <w:rPr>
          <w:rFonts w:eastAsia="Times New Roman" w:cstheme="minorHAnsi"/>
          <w:kern w:val="0"/>
          <w:vertAlign w:val="superscript"/>
          <w14:ligatures w14:val="none"/>
        </w:rPr>
        <w:t>th</w:t>
      </w:r>
      <w:r w:rsidRPr="00DD2084">
        <w:rPr>
          <w:rFonts w:eastAsia="Times New Roman" w:cstheme="minorHAnsi"/>
          <w:kern w:val="0"/>
          <w14:ligatures w14:val="none"/>
        </w:rPr>
        <w:t xml:space="preserve"> </w:t>
      </w:r>
      <w:r w:rsidR="002625B4">
        <w:rPr>
          <w:rFonts w:eastAsia="Times New Roman" w:cstheme="minorHAnsi"/>
          <w:kern w:val="0"/>
          <w14:ligatures w14:val="none"/>
        </w:rPr>
        <w:t>Q</w:t>
      </w:r>
      <w:r w:rsidRPr="00DD2084">
        <w:rPr>
          <w:rFonts w:eastAsia="Times New Roman" w:cstheme="minorHAnsi"/>
          <w:kern w:val="0"/>
          <w14:ligatures w14:val="none"/>
        </w:rPr>
        <w:t xml:space="preserve">uarters </w:t>
      </w:r>
      <w:r w:rsidR="002625B4">
        <w:rPr>
          <w:rFonts w:eastAsia="Times New Roman" w:cstheme="minorHAnsi"/>
          <w:kern w:val="0"/>
          <w14:ligatures w14:val="none"/>
        </w:rPr>
        <w:t>A</w:t>
      </w:r>
      <w:r w:rsidRPr="00DD2084">
        <w:rPr>
          <w:rFonts w:eastAsia="Times New Roman" w:cstheme="minorHAnsi"/>
          <w:kern w:val="0"/>
          <w14:ligatures w14:val="none"/>
        </w:rPr>
        <w:t xml:space="preserve">fter </w:t>
      </w:r>
      <w:r w:rsidR="002625B4">
        <w:rPr>
          <w:rFonts w:eastAsia="Times New Roman" w:cstheme="minorHAnsi"/>
          <w:kern w:val="0"/>
          <w14:ligatures w14:val="none"/>
        </w:rPr>
        <w:t>E</w:t>
      </w:r>
      <w:r w:rsidRPr="00DD2084">
        <w:rPr>
          <w:rFonts w:eastAsia="Times New Roman" w:cstheme="minorHAnsi"/>
          <w:kern w:val="0"/>
          <w14:ligatures w14:val="none"/>
        </w:rPr>
        <w:t>xit</w:t>
      </w:r>
    </w:p>
    <w:p w14:paraId="0FD51446" w14:textId="69A6A385" w:rsidR="00DD2084" w:rsidRPr="00DD2084" w:rsidRDefault="00DD2084" w:rsidP="00DD2084">
      <w:pPr>
        <w:numPr>
          <w:ilvl w:val="0"/>
          <w:numId w:val="7"/>
        </w:numPr>
        <w:spacing w:after="75" w:line="270" w:lineRule="atLeast"/>
        <w:rPr>
          <w:rFonts w:eastAsia="Times New Roman" w:cstheme="minorHAnsi"/>
          <w:kern w:val="0"/>
          <w14:ligatures w14:val="none"/>
        </w:rPr>
      </w:pPr>
      <w:r w:rsidRPr="00DD2084">
        <w:rPr>
          <w:rFonts w:eastAsia="Times New Roman" w:cstheme="minorHAnsi"/>
          <w:kern w:val="0"/>
          <w14:ligatures w14:val="none"/>
        </w:rPr>
        <w:t xml:space="preserve">Median </w:t>
      </w:r>
      <w:r w:rsidR="002625B4">
        <w:rPr>
          <w:rFonts w:eastAsia="Times New Roman" w:cstheme="minorHAnsi"/>
          <w:kern w:val="0"/>
          <w14:ligatures w14:val="none"/>
        </w:rPr>
        <w:t>E</w:t>
      </w:r>
      <w:r w:rsidRPr="00DD2084">
        <w:rPr>
          <w:rFonts w:eastAsia="Times New Roman" w:cstheme="minorHAnsi"/>
          <w:kern w:val="0"/>
          <w14:ligatures w14:val="none"/>
        </w:rPr>
        <w:t>arnings in the 2</w:t>
      </w:r>
      <w:r w:rsidRPr="003641E7">
        <w:rPr>
          <w:rFonts w:eastAsia="Times New Roman" w:cstheme="minorHAnsi"/>
          <w:kern w:val="0"/>
          <w:vertAlign w:val="superscript"/>
          <w14:ligatures w14:val="none"/>
        </w:rPr>
        <w:t>nd</w:t>
      </w:r>
      <w:r w:rsidRPr="00DD2084">
        <w:rPr>
          <w:rFonts w:eastAsia="Times New Roman" w:cstheme="minorHAnsi"/>
          <w:kern w:val="0"/>
          <w14:ligatures w14:val="none"/>
        </w:rPr>
        <w:t xml:space="preserve"> </w:t>
      </w:r>
      <w:r w:rsidR="002625B4">
        <w:rPr>
          <w:rFonts w:eastAsia="Times New Roman" w:cstheme="minorHAnsi"/>
          <w:kern w:val="0"/>
          <w14:ligatures w14:val="none"/>
        </w:rPr>
        <w:t>Q</w:t>
      </w:r>
      <w:r w:rsidRPr="00DD2084">
        <w:rPr>
          <w:rFonts w:eastAsia="Times New Roman" w:cstheme="minorHAnsi"/>
          <w:kern w:val="0"/>
          <w14:ligatures w14:val="none"/>
        </w:rPr>
        <w:t xml:space="preserve">uarter </w:t>
      </w:r>
      <w:r w:rsidR="002625B4">
        <w:rPr>
          <w:rFonts w:eastAsia="Times New Roman" w:cstheme="minorHAnsi"/>
          <w:kern w:val="0"/>
          <w14:ligatures w14:val="none"/>
        </w:rPr>
        <w:t>A</w:t>
      </w:r>
      <w:r w:rsidRPr="00DD2084">
        <w:rPr>
          <w:rFonts w:eastAsia="Times New Roman" w:cstheme="minorHAnsi"/>
          <w:kern w:val="0"/>
          <w14:ligatures w14:val="none"/>
        </w:rPr>
        <w:t xml:space="preserve">fter </w:t>
      </w:r>
      <w:r w:rsidR="002625B4">
        <w:rPr>
          <w:rFonts w:eastAsia="Times New Roman" w:cstheme="minorHAnsi"/>
          <w:kern w:val="0"/>
          <w14:ligatures w14:val="none"/>
        </w:rPr>
        <w:t>E</w:t>
      </w:r>
      <w:r w:rsidRPr="00DD2084">
        <w:rPr>
          <w:rFonts w:eastAsia="Times New Roman" w:cstheme="minorHAnsi"/>
          <w:kern w:val="0"/>
          <w14:ligatures w14:val="none"/>
        </w:rPr>
        <w:t>xit</w:t>
      </w:r>
    </w:p>
    <w:p w14:paraId="65B547F0" w14:textId="0145EB56" w:rsidR="00090DC6" w:rsidRPr="002625B4" w:rsidRDefault="00DD2084" w:rsidP="00DD2084">
      <w:pPr>
        <w:numPr>
          <w:ilvl w:val="0"/>
          <w:numId w:val="7"/>
        </w:numPr>
        <w:spacing w:after="75" w:line="270" w:lineRule="atLeast"/>
        <w:rPr>
          <w:rFonts w:eastAsia="Times New Roman" w:cstheme="minorHAnsi"/>
          <w:kern w:val="0"/>
          <w14:ligatures w14:val="none"/>
        </w:rPr>
      </w:pPr>
      <w:r w:rsidRPr="00DD2084">
        <w:rPr>
          <w:rFonts w:eastAsia="Times New Roman" w:cstheme="minorHAnsi"/>
          <w:kern w:val="0"/>
          <w14:ligatures w14:val="none"/>
        </w:rPr>
        <w:t xml:space="preserve">Credential </w:t>
      </w:r>
      <w:r w:rsidR="002625B4">
        <w:rPr>
          <w:rFonts w:eastAsia="Times New Roman" w:cstheme="minorHAnsi"/>
          <w:kern w:val="0"/>
          <w14:ligatures w14:val="none"/>
        </w:rPr>
        <w:t>A</w:t>
      </w:r>
      <w:r w:rsidRPr="00DD2084">
        <w:rPr>
          <w:rFonts w:eastAsia="Times New Roman" w:cstheme="minorHAnsi"/>
          <w:kern w:val="0"/>
          <w14:ligatures w14:val="none"/>
        </w:rPr>
        <w:t>ttainment</w:t>
      </w:r>
    </w:p>
    <w:p w14:paraId="4CFDA391" w14:textId="77777777" w:rsidR="002625B4" w:rsidRPr="007F1523" w:rsidRDefault="002625B4" w:rsidP="007F1523">
      <w:pPr>
        <w:pStyle w:val="NoSpacing"/>
        <w:rPr>
          <w:sz w:val="12"/>
          <w:szCs w:val="12"/>
        </w:rPr>
      </w:pPr>
    </w:p>
    <w:p w14:paraId="75E6ACFF" w14:textId="167D7038" w:rsidR="00EB767C" w:rsidRDefault="00DD2084" w:rsidP="00DD2084">
      <w:pPr>
        <w:rPr>
          <w:rFonts w:eastAsia="Times New Roman" w:cstheme="minorHAnsi"/>
          <w:kern w:val="0"/>
          <w:shd w:val="clear" w:color="auto" w:fill="FFFFFF"/>
          <w14:ligatures w14:val="none"/>
        </w:rPr>
      </w:pPr>
      <w:r w:rsidRPr="002C6328">
        <w:rPr>
          <w:rFonts w:eastAsia="Times New Roman" w:cstheme="minorHAnsi"/>
          <w:kern w:val="0"/>
          <w:shd w:val="clear" w:color="auto" w:fill="FFFFFF"/>
          <w14:ligatures w14:val="none"/>
        </w:rPr>
        <w:t>The exit date for an individual who has received only incumbent worker training will be the last date of training, as indicated on the training contract.</w:t>
      </w:r>
    </w:p>
    <w:p w14:paraId="0573E30C" w14:textId="77777777" w:rsidR="00EB767C" w:rsidRPr="00584FF3" w:rsidRDefault="00EB767C" w:rsidP="00EB767C">
      <w:pPr>
        <w:pStyle w:val="NoSpacing"/>
        <w:rPr>
          <w:b/>
          <w:bCs/>
          <w:u w:val="single"/>
        </w:rPr>
      </w:pPr>
      <w:r w:rsidRPr="00584FF3">
        <w:rPr>
          <w:b/>
          <w:bCs/>
          <w:u w:val="single"/>
        </w:rPr>
        <w:lastRenderedPageBreak/>
        <w:t>Related Links</w:t>
      </w:r>
    </w:p>
    <w:p w14:paraId="3472ACF8" w14:textId="5DEF1185" w:rsidR="005A2ED3" w:rsidRPr="007F1523" w:rsidRDefault="006A4DF2" w:rsidP="007F1523">
      <w:pPr>
        <w:pStyle w:val="NoSpacing"/>
        <w:numPr>
          <w:ilvl w:val="0"/>
          <w:numId w:val="22"/>
        </w:numPr>
      </w:pPr>
      <w:hyperlink r:id="rId9" w:history="1">
        <w:r w:rsidR="002F520C" w:rsidRPr="007F1523">
          <w:rPr>
            <w:rStyle w:val="Hyperlink"/>
          </w:rPr>
          <w:t>Dislocated Worker and Federal Adult Programs (DWFAP) Terms and Definitions</w:t>
        </w:r>
      </w:hyperlink>
    </w:p>
    <w:p w14:paraId="5B4634EB" w14:textId="1147F41E" w:rsidR="002625B4" w:rsidRPr="007F1523" w:rsidRDefault="006A4DF2" w:rsidP="007F1523">
      <w:pPr>
        <w:pStyle w:val="NoSpacing"/>
        <w:numPr>
          <w:ilvl w:val="0"/>
          <w:numId w:val="22"/>
        </w:numPr>
        <w:rPr>
          <w:shd w:val="clear" w:color="auto" w:fill="FFFFFF"/>
        </w:rPr>
      </w:pPr>
      <w:hyperlink r:id="rId10" w:history="1">
        <w:r w:rsidR="002625B4" w:rsidRPr="007F1523">
          <w:rPr>
            <w:rStyle w:val="Hyperlink"/>
            <w:shd w:val="clear" w:color="auto" w:fill="FFFFFF"/>
          </w:rPr>
          <w:t>DEED’s Case Management Policy</w:t>
        </w:r>
      </w:hyperlink>
    </w:p>
    <w:p w14:paraId="07A10510" w14:textId="0399C520" w:rsidR="00650499" w:rsidRPr="002625B4" w:rsidRDefault="0072391E" w:rsidP="007F1523">
      <w:pPr>
        <w:pStyle w:val="NoSpacing"/>
        <w:numPr>
          <w:ilvl w:val="0"/>
          <w:numId w:val="22"/>
        </w:numPr>
        <w:rPr>
          <w:shd w:val="clear" w:color="auto" w:fill="FFFFFF"/>
        </w:rPr>
      </w:pPr>
      <w:hyperlink r:id="rId11" w:history="1">
        <w:r w:rsidR="00CF62F5" w:rsidRPr="0072391E">
          <w:rPr>
            <w:rStyle w:val="Hyperlink"/>
            <w:rFonts w:eastAsia="Times New Roman" w:cstheme="minorHAnsi"/>
            <w:kern w:val="0"/>
            <w:shd w:val="clear" w:color="auto" w:fill="FFFFFF"/>
            <w14:ligatures w14:val="none"/>
          </w:rPr>
          <w:t xml:space="preserve">WIOA </w:t>
        </w:r>
        <w:r w:rsidR="00CF62F5" w:rsidRPr="0072391E">
          <w:rPr>
            <w:rStyle w:val="Hyperlink"/>
          </w:rPr>
          <w:t xml:space="preserve">Incumbent </w:t>
        </w:r>
        <w:r w:rsidR="00CF62F5" w:rsidRPr="0072391E">
          <w:rPr>
            <w:rStyle w:val="Hyperlink"/>
            <w:rFonts w:eastAsia="Times New Roman" w:cstheme="minorHAnsi"/>
            <w14:ligatures w14:val="none"/>
          </w:rPr>
          <w:t xml:space="preserve">Worker Training </w:t>
        </w:r>
        <w:r w:rsidR="00650499" w:rsidRPr="0072391E">
          <w:rPr>
            <w:rStyle w:val="Hyperlink"/>
            <w:rFonts w:eastAsia="Times New Roman" w:cstheme="minorHAnsi"/>
            <w:kern w:val="0"/>
            <w:shd w:val="clear" w:color="auto" w:fill="FFFFFF"/>
            <w14:ligatures w14:val="none"/>
          </w:rPr>
          <w:t xml:space="preserve">Desk </w:t>
        </w:r>
        <w:r w:rsidR="00A41189" w:rsidRPr="0072391E">
          <w:rPr>
            <w:rStyle w:val="Hyperlink"/>
            <w:rFonts w:eastAsia="Times New Roman" w:cstheme="minorHAnsi"/>
            <w:kern w:val="0"/>
            <w:shd w:val="clear" w:color="auto" w:fill="FFFFFF"/>
            <w14:ligatures w14:val="none"/>
          </w:rPr>
          <w:t>Reference</w:t>
        </w:r>
      </w:hyperlink>
      <w:r w:rsidR="00A41189">
        <w:rPr>
          <w:rFonts w:eastAsia="Times New Roman" w:cstheme="minorHAnsi"/>
          <w:kern w:val="0"/>
          <w:shd w:val="clear" w:color="auto" w:fill="FFFFFF"/>
          <w14:ligatures w14:val="none"/>
        </w:rPr>
        <w:t xml:space="preserve"> </w:t>
      </w:r>
    </w:p>
    <w:sectPr w:rsidR="00650499" w:rsidRPr="002625B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CBC7" w14:textId="77777777" w:rsidR="00687B17" w:rsidRDefault="00687B17" w:rsidP="00A1225E">
      <w:pPr>
        <w:spacing w:after="0" w:line="240" w:lineRule="auto"/>
      </w:pPr>
      <w:r>
        <w:separator/>
      </w:r>
    </w:p>
  </w:endnote>
  <w:endnote w:type="continuationSeparator" w:id="0">
    <w:p w14:paraId="62C819C8" w14:textId="77777777" w:rsidR="00687B17" w:rsidRDefault="00687B17" w:rsidP="00A1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C73E" w14:textId="350F21F0" w:rsidR="00087BAD" w:rsidRPr="00087BAD" w:rsidRDefault="00087BAD" w:rsidP="00087BAD">
    <w:pPr>
      <w:pStyle w:val="Footer"/>
    </w:pPr>
    <w:r>
      <w:t xml:space="preserve">Last Updated </w:t>
    </w:r>
    <w:r w:rsidR="0068550A">
      <w:t>4</w:t>
    </w:r>
    <w:r>
      <w:t>/</w:t>
    </w:r>
    <w:r w:rsidR="0068550A">
      <w:t>1</w:t>
    </w:r>
    <w:r w:rsidR="00293E9B">
      <w:t>8</w:t>
    </w:r>
    <w:r>
      <w:t xml:space="preserve">/25 </w:t>
    </w:r>
    <w:r>
      <w:tab/>
      <w:t xml:space="preserve">                                                                                                                                  Page | </w:t>
    </w:r>
    <w:r>
      <w:fldChar w:fldCharType="begin"/>
    </w:r>
    <w:r>
      <w:instrText xml:space="preserve"> PAGE   \* MERGEFORMAT </w:instrText>
    </w:r>
    <w:r>
      <w:fldChar w:fldCharType="separate"/>
    </w:r>
    <w:r>
      <w:t>1</w:t>
    </w:r>
    <w:r>
      <w:rPr>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D3AD" w14:textId="77777777" w:rsidR="00687B17" w:rsidRDefault="00687B17" w:rsidP="00A1225E">
      <w:pPr>
        <w:spacing w:after="0" w:line="240" w:lineRule="auto"/>
      </w:pPr>
      <w:r>
        <w:separator/>
      </w:r>
    </w:p>
  </w:footnote>
  <w:footnote w:type="continuationSeparator" w:id="0">
    <w:p w14:paraId="7C2F20C8" w14:textId="77777777" w:rsidR="00687B17" w:rsidRDefault="00687B17" w:rsidP="00A1225E">
      <w:pPr>
        <w:spacing w:after="0" w:line="240" w:lineRule="auto"/>
      </w:pPr>
      <w:r>
        <w:continuationSeparator/>
      </w:r>
    </w:p>
  </w:footnote>
  <w:footnote w:id="1">
    <w:p w14:paraId="2B3CBAFD" w14:textId="6F09D246" w:rsidR="00347AA1" w:rsidRDefault="00347AA1">
      <w:pPr>
        <w:pStyle w:val="FootnoteText"/>
      </w:pPr>
      <w:r>
        <w:rPr>
          <w:rStyle w:val="FootnoteReference"/>
        </w:rPr>
        <w:footnoteRef/>
      </w:r>
      <w:r>
        <w:t xml:space="preserve"> </w:t>
      </w:r>
      <w:r w:rsidRPr="00347AA1">
        <w:t>20 CFR 680.780</w:t>
      </w:r>
    </w:p>
  </w:footnote>
  <w:footnote w:id="2">
    <w:p w14:paraId="67E9ECFA" w14:textId="77777777" w:rsidR="000B52F6" w:rsidRDefault="000B52F6" w:rsidP="000B52F6">
      <w:pPr>
        <w:pStyle w:val="FootnoteText"/>
      </w:pPr>
      <w:r>
        <w:rPr>
          <w:rStyle w:val="FootnoteReference"/>
        </w:rPr>
        <w:footnoteRef/>
      </w:r>
      <w:r>
        <w:t xml:space="preserve"> </w:t>
      </w:r>
      <w:r w:rsidRPr="00347AA1">
        <w:t>20 CFR 682.320(b)(4)</w:t>
      </w:r>
    </w:p>
  </w:footnote>
  <w:footnote w:id="3">
    <w:p w14:paraId="241D8F3A" w14:textId="336CB123" w:rsidR="00835049" w:rsidRDefault="00835049">
      <w:pPr>
        <w:pStyle w:val="FootnoteText"/>
      </w:pPr>
      <w:r>
        <w:rPr>
          <w:rStyle w:val="FootnoteReference"/>
        </w:rPr>
        <w:footnoteRef/>
      </w:r>
      <w:r>
        <w:t xml:space="preserve"> TEGL 19-16 (Page 17)</w:t>
      </w:r>
    </w:p>
  </w:footnote>
  <w:footnote w:id="4">
    <w:p w14:paraId="7F1E0E6C" w14:textId="77777777" w:rsidR="00F93426" w:rsidRDefault="00F93426" w:rsidP="00F93426">
      <w:pPr>
        <w:pStyle w:val="FootnoteText"/>
      </w:pPr>
      <w:r>
        <w:rPr>
          <w:rStyle w:val="FootnoteReference"/>
        </w:rPr>
        <w:footnoteRef/>
      </w:r>
      <w:r>
        <w:t xml:space="preserve"> </w:t>
      </w:r>
      <w:r w:rsidRPr="008E2242">
        <w:t>20 CFR 680.820</w:t>
      </w:r>
    </w:p>
  </w:footnote>
  <w:footnote w:id="5">
    <w:p w14:paraId="3F1C4C7B" w14:textId="77777777" w:rsidR="00F93426" w:rsidRDefault="00F93426" w:rsidP="00F93426">
      <w:pPr>
        <w:pStyle w:val="FootnoteText"/>
      </w:pPr>
      <w:r>
        <w:rPr>
          <w:rStyle w:val="FootnoteReference"/>
        </w:rPr>
        <w:footnoteRef/>
      </w:r>
      <w:r>
        <w:t xml:space="preserve"> TEGL 19-16 (Pages 17 and 18)</w:t>
      </w:r>
    </w:p>
  </w:footnote>
  <w:footnote w:id="6">
    <w:p w14:paraId="3BAEDF47" w14:textId="77777777" w:rsidR="00F93426" w:rsidRDefault="00F93426" w:rsidP="00F93426">
      <w:pPr>
        <w:pStyle w:val="FootnoteText"/>
      </w:pPr>
      <w:r>
        <w:rPr>
          <w:rStyle w:val="FootnoteReference"/>
        </w:rPr>
        <w:footnoteRef/>
      </w:r>
      <w:r>
        <w:t xml:space="preserve"> TEGL 19-16 (Page 18)</w:t>
      </w:r>
    </w:p>
  </w:footnote>
  <w:footnote w:id="7">
    <w:p w14:paraId="2D32ACBA" w14:textId="0D94AE50" w:rsidR="00F93426" w:rsidRDefault="00F93426">
      <w:pPr>
        <w:pStyle w:val="FootnoteText"/>
      </w:pPr>
      <w:r>
        <w:rPr>
          <w:rStyle w:val="FootnoteReference"/>
        </w:rPr>
        <w:footnoteRef/>
      </w:r>
      <w:r>
        <w:t xml:space="preserve"> TEGL 19-16 (Pages 17 and 18)</w:t>
      </w:r>
    </w:p>
  </w:footnote>
  <w:footnote w:id="8">
    <w:p w14:paraId="3F12B78E" w14:textId="77777777" w:rsidR="00E25350" w:rsidRDefault="00E25350" w:rsidP="00E25350">
      <w:pPr>
        <w:pStyle w:val="FootnoteText"/>
      </w:pPr>
      <w:r>
        <w:rPr>
          <w:rStyle w:val="FootnoteReference"/>
        </w:rPr>
        <w:footnoteRef/>
      </w:r>
      <w:r>
        <w:t xml:space="preserve"> </w:t>
      </w:r>
      <w:r w:rsidRPr="00D9436B">
        <w:t>20 CFR 680.790(a)</w:t>
      </w:r>
    </w:p>
  </w:footnote>
  <w:footnote w:id="9">
    <w:p w14:paraId="4C18ABB6" w14:textId="77777777" w:rsidR="00E25350" w:rsidRDefault="00E25350" w:rsidP="00E25350">
      <w:pPr>
        <w:pStyle w:val="FootnoteText"/>
      </w:pPr>
      <w:r>
        <w:rPr>
          <w:rStyle w:val="FootnoteReference"/>
        </w:rPr>
        <w:footnoteRef/>
      </w:r>
      <w:r>
        <w:t xml:space="preserve"> </w:t>
      </w:r>
      <w:r w:rsidRPr="009B574C">
        <w:t>20 CFR 680.790(b)</w:t>
      </w:r>
    </w:p>
  </w:footnote>
  <w:footnote w:id="10">
    <w:p w14:paraId="1E9BE83A" w14:textId="52408A09" w:rsidR="005A554E" w:rsidRDefault="005A554E">
      <w:pPr>
        <w:pStyle w:val="FootnoteText"/>
      </w:pPr>
      <w:r>
        <w:rPr>
          <w:rStyle w:val="FootnoteReference"/>
        </w:rPr>
        <w:footnoteRef/>
      </w:r>
      <w:r>
        <w:t xml:space="preserve"> </w:t>
      </w:r>
      <w:r w:rsidRPr="005A554E">
        <w:t>20 CFR 680.810(c)</w:t>
      </w:r>
      <w:r w:rsidR="00EC4B7F">
        <w:t xml:space="preserve"> and TEGL 19-16 (Page </w:t>
      </w:r>
      <w:r w:rsidR="00443EE2">
        <w:t>16)</w:t>
      </w:r>
    </w:p>
  </w:footnote>
  <w:footnote w:id="11">
    <w:p w14:paraId="3C5156CD" w14:textId="2F0EA275" w:rsidR="000B52F6" w:rsidRDefault="000B52F6">
      <w:pPr>
        <w:pStyle w:val="FootnoteText"/>
      </w:pPr>
      <w:r>
        <w:rPr>
          <w:rStyle w:val="FootnoteReference"/>
        </w:rPr>
        <w:footnoteRef/>
      </w:r>
      <w:r>
        <w:t xml:space="preserve"> </w:t>
      </w:r>
      <w:r w:rsidRPr="00996D4F">
        <w:t>20 CFR 680.830</w:t>
      </w:r>
    </w:p>
  </w:footnote>
  <w:footnote w:id="12">
    <w:p w14:paraId="5B0F33D8" w14:textId="77777777" w:rsidR="00142B77" w:rsidRDefault="00142B77" w:rsidP="00142B77">
      <w:pPr>
        <w:pStyle w:val="FootnoteText"/>
      </w:pPr>
      <w:r>
        <w:rPr>
          <w:rStyle w:val="FootnoteReference"/>
        </w:rPr>
        <w:footnoteRef/>
      </w:r>
      <w:r>
        <w:t xml:space="preserve"> </w:t>
      </w:r>
      <w:r w:rsidRPr="00593A4D">
        <w:t>20 CFR 680.780</w:t>
      </w:r>
    </w:p>
  </w:footnote>
  <w:footnote w:id="13">
    <w:p w14:paraId="5160D153" w14:textId="55CF4E30" w:rsidR="00424711" w:rsidRDefault="00424711">
      <w:pPr>
        <w:pStyle w:val="FootnoteText"/>
      </w:pPr>
      <w:r>
        <w:rPr>
          <w:rStyle w:val="FootnoteReference"/>
        </w:rPr>
        <w:footnoteRef/>
      </w:r>
      <w:r>
        <w:t xml:space="preserve"> </w:t>
      </w:r>
      <w:r w:rsidRPr="00D97758">
        <w:t>TEGL 19-16 (Page 16)</w:t>
      </w:r>
    </w:p>
  </w:footnote>
  <w:footnote w:id="14">
    <w:p w14:paraId="0BA56C5F" w14:textId="43DE1D14" w:rsidR="00D97758" w:rsidRDefault="00D97758">
      <w:pPr>
        <w:pStyle w:val="FootnoteText"/>
      </w:pPr>
      <w:r>
        <w:rPr>
          <w:rStyle w:val="FootnoteReference"/>
        </w:rPr>
        <w:footnoteRef/>
      </w:r>
      <w:r>
        <w:t xml:space="preserve"> </w:t>
      </w:r>
      <w:r w:rsidRPr="00D97758">
        <w:t>TEGL 19-16 (Page 16)</w:t>
      </w:r>
    </w:p>
  </w:footnote>
  <w:footnote w:id="15">
    <w:p w14:paraId="5C87975C" w14:textId="06FC7A39" w:rsidR="00533719" w:rsidRDefault="00533719">
      <w:pPr>
        <w:pStyle w:val="FootnoteText"/>
      </w:pPr>
      <w:r>
        <w:rPr>
          <w:rStyle w:val="FootnoteReference"/>
        </w:rPr>
        <w:footnoteRef/>
      </w:r>
      <w:r>
        <w:t xml:space="preserve"> </w:t>
      </w:r>
      <w:r w:rsidR="0009475F">
        <w:t>TEGL 19-16 (Page 17)</w:t>
      </w:r>
    </w:p>
  </w:footnote>
  <w:footnote w:id="16">
    <w:p w14:paraId="445708DD" w14:textId="7D25AFB7" w:rsidR="008F382A" w:rsidRDefault="008F382A">
      <w:pPr>
        <w:pStyle w:val="FootnoteText"/>
      </w:pPr>
      <w:r>
        <w:rPr>
          <w:rStyle w:val="FootnoteReference"/>
        </w:rPr>
        <w:footnoteRef/>
      </w:r>
      <w:r>
        <w:t xml:space="preserve"> </w:t>
      </w:r>
      <w:r w:rsidR="00F47821" w:rsidRPr="00F47821">
        <w:t>TEGL 19-16 (Page 16)</w:t>
      </w:r>
    </w:p>
  </w:footnote>
  <w:footnote w:id="17">
    <w:p w14:paraId="58CBCDBF" w14:textId="0DF2DA70" w:rsidR="00996D4F" w:rsidRDefault="00996D4F">
      <w:pPr>
        <w:pStyle w:val="FootnoteText"/>
      </w:pPr>
      <w:r>
        <w:rPr>
          <w:rStyle w:val="FootnoteReference"/>
        </w:rPr>
        <w:footnoteRef/>
      </w:r>
      <w:r>
        <w:t xml:space="preserve"> </w:t>
      </w:r>
      <w:r w:rsidRPr="00996D4F">
        <w:t>20 CFR 680.830</w:t>
      </w:r>
    </w:p>
  </w:footnote>
  <w:footnote w:id="18">
    <w:p w14:paraId="018F6F19" w14:textId="77777777" w:rsidR="00090DC6" w:rsidRDefault="00090DC6" w:rsidP="00090DC6">
      <w:pPr>
        <w:pStyle w:val="FootnoteText"/>
      </w:pPr>
      <w:r>
        <w:rPr>
          <w:rStyle w:val="FootnoteReference"/>
        </w:rPr>
        <w:footnoteRef/>
      </w:r>
      <w:r>
        <w:t xml:space="preserve"> TEGL 10-16, Change 3 (Page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05A1" w14:textId="58C947A8" w:rsidR="00A1225E" w:rsidRDefault="00484825">
    <w:pPr>
      <w:pStyle w:val="Header"/>
    </w:pPr>
    <w:r>
      <w:rPr>
        <w:rStyle w:val="CommentSubjectCha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13BBD4BA" wp14:editId="32352D1A">
          <wp:simplePos x="0" y="0"/>
          <wp:positionH relativeFrom="margin">
            <wp:align>center</wp:align>
          </wp:positionH>
          <wp:positionV relativeFrom="paragraph">
            <wp:posOffset>151</wp:posOffset>
          </wp:positionV>
          <wp:extent cx="1074240" cy="355600"/>
          <wp:effectExtent l="0" t="0" r="0" b="6350"/>
          <wp:wrapNone/>
          <wp:docPr id="1045480689" name="Picture 1"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23816" name="Picture 1" descr="Logo&#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424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E65DA" w14:textId="0717C197" w:rsidR="00A1225E" w:rsidRDefault="00A12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5C7A"/>
    <w:multiLevelType w:val="multilevel"/>
    <w:tmpl w:val="702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70B9C"/>
    <w:multiLevelType w:val="multilevel"/>
    <w:tmpl w:val="702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573A4"/>
    <w:multiLevelType w:val="multilevel"/>
    <w:tmpl w:val="702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C45FC"/>
    <w:multiLevelType w:val="hybridMultilevel"/>
    <w:tmpl w:val="AB5C64AA"/>
    <w:lvl w:ilvl="0" w:tplc="4EF2FB2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97CA2"/>
    <w:multiLevelType w:val="hybridMultilevel"/>
    <w:tmpl w:val="300A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649A8"/>
    <w:multiLevelType w:val="hybridMultilevel"/>
    <w:tmpl w:val="B37E9C70"/>
    <w:lvl w:ilvl="0" w:tplc="1AD4867E">
      <w:start w:val="1"/>
      <w:numFmt w:val="decimal"/>
      <w:lvlText w:val="%1."/>
      <w:lvlJc w:val="left"/>
      <w:pPr>
        <w:ind w:left="720" w:hanging="360"/>
      </w:pPr>
      <w:rPr>
        <w:rFonts w:asciiTheme="minorHAnsi" w:eastAsiaTheme="minorHAnsi" w:hAnsiTheme="minorHAnsi" w:cstheme="minorBidi"/>
      </w:rPr>
    </w:lvl>
    <w:lvl w:ilvl="1" w:tplc="45182528">
      <w:start w:val="1"/>
      <w:numFmt w:val="decimal"/>
      <w:lvlText w:val="%2."/>
      <w:lvlJc w:val="left"/>
      <w:pPr>
        <w:ind w:left="1440" w:hanging="360"/>
      </w:pPr>
      <w:rPr>
        <w:rFonts w:asciiTheme="minorHAnsi" w:eastAsia="Times New Roman" w:hAnsiTheme="minorHAnsi" w:cstheme="minorHAnsi"/>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C3D7A"/>
    <w:multiLevelType w:val="hybridMultilevel"/>
    <w:tmpl w:val="02BE9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C5243"/>
    <w:multiLevelType w:val="hybridMultilevel"/>
    <w:tmpl w:val="3468F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32BB7"/>
    <w:multiLevelType w:val="hybridMultilevel"/>
    <w:tmpl w:val="6948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83BBC"/>
    <w:multiLevelType w:val="hybridMultilevel"/>
    <w:tmpl w:val="D3F0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22618"/>
    <w:multiLevelType w:val="hybridMultilevel"/>
    <w:tmpl w:val="B37E9C70"/>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decimal"/>
      <w:lvlText w:val="%2."/>
      <w:lvlJc w:val="left"/>
      <w:pPr>
        <w:ind w:left="1440" w:hanging="360"/>
      </w:pPr>
      <w:rPr>
        <w:rFonts w:asciiTheme="minorHAnsi" w:eastAsia="Times New Roman" w:hAnsiTheme="minorHAnsi" w:cstheme="minorHAnsi"/>
      </w:r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512B4D"/>
    <w:multiLevelType w:val="hybridMultilevel"/>
    <w:tmpl w:val="C498B50A"/>
    <w:lvl w:ilvl="0" w:tplc="F8127756">
      <w:start w:val="1"/>
      <w:numFmt w:val="decimal"/>
      <w:lvlText w:val="%1)"/>
      <w:lvlJc w:val="left"/>
      <w:pPr>
        <w:ind w:left="1020" w:hanging="360"/>
      </w:pPr>
    </w:lvl>
    <w:lvl w:ilvl="1" w:tplc="BB287A2E">
      <w:start w:val="1"/>
      <w:numFmt w:val="decimal"/>
      <w:lvlText w:val="%2)"/>
      <w:lvlJc w:val="left"/>
      <w:pPr>
        <w:ind w:left="1020" w:hanging="360"/>
      </w:pPr>
    </w:lvl>
    <w:lvl w:ilvl="2" w:tplc="985A1F24">
      <w:start w:val="1"/>
      <w:numFmt w:val="decimal"/>
      <w:lvlText w:val="%3)"/>
      <w:lvlJc w:val="left"/>
      <w:pPr>
        <w:ind w:left="1020" w:hanging="360"/>
      </w:pPr>
    </w:lvl>
    <w:lvl w:ilvl="3" w:tplc="EE8C1646">
      <w:start w:val="1"/>
      <w:numFmt w:val="decimal"/>
      <w:lvlText w:val="%4)"/>
      <w:lvlJc w:val="left"/>
      <w:pPr>
        <w:ind w:left="1020" w:hanging="360"/>
      </w:pPr>
    </w:lvl>
    <w:lvl w:ilvl="4" w:tplc="E348F4E8">
      <w:start w:val="1"/>
      <w:numFmt w:val="decimal"/>
      <w:lvlText w:val="%5)"/>
      <w:lvlJc w:val="left"/>
      <w:pPr>
        <w:ind w:left="1020" w:hanging="360"/>
      </w:pPr>
    </w:lvl>
    <w:lvl w:ilvl="5" w:tplc="1CD2EA9C">
      <w:start w:val="1"/>
      <w:numFmt w:val="decimal"/>
      <w:lvlText w:val="%6)"/>
      <w:lvlJc w:val="left"/>
      <w:pPr>
        <w:ind w:left="1020" w:hanging="360"/>
      </w:pPr>
    </w:lvl>
    <w:lvl w:ilvl="6" w:tplc="F7E6CCE4">
      <w:start w:val="1"/>
      <w:numFmt w:val="decimal"/>
      <w:lvlText w:val="%7)"/>
      <w:lvlJc w:val="left"/>
      <w:pPr>
        <w:ind w:left="1020" w:hanging="360"/>
      </w:pPr>
    </w:lvl>
    <w:lvl w:ilvl="7" w:tplc="DDF0E286">
      <w:start w:val="1"/>
      <w:numFmt w:val="decimal"/>
      <w:lvlText w:val="%8)"/>
      <w:lvlJc w:val="left"/>
      <w:pPr>
        <w:ind w:left="1020" w:hanging="360"/>
      </w:pPr>
    </w:lvl>
    <w:lvl w:ilvl="8" w:tplc="D7661E2C">
      <w:start w:val="1"/>
      <w:numFmt w:val="decimal"/>
      <w:lvlText w:val="%9)"/>
      <w:lvlJc w:val="left"/>
      <w:pPr>
        <w:ind w:left="1020" w:hanging="360"/>
      </w:pPr>
    </w:lvl>
  </w:abstractNum>
  <w:abstractNum w:abstractNumId="12" w15:restartNumberingAfterBreak="0">
    <w:nsid w:val="557C4783"/>
    <w:multiLevelType w:val="hybridMultilevel"/>
    <w:tmpl w:val="412C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3AC8"/>
    <w:multiLevelType w:val="hybridMultilevel"/>
    <w:tmpl w:val="2442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209D0"/>
    <w:multiLevelType w:val="hybridMultilevel"/>
    <w:tmpl w:val="35B23BAA"/>
    <w:lvl w:ilvl="0" w:tplc="11041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5864C0"/>
    <w:multiLevelType w:val="hybridMultilevel"/>
    <w:tmpl w:val="5DB8B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E21C7"/>
    <w:multiLevelType w:val="multilevel"/>
    <w:tmpl w:val="702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27D87"/>
    <w:multiLevelType w:val="hybridMultilevel"/>
    <w:tmpl w:val="D9E6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51D39"/>
    <w:multiLevelType w:val="multilevel"/>
    <w:tmpl w:val="702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A0E43"/>
    <w:multiLevelType w:val="hybridMultilevel"/>
    <w:tmpl w:val="1030404E"/>
    <w:lvl w:ilvl="0" w:tplc="FFFFFFFF">
      <w:start w:val="1"/>
      <w:numFmt w:val="decimal"/>
      <w:lvlText w:val="%1."/>
      <w:lvlJc w:val="left"/>
      <w:pPr>
        <w:ind w:left="720" w:hanging="360"/>
      </w:pPr>
      <w:rPr>
        <w:rFonts w:asciiTheme="minorHAnsi" w:eastAsiaTheme="minorHAnsi" w:hAnsiTheme="minorHAnsi" w:cstheme="minorBidi"/>
      </w:rPr>
    </w:lvl>
    <w:lvl w:ilvl="1" w:tplc="04090017">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564DEE"/>
    <w:multiLevelType w:val="multilevel"/>
    <w:tmpl w:val="702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7B2C7A"/>
    <w:multiLevelType w:val="multilevel"/>
    <w:tmpl w:val="702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507861">
    <w:abstractNumId w:val="18"/>
  </w:num>
  <w:num w:numId="2" w16cid:durableId="1986855672">
    <w:abstractNumId w:val="16"/>
  </w:num>
  <w:num w:numId="3" w16cid:durableId="404573895">
    <w:abstractNumId w:val="1"/>
  </w:num>
  <w:num w:numId="4" w16cid:durableId="2019385160">
    <w:abstractNumId w:val="21"/>
  </w:num>
  <w:num w:numId="5" w16cid:durableId="1037200915">
    <w:abstractNumId w:val="2"/>
  </w:num>
  <w:num w:numId="6" w16cid:durableId="2025663803">
    <w:abstractNumId w:val="0"/>
  </w:num>
  <w:num w:numId="7" w16cid:durableId="2002079625">
    <w:abstractNumId w:val="20"/>
  </w:num>
  <w:num w:numId="8" w16cid:durableId="1409227237">
    <w:abstractNumId w:val="4"/>
  </w:num>
  <w:num w:numId="9" w16cid:durableId="504973788">
    <w:abstractNumId w:val="7"/>
  </w:num>
  <w:num w:numId="10" w16cid:durableId="54623766">
    <w:abstractNumId w:val="12"/>
  </w:num>
  <w:num w:numId="11" w16cid:durableId="122120526">
    <w:abstractNumId w:val="6"/>
  </w:num>
  <w:num w:numId="12" w16cid:durableId="1201553501">
    <w:abstractNumId w:val="17"/>
  </w:num>
  <w:num w:numId="13" w16cid:durableId="2027124557">
    <w:abstractNumId w:val="3"/>
  </w:num>
  <w:num w:numId="14" w16cid:durableId="603995461">
    <w:abstractNumId w:val="15"/>
  </w:num>
  <w:num w:numId="15" w16cid:durableId="49236114">
    <w:abstractNumId w:val="11"/>
  </w:num>
  <w:num w:numId="16" w16cid:durableId="1761411291">
    <w:abstractNumId w:val="5"/>
  </w:num>
  <w:num w:numId="17" w16cid:durableId="1286036067">
    <w:abstractNumId w:val="19"/>
  </w:num>
  <w:num w:numId="18" w16cid:durableId="1133905444">
    <w:abstractNumId w:val="8"/>
  </w:num>
  <w:num w:numId="19" w16cid:durableId="556092182">
    <w:abstractNumId w:val="9"/>
  </w:num>
  <w:num w:numId="20" w16cid:durableId="1127092137">
    <w:abstractNumId w:val="14"/>
  </w:num>
  <w:num w:numId="21" w16cid:durableId="840197232">
    <w:abstractNumId w:val="10"/>
  </w:num>
  <w:num w:numId="22" w16cid:durableId="1289817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84"/>
    <w:rsid w:val="00030F9F"/>
    <w:rsid w:val="0004676B"/>
    <w:rsid w:val="0006022E"/>
    <w:rsid w:val="00066987"/>
    <w:rsid w:val="00083403"/>
    <w:rsid w:val="00087BAD"/>
    <w:rsid w:val="00090DC6"/>
    <w:rsid w:val="00091937"/>
    <w:rsid w:val="00092DB0"/>
    <w:rsid w:val="0009475F"/>
    <w:rsid w:val="000B52F6"/>
    <w:rsid w:val="000C4849"/>
    <w:rsid w:val="000D1C42"/>
    <w:rsid w:val="000E0C61"/>
    <w:rsid w:val="00110D85"/>
    <w:rsid w:val="00112B79"/>
    <w:rsid w:val="00123B53"/>
    <w:rsid w:val="001300FB"/>
    <w:rsid w:val="00140951"/>
    <w:rsid w:val="00142B77"/>
    <w:rsid w:val="0014550F"/>
    <w:rsid w:val="001842C2"/>
    <w:rsid w:val="001859D9"/>
    <w:rsid w:val="00187BB0"/>
    <w:rsid w:val="00193FF1"/>
    <w:rsid w:val="001A2B56"/>
    <w:rsid w:val="001A36F9"/>
    <w:rsid w:val="001C22DE"/>
    <w:rsid w:val="001E7F45"/>
    <w:rsid w:val="001F7419"/>
    <w:rsid w:val="002060EA"/>
    <w:rsid w:val="00221AA4"/>
    <w:rsid w:val="00227775"/>
    <w:rsid w:val="002309E2"/>
    <w:rsid w:val="00243323"/>
    <w:rsid w:val="002625B4"/>
    <w:rsid w:val="0026472A"/>
    <w:rsid w:val="00285AAA"/>
    <w:rsid w:val="0029236B"/>
    <w:rsid w:val="00293E9B"/>
    <w:rsid w:val="002C6328"/>
    <w:rsid w:val="002E0387"/>
    <w:rsid w:val="002E0F0C"/>
    <w:rsid w:val="002E13AC"/>
    <w:rsid w:val="002E2204"/>
    <w:rsid w:val="002E7454"/>
    <w:rsid w:val="002F520C"/>
    <w:rsid w:val="0033449E"/>
    <w:rsid w:val="00335572"/>
    <w:rsid w:val="00335AA8"/>
    <w:rsid w:val="003440FE"/>
    <w:rsid w:val="00347AA1"/>
    <w:rsid w:val="00362730"/>
    <w:rsid w:val="00362A73"/>
    <w:rsid w:val="003641E7"/>
    <w:rsid w:val="0037445E"/>
    <w:rsid w:val="003869F8"/>
    <w:rsid w:val="00391391"/>
    <w:rsid w:val="003A1F47"/>
    <w:rsid w:val="003A247A"/>
    <w:rsid w:val="003A7FFD"/>
    <w:rsid w:val="003B36E1"/>
    <w:rsid w:val="00402D43"/>
    <w:rsid w:val="00412A87"/>
    <w:rsid w:val="00424711"/>
    <w:rsid w:val="00443EE2"/>
    <w:rsid w:val="00460C95"/>
    <w:rsid w:val="00461A0F"/>
    <w:rsid w:val="004834A7"/>
    <w:rsid w:val="00484825"/>
    <w:rsid w:val="004959ED"/>
    <w:rsid w:val="004A1956"/>
    <w:rsid w:val="004A776B"/>
    <w:rsid w:val="004C0A11"/>
    <w:rsid w:val="00510FD3"/>
    <w:rsid w:val="00514AFF"/>
    <w:rsid w:val="00533719"/>
    <w:rsid w:val="0054352E"/>
    <w:rsid w:val="00561514"/>
    <w:rsid w:val="0056453D"/>
    <w:rsid w:val="00593A4D"/>
    <w:rsid w:val="005A2312"/>
    <w:rsid w:val="005A2ED3"/>
    <w:rsid w:val="005A554E"/>
    <w:rsid w:val="005C0D8F"/>
    <w:rsid w:val="005E6A3F"/>
    <w:rsid w:val="005F7531"/>
    <w:rsid w:val="0060324C"/>
    <w:rsid w:val="00605584"/>
    <w:rsid w:val="006119B3"/>
    <w:rsid w:val="006217BF"/>
    <w:rsid w:val="00632D4D"/>
    <w:rsid w:val="006351E7"/>
    <w:rsid w:val="00650499"/>
    <w:rsid w:val="00650D03"/>
    <w:rsid w:val="006568BA"/>
    <w:rsid w:val="00666C8D"/>
    <w:rsid w:val="00671949"/>
    <w:rsid w:val="0068550A"/>
    <w:rsid w:val="00687B17"/>
    <w:rsid w:val="006C38A1"/>
    <w:rsid w:val="006E0270"/>
    <w:rsid w:val="006F777E"/>
    <w:rsid w:val="00702958"/>
    <w:rsid w:val="00713E07"/>
    <w:rsid w:val="0072391E"/>
    <w:rsid w:val="00731E4A"/>
    <w:rsid w:val="00740446"/>
    <w:rsid w:val="00746BE2"/>
    <w:rsid w:val="0075341A"/>
    <w:rsid w:val="00754287"/>
    <w:rsid w:val="00755E27"/>
    <w:rsid w:val="00756646"/>
    <w:rsid w:val="00770BEB"/>
    <w:rsid w:val="0078772D"/>
    <w:rsid w:val="007A2630"/>
    <w:rsid w:val="007A4A42"/>
    <w:rsid w:val="007A60B5"/>
    <w:rsid w:val="007C05AB"/>
    <w:rsid w:val="007C080E"/>
    <w:rsid w:val="007C509B"/>
    <w:rsid w:val="007E3B2E"/>
    <w:rsid w:val="007F1523"/>
    <w:rsid w:val="00835049"/>
    <w:rsid w:val="008359C8"/>
    <w:rsid w:val="008527EC"/>
    <w:rsid w:val="0086626B"/>
    <w:rsid w:val="00876553"/>
    <w:rsid w:val="008C766C"/>
    <w:rsid w:val="008D35B9"/>
    <w:rsid w:val="008D5F83"/>
    <w:rsid w:val="008D652B"/>
    <w:rsid w:val="008E1358"/>
    <w:rsid w:val="008E2242"/>
    <w:rsid w:val="008E63D5"/>
    <w:rsid w:val="008E707C"/>
    <w:rsid w:val="008F08E0"/>
    <w:rsid w:val="008F382A"/>
    <w:rsid w:val="0091451B"/>
    <w:rsid w:val="0092519D"/>
    <w:rsid w:val="00944AD2"/>
    <w:rsid w:val="00961CE5"/>
    <w:rsid w:val="00963AAD"/>
    <w:rsid w:val="00966659"/>
    <w:rsid w:val="0098205B"/>
    <w:rsid w:val="00996D4F"/>
    <w:rsid w:val="009B1A8E"/>
    <w:rsid w:val="009B574C"/>
    <w:rsid w:val="009B5EC6"/>
    <w:rsid w:val="009C722C"/>
    <w:rsid w:val="009D01EC"/>
    <w:rsid w:val="009D699A"/>
    <w:rsid w:val="009E06DE"/>
    <w:rsid w:val="00A0753D"/>
    <w:rsid w:val="00A1225E"/>
    <w:rsid w:val="00A23E11"/>
    <w:rsid w:val="00A36F6E"/>
    <w:rsid w:val="00A41189"/>
    <w:rsid w:val="00A4178C"/>
    <w:rsid w:val="00A50387"/>
    <w:rsid w:val="00A64078"/>
    <w:rsid w:val="00A80B44"/>
    <w:rsid w:val="00A83801"/>
    <w:rsid w:val="00AA0031"/>
    <w:rsid w:val="00AA0A58"/>
    <w:rsid w:val="00AB20C5"/>
    <w:rsid w:val="00AC3962"/>
    <w:rsid w:val="00AF0379"/>
    <w:rsid w:val="00AF0E48"/>
    <w:rsid w:val="00AF41E0"/>
    <w:rsid w:val="00B27FA0"/>
    <w:rsid w:val="00B37268"/>
    <w:rsid w:val="00B6179A"/>
    <w:rsid w:val="00B7019D"/>
    <w:rsid w:val="00B7350F"/>
    <w:rsid w:val="00B767A4"/>
    <w:rsid w:val="00B835F9"/>
    <w:rsid w:val="00B84923"/>
    <w:rsid w:val="00BB17F4"/>
    <w:rsid w:val="00BB6409"/>
    <w:rsid w:val="00BB69EC"/>
    <w:rsid w:val="00BC307C"/>
    <w:rsid w:val="00BC51C8"/>
    <w:rsid w:val="00BC6882"/>
    <w:rsid w:val="00BD5A50"/>
    <w:rsid w:val="00C01162"/>
    <w:rsid w:val="00C16369"/>
    <w:rsid w:val="00C22174"/>
    <w:rsid w:val="00C24D90"/>
    <w:rsid w:val="00C301F1"/>
    <w:rsid w:val="00C44392"/>
    <w:rsid w:val="00C61DDE"/>
    <w:rsid w:val="00C67B53"/>
    <w:rsid w:val="00C81B15"/>
    <w:rsid w:val="00CB3C38"/>
    <w:rsid w:val="00CC1845"/>
    <w:rsid w:val="00CC1E0E"/>
    <w:rsid w:val="00CD7CA2"/>
    <w:rsid w:val="00CF62F5"/>
    <w:rsid w:val="00D07E81"/>
    <w:rsid w:val="00D1578A"/>
    <w:rsid w:val="00D161C3"/>
    <w:rsid w:val="00D17B88"/>
    <w:rsid w:val="00D407F3"/>
    <w:rsid w:val="00D54B0E"/>
    <w:rsid w:val="00D9436B"/>
    <w:rsid w:val="00D97758"/>
    <w:rsid w:val="00DC3EAD"/>
    <w:rsid w:val="00DC4A22"/>
    <w:rsid w:val="00DC4F74"/>
    <w:rsid w:val="00DD0C43"/>
    <w:rsid w:val="00DD2084"/>
    <w:rsid w:val="00DE0DBF"/>
    <w:rsid w:val="00DE3E48"/>
    <w:rsid w:val="00DF5695"/>
    <w:rsid w:val="00E0100C"/>
    <w:rsid w:val="00E15F57"/>
    <w:rsid w:val="00E25350"/>
    <w:rsid w:val="00E26BCD"/>
    <w:rsid w:val="00E324EE"/>
    <w:rsid w:val="00E377F3"/>
    <w:rsid w:val="00E44759"/>
    <w:rsid w:val="00E7450D"/>
    <w:rsid w:val="00E74EFB"/>
    <w:rsid w:val="00E77FE2"/>
    <w:rsid w:val="00EA10B5"/>
    <w:rsid w:val="00EA4BCD"/>
    <w:rsid w:val="00EB607A"/>
    <w:rsid w:val="00EB767C"/>
    <w:rsid w:val="00EC4B7F"/>
    <w:rsid w:val="00ED1B90"/>
    <w:rsid w:val="00EF238D"/>
    <w:rsid w:val="00F47821"/>
    <w:rsid w:val="00F5486F"/>
    <w:rsid w:val="00F64A16"/>
    <w:rsid w:val="00F76B03"/>
    <w:rsid w:val="00F80FF3"/>
    <w:rsid w:val="00F93426"/>
    <w:rsid w:val="00FC1FA9"/>
    <w:rsid w:val="00FD328A"/>
    <w:rsid w:val="00FE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AF668"/>
  <w15:chartTrackingRefBased/>
  <w15:docId w15:val="{7C758435-7F6E-4EEE-8E41-5740792A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208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DD208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7">
    <w:name w:val="heading 7"/>
    <w:basedOn w:val="Normal"/>
    <w:next w:val="Normal"/>
    <w:link w:val="Heading7Char"/>
    <w:uiPriority w:val="9"/>
    <w:semiHidden/>
    <w:unhideWhenUsed/>
    <w:qFormat/>
    <w:rsid w:val="001300F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084"/>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DD208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D20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smallcap">
    <w:name w:val="labelsmallcap"/>
    <w:basedOn w:val="DefaultParagraphFont"/>
    <w:rsid w:val="00DD2084"/>
  </w:style>
  <w:style w:type="character" w:styleId="Hyperlink">
    <w:name w:val="Hyperlink"/>
    <w:basedOn w:val="DefaultParagraphFont"/>
    <w:uiPriority w:val="99"/>
    <w:unhideWhenUsed/>
    <w:rsid w:val="00DD2084"/>
    <w:rPr>
      <w:color w:val="0000FF"/>
      <w:u w:val="single"/>
    </w:rPr>
  </w:style>
  <w:style w:type="character" w:customStyle="1" w:styleId="label">
    <w:name w:val="label"/>
    <w:basedOn w:val="DefaultParagraphFont"/>
    <w:rsid w:val="00DD2084"/>
  </w:style>
  <w:style w:type="paragraph" w:styleId="NoSpacing">
    <w:name w:val="No Spacing"/>
    <w:uiPriority w:val="1"/>
    <w:qFormat/>
    <w:rsid w:val="002C6328"/>
    <w:pPr>
      <w:spacing w:after="0" w:line="240" w:lineRule="auto"/>
    </w:pPr>
  </w:style>
  <w:style w:type="paragraph" w:styleId="Revision">
    <w:name w:val="Revision"/>
    <w:hidden/>
    <w:uiPriority w:val="99"/>
    <w:semiHidden/>
    <w:rsid w:val="002C6328"/>
    <w:pPr>
      <w:spacing w:after="0" w:line="240" w:lineRule="auto"/>
    </w:pPr>
  </w:style>
  <w:style w:type="paragraph" w:styleId="FootnoteText">
    <w:name w:val="footnote text"/>
    <w:basedOn w:val="Normal"/>
    <w:link w:val="FootnoteTextChar"/>
    <w:uiPriority w:val="99"/>
    <w:unhideWhenUsed/>
    <w:rsid w:val="00966659"/>
    <w:pPr>
      <w:spacing w:after="0" w:line="240" w:lineRule="auto"/>
    </w:pPr>
    <w:rPr>
      <w:sz w:val="20"/>
      <w:szCs w:val="20"/>
    </w:rPr>
  </w:style>
  <w:style w:type="character" w:customStyle="1" w:styleId="FootnoteTextChar">
    <w:name w:val="Footnote Text Char"/>
    <w:basedOn w:val="DefaultParagraphFont"/>
    <w:link w:val="FootnoteText"/>
    <w:uiPriority w:val="99"/>
    <w:rsid w:val="00966659"/>
    <w:rPr>
      <w:sz w:val="20"/>
      <w:szCs w:val="20"/>
    </w:rPr>
  </w:style>
  <w:style w:type="character" w:styleId="CommentReference">
    <w:name w:val="annotation reference"/>
    <w:basedOn w:val="DefaultParagraphFont"/>
    <w:uiPriority w:val="99"/>
    <w:semiHidden/>
    <w:unhideWhenUsed/>
    <w:rsid w:val="00A1225E"/>
    <w:rPr>
      <w:sz w:val="16"/>
      <w:szCs w:val="16"/>
    </w:rPr>
  </w:style>
  <w:style w:type="paragraph" w:styleId="CommentText">
    <w:name w:val="annotation text"/>
    <w:basedOn w:val="Normal"/>
    <w:link w:val="CommentTextChar"/>
    <w:uiPriority w:val="99"/>
    <w:unhideWhenUsed/>
    <w:rsid w:val="00A1225E"/>
    <w:pPr>
      <w:spacing w:line="240" w:lineRule="auto"/>
    </w:pPr>
    <w:rPr>
      <w:sz w:val="20"/>
      <w:szCs w:val="20"/>
    </w:rPr>
  </w:style>
  <w:style w:type="character" w:customStyle="1" w:styleId="CommentTextChar">
    <w:name w:val="Comment Text Char"/>
    <w:basedOn w:val="DefaultParagraphFont"/>
    <w:link w:val="CommentText"/>
    <w:uiPriority w:val="99"/>
    <w:rsid w:val="00A1225E"/>
    <w:rPr>
      <w:sz w:val="20"/>
      <w:szCs w:val="20"/>
    </w:rPr>
  </w:style>
  <w:style w:type="paragraph" w:styleId="CommentSubject">
    <w:name w:val="annotation subject"/>
    <w:basedOn w:val="CommentText"/>
    <w:next w:val="CommentText"/>
    <w:link w:val="CommentSubjectChar"/>
    <w:uiPriority w:val="99"/>
    <w:semiHidden/>
    <w:unhideWhenUsed/>
    <w:rsid w:val="00A1225E"/>
    <w:rPr>
      <w:b/>
      <w:bCs/>
    </w:rPr>
  </w:style>
  <w:style w:type="character" w:customStyle="1" w:styleId="CommentSubjectChar">
    <w:name w:val="Comment Subject Char"/>
    <w:basedOn w:val="CommentTextChar"/>
    <w:link w:val="CommentSubject"/>
    <w:uiPriority w:val="99"/>
    <w:semiHidden/>
    <w:rsid w:val="00A1225E"/>
    <w:rPr>
      <w:b/>
      <w:bCs/>
      <w:sz w:val="20"/>
      <w:szCs w:val="20"/>
    </w:rPr>
  </w:style>
  <w:style w:type="paragraph" w:styleId="Header">
    <w:name w:val="header"/>
    <w:basedOn w:val="Normal"/>
    <w:link w:val="HeaderChar"/>
    <w:uiPriority w:val="99"/>
    <w:unhideWhenUsed/>
    <w:rsid w:val="00A12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5E"/>
  </w:style>
  <w:style w:type="paragraph" w:styleId="Footer">
    <w:name w:val="footer"/>
    <w:basedOn w:val="Normal"/>
    <w:link w:val="FooterChar"/>
    <w:uiPriority w:val="99"/>
    <w:unhideWhenUsed/>
    <w:rsid w:val="00A1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5E"/>
  </w:style>
  <w:style w:type="character" w:styleId="FootnoteReference">
    <w:name w:val="footnote reference"/>
    <w:basedOn w:val="DefaultParagraphFont"/>
    <w:uiPriority w:val="99"/>
    <w:semiHidden/>
    <w:unhideWhenUsed/>
    <w:rsid w:val="0004676B"/>
    <w:rPr>
      <w:vertAlign w:val="superscript"/>
    </w:rPr>
  </w:style>
  <w:style w:type="paragraph" w:styleId="ListParagraph">
    <w:name w:val="List Paragraph"/>
    <w:basedOn w:val="Normal"/>
    <w:uiPriority w:val="34"/>
    <w:qFormat/>
    <w:rsid w:val="008359C8"/>
    <w:pPr>
      <w:ind w:left="720"/>
      <w:contextualSpacing/>
    </w:pPr>
  </w:style>
  <w:style w:type="character" w:styleId="UnresolvedMention">
    <w:name w:val="Unresolved Mention"/>
    <w:basedOn w:val="DefaultParagraphFont"/>
    <w:uiPriority w:val="99"/>
    <w:semiHidden/>
    <w:unhideWhenUsed/>
    <w:rsid w:val="002060EA"/>
    <w:rPr>
      <w:color w:val="605E5C"/>
      <w:shd w:val="clear" w:color="auto" w:fill="E1DFDD"/>
    </w:rPr>
  </w:style>
  <w:style w:type="table" w:styleId="TableGrid">
    <w:name w:val="Table Grid"/>
    <w:basedOn w:val="TableNormal"/>
    <w:uiPriority w:val="39"/>
    <w:rsid w:val="008E707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1300FB"/>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whd/fact-sheets/13-flsa-employment-relationsh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d2leuf3vilid4d.cloudfront.net%2F-%2Fmedia%2F5B26155C9C304095BBD0C642B4FEFE72.ashx%3Fsc_lang%3Den%26rev%3D000681423844489DBCBB95D097E5B853&amp;data=05%7C02%7CAlec.Smith%40state.mn.us%7C0f093edafb9949cf856808dd7e8e08c7%7Ceb14b04624c445198f26b89c2159828c%7C0%7C0%7C638805870676378174%7CUnknown%7CTWFpbGZsb3d8eyJFbXB0eU1hcGkiOnRydWUsIlYiOiIwLjAuMDAwMCIsIlAiOiJXaW4zMiIsIkFOIjoiTWFpbCIsIldUIjoyfQ%3D%3D%7C0%7C%7C%7C&amp;sdata=l1N%2FntRJGGNxkEuSHhPM5DjihE%2FAgva4tvr8RtOWzbU%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s.deed.state.mn.us/ddp/PolicyDetail.aspx?pol=566" TargetMode="External"/><Relationship Id="rId4" Type="http://schemas.openxmlformats.org/officeDocument/2006/relationships/settings" Target="settings.xml"/><Relationship Id="rId9" Type="http://schemas.openxmlformats.org/officeDocument/2006/relationships/hyperlink" Target="https://mn.gov/deed/assets/dwfap-terms-definitions_tcm1045-648050.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mn.gov/d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BAB8-82F5-4DA0-BADD-95B9D2D41FA3}">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Alec (He/Him/His) (DEED)</dc:creator>
  <cp:keywords/>
  <dc:description/>
  <cp:lastModifiedBy>Smith, Alec (He/Him/His) (DEED)</cp:lastModifiedBy>
  <cp:revision>2</cp:revision>
  <dcterms:created xsi:type="dcterms:W3CDTF">2025-04-18T16:18:00Z</dcterms:created>
  <dcterms:modified xsi:type="dcterms:W3CDTF">2025-04-18T16:18:00Z</dcterms:modified>
</cp:coreProperties>
</file>