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999E" w14:textId="77777777" w:rsidR="00616BCA" w:rsidRDefault="00616BCA">
      <w:pPr>
        <w:shd w:val="clear" w:color="auto" w:fill="FFFFFF"/>
        <w:rPr>
          <w:rFonts w:ascii="Aptos" w:hAnsi="Aptos"/>
          <w:color w:val="000000"/>
          <w:kern w:val="0"/>
          <w14:ligatures w14:val="none"/>
        </w:rPr>
      </w:pPr>
      <w:r>
        <w:rPr>
          <w:rFonts w:ascii="Aptos" w:hAnsi="Aptos"/>
          <w:color w:val="000000"/>
        </w:rPr>
        <w:t>The MPCA has a number of grants and available for communities and facilities operating in Minnesota. All available grant and loan opportunities can be reviewed at </w:t>
      </w:r>
      <w:hyperlink r:id="rId5" w:history="1">
        <w:r>
          <w:rPr>
            <w:rStyle w:val="Hyperlink"/>
            <w:rFonts w:ascii="Aptos" w:hAnsi="Aptos"/>
            <w:color w:val="467886"/>
          </w:rPr>
          <w:t>https://www.pca.state.mn.us/business-with-us/grants-loans-and-contracts</w:t>
        </w:r>
      </w:hyperlink>
      <w:r>
        <w:rPr>
          <w:rFonts w:ascii="Aptos" w:hAnsi="Aptos"/>
          <w:color w:val="000000"/>
        </w:rPr>
        <w:t>.</w:t>
      </w:r>
    </w:p>
    <w:p w14:paraId="59212680" w14:textId="77777777" w:rsidR="00616BCA" w:rsidRDefault="00616BCA">
      <w:pPr>
        <w:shd w:val="clear" w:color="auto" w:fill="FFFFFF"/>
        <w:rPr>
          <w:rFonts w:ascii="Aptos" w:hAnsi="Aptos"/>
          <w:color w:val="000000"/>
        </w:rPr>
      </w:pPr>
      <w:r>
        <w:rPr>
          <w:rFonts w:ascii="Aptos" w:hAnsi="Aptos"/>
          <w:color w:val="000000"/>
        </w:rPr>
        <w:t> </w:t>
      </w:r>
    </w:p>
    <w:p w14:paraId="67CEF01D" w14:textId="77777777" w:rsidR="00616BCA" w:rsidRDefault="00616BCA">
      <w:pPr>
        <w:shd w:val="clear" w:color="auto" w:fill="FFFFFF"/>
        <w:rPr>
          <w:rFonts w:ascii="Aptos" w:hAnsi="Aptos"/>
          <w:color w:val="000000"/>
        </w:rPr>
      </w:pPr>
      <w:r>
        <w:rPr>
          <w:rFonts w:ascii="Aptos" w:hAnsi="Aptos"/>
          <w:color w:val="000000"/>
        </w:rPr>
        <w:t>The following specific grants may of interest to energy transition communities.</w:t>
      </w:r>
    </w:p>
    <w:p w14:paraId="08DE6CCB" w14:textId="77777777" w:rsidR="00616BCA" w:rsidRDefault="00616BCA">
      <w:pPr>
        <w:shd w:val="clear" w:color="auto" w:fill="FFFFFF"/>
        <w:rPr>
          <w:rFonts w:ascii="Aptos" w:hAnsi="Aptos"/>
          <w:color w:val="000000"/>
        </w:rPr>
      </w:pPr>
      <w:r>
        <w:rPr>
          <w:rFonts w:ascii="Aptos" w:hAnsi="Aptos"/>
          <w:color w:val="000000"/>
        </w:rPr>
        <w:t> </w:t>
      </w:r>
    </w:p>
    <w:p w14:paraId="58005C92" w14:textId="77777777" w:rsidR="00616BCA" w:rsidRPr="00AA634E" w:rsidRDefault="00616BCA">
      <w:pPr>
        <w:shd w:val="clear" w:color="auto" w:fill="FFFFFF"/>
        <w:rPr>
          <w:rFonts w:ascii="Aptos" w:hAnsi="Aptos"/>
          <w:color w:val="000000"/>
          <w:u w:val="single"/>
        </w:rPr>
      </w:pPr>
      <w:r w:rsidRPr="00AA634E">
        <w:rPr>
          <w:rFonts w:ascii="Aptos" w:hAnsi="Aptos"/>
          <w:color w:val="000000"/>
          <w:u w:val="single"/>
        </w:rPr>
        <w:t>Electric vehicle fast chargers grant</w:t>
      </w:r>
    </w:p>
    <w:p w14:paraId="20EC290E" w14:textId="77777777" w:rsidR="00616BCA" w:rsidRDefault="00616BCA">
      <w:pPr>
        <w:shd w:val="clear" w:color="auto" w:fill="FFFFFF"/>
        <w:rPr>
          <w:rFonts w:ascii="Aptos" w:hAnsi="Aptos"/>
          <w:color w:val="000000"/>
        </w:rPr>
      </w:pPr>
      <w:r>
        <w:rPr>
          <w:rFonts w:ascii="Aptos" w:hAnsi="Aptos"/>
          <w:color w:val="000000"/>
        </w:rPr>
        <w:t>Application deadline: December 9, 2025</w:t>
      </w:r>
    </w:p>
    <w:p w14:paraId="1EEFB3A9" w14:textId="0F5E3D3F" w:rsidR="00616BCA" w:rsidRDefault="00616BCA">
      <w:pPr>
        <w:shd w:val="clear" w:color="auto" w:fill="FFFFFF"/>
        <w:rPr>
          <w:rFonts w:ascii="Aptos" w:hAnsi="Aptos"/>
          <w:color w:val="000000"/>
        </w:rPr>
      </w:pPr>
      <w:r>
        <w:rPr>
          <w:rFonts w:ascii="Aptos" w:hAnsi="Aptos"/>
          <w:color w:val="000000"/>
        </w:rPr>
        <w:t>The MPCA has approximately $1.89 million available to install EV direct current fast-charging stations in public places in select Minnesota locations along key charging corridors. For the purpose of this request for proposal, roadways have been assigned into “EV corridors.” These fast-charging corridors along major roadways will allow eventual travel by EV drivers over long distances throughout the state, making it feasible for more Minnesotans to drive electric vehicles. Eligible entities are for-profit, nonprofit, and public entities, including state, local, and Tribal governments</w:t>
      </w:r>
      <w:r w:rsidR="00122AED">
        <w:rPr>
          <w:rFonts w:ascii="Aptos" w:hAnsi="Aptos"/>
          <w:color w:val="000000"/>
        </w:rPr>
        <w:t>.</w:t>
      </w:r>
    </w:p>
    <w:p w14:paraId="672C4B68" w14:textId="77777777" w:rsidR="006E45B2" w:rsidRPr="00D369F5" w:rsidRDefault="006E45B2" w:rsidP="00BD37BE">
      <w:pPr>
        <w:shd w:val="clear" w:color="auto" w:fill="FFFFFF"/>
        <w:rPr>
          <w:rFonts w:eastAsia="Times New Roman"/>
          <w:color w:val="343A40"/>
          <w:u w:val="single"/>
          <w:shd w:val="clear" w:color="auto" w:fill="FFFFFF"/>
        </w:rPr>
      </w:pPr>
      <w:r w:rsidRPr="00D369F5">
        <w:rPr>
          <w:rFonts w:eastAsia="Times New Roman"/>
          <w:color w:val="343A40"/>
          <w:u w:val="single"/>
          <w:shd w:val="clear" w:color="auto" w:fill="FFFFFF"/>
        </w:rPr>
        <w:t>Planning grants for stormwater, wastewater, and community resilience</w:t>
      </w:r>
    </w:p>
    <w:p w14:paraId="722FD778" w14:textId="7A4B8FA2" w:rsidR="006E45B2" w:rsidRDefault="006E45B2" w:rsidP="00BD37BE">
      <w:pPr>
        <w:shd w:val="clear" w:color="auto" w:fill="FFFFFF"/>
        <w:rPr>
          <w:rFonts w:eastAsia="Times New Roman"/>
          <w:color w:val="343A40"/>
          <w:shd w:val="clear" w:color="auto" w:fill="FFFFFF"/>
        </w:rPr>
      </w:pPr>
      <w:r>
        <w:rPr>
          <w:rFonts w:eastAsia="Times New Roman"/>
          <w:color w:val="343A40"/>
          <w:shd w:val="clear" w:color="auto" w:fill="FFFFFF"/>
        </w:rPr>
        <w:t>Application dead</w:t>
      </w:r>
      <w:r w:rsidR="001369C7">
        <w:rPr>
          <w:rFonts w:eastAsia="Times New Roman"/>
          <w:color w:val="343A40"/>
          <w:shd w:val="clear" w:color="auto" w:fill="FFFFFF"/>
        </w:rPr>
        <w:t xml:space="preserve">line </w:t>
      </w:r>
      <w:r>
        <w:rPr>
          <w:rFonts w:eastAsia="Times New Roman"/>
          <w:color w:val="343A40"/>
          <w:shd w:val="clear" w:color="auto" w:fill="FFFFFF"/>
        </w:rPr>
        <w:t>December 11, 2025</w:t>
      </w:r>
      <w:r w:rsidR="001369C7">
        <w:rPr>
          <w:rFonts w:eastAsia="Times New Roman"/>
          <w:color w:val="343A40"/>
          <w:shd w:val="clear" w:color="auto" w:fill="FFFFFF"/>
        </w:rPr>
        <w:t>.</w:t>
      </w:r>
    </w:p>
    <w:p w14:paraId="2955C720" w14:textId="73914329" w:rsidR="006E45B2" w:rsidRPr="001973FE" w:rsidRDefault="006E45B2" w:rsidP="00BD37BE">
      <w:pPr>
        <w:shd w:val="clear" w:color="auto" w:fill="FFFFFF"/>
        <w:rPr>
          <w:rFonts w:eastAsia="Times New Roman"/>
          <w:color w:val="343A40"/>
          <w:shd w:val="clear" w:color="auto" w:fill="FFFFFF"/>
        </w:rPr>
      </w:pPr>
      <w:r w:rsidRPr="001973FE">
        <w:rPr>
          <w:rFonts w:eastAsia="Times New Roman"/>
          <w:color w:val="343A40"/>
          <w:shd w:val="clear" w:color="auto" w:fill="FFFFFF"/>
        </w:rPr>
        <w:t>The MPCA is soliciting project proposals to distribute $1.6 million for climate planning projects to communities across Minnesota. This funding provides an opportunity for these communities to assess vulnerabilities and begin planning for the effects of Minnesota’s changing climate in three areas:</w:t>
      </w:r>
    </w:p>
    <w:p w14:paraId="5AC4D125" w14:textId="77777777" w:rsidR="006E45B2" w:rsidRPr="00D369F5" w:rsidRDefault="006E45B2" w:rsidP="00BD37BE">
      <w:pPr>
        <w:pStyle w:val="ListParagraph"/>
        <w:numPr>
          <w:ilvl w:val="0"/>
          <w:numId w:val="1"/>
        </w:numPr>
        <w:shd w:val="clear" w:color="auto" w:fill="FFFFFF"/>
        <w:rPr>
          <w:rFonts w:eastAsia="Times New Roman"/>
          <w:color w:val="343A40"/>
          <w:shd w:val="clear" w:color="auto" w:fill="FFFFFF"/>
        </w:rPr>
      </w:pPr>
      <w:r w:rsidRPr="00D369F5">
        <w:rPr>
          <w:rFonts w:eastAsia="Times New Roman"/>
          <w:color w:val="343A40"/>
          <w:shd w:val="clear" w:color="auto" w:fill="FFFFFF"/>
        </w:rPr>
        <w:t>how to increase resilience to stormwater and reduce localized flood risk</w:t>
      </w:r>
    </w:p>
    <w:p w14:paraId="4B984CF6" w14:textId="77777777" w:rsidR="006E45B2" w:rsidRPr="00D369F5" w:rsidRDefault="006E45B2" w:rsidP="00BD37BE">
      <w:pPr>
        <w:pStyle w:val="ListParagraph"/>
        <w:numPr>
          <w:ilvl w:val="0"/>
          <w:numId w:val="1"/>
        </w:numPr>
        <w:shd w:val="clear" w:color="auto" w:fill="FFFFFF"/>
        <w:rPr>
          <w:rFonts w:eastAsia="Times New Roman"/>
          <w:color w:val="343A40"/>
          <w:shd w:val="clear" w:color="auto" w:fill="FFFFFF"/>
        </w:rPr>
      </w:pPr>
      <w:r w:rsidRPr="00D369F5">
        <w:rPr>
          <w:rFonts w:eastAsia="Times New Roman"/>
          <w:color w:val="343A40"/>
          <w:shd w:val="clear" w:color="auto" w:fill="FFFFFF"/>
        </w:rPr>
        <w:t>how to improve the resilience of wastewater systems</w:t>
      </w:r>
    </w:p>
    <w:p w14:paraId="2CCD4F03" w14:textId="77777777" w:rsidR="006E45B2" w:rsidRDefault="006E45B2" w:rsidP="00BD37BE">
      <w:pPr>
        <w:pStyle w:val="ListParagraph"/>
        <w:numPr>
          <w:ilvl w:val="0"/>
          <w:numId w:val="1"/>
        </w:numPr>
        <w:shd w:val="clear" w:color="auto" w:fill="FFFFFF"/>
        <w:rPr>
          <w:rFonts w:eastAsia="Times New Roman"/>
          <w:color w:val="343A40"/>
          <w:shd w:val="clear" w:color="auto" w:fill="FFFFFF"/>
        </w:rPr>
      </w:pPr>
      <w:r w:rsidRPr="00D369F5">
        <w:rPr>
          <w:rFonts w:eastAsia="Times New Roman"/>
          <w:color w:val="343A40"/>
          <w:shd w:val="clear" w:color="auto" w:fill="FFFFFF"/>
        </w:rPr>
        <w:t>how to adapt community services, ordinances, and public spaces to the changing climate</w:t>
      </w:r>
    </w:p>
    <w:p w14:paraId="66CBFC5C" w14:textId="77777777" w:rsidR="00D81788" w:rsidRPr="003B5589" w:rsidRDefault="00D81788">
      <w:pPr>
        <w:shd w:val="clear" w:color="auto" w:fill="FFFFFF"/>
        <w:rPr>
          <w:rFonts w:ascii="Aptos" w:hAnsi="Aptos"/>
          <w:color w:val="000000"/>
          <w:u w:val="single"/>
        </w:rPr>
      </w:pPr>
      <w:r w:rsidRPr="003B5589">
        <w:rPr>
          <w:rFonts w:ascii="Aptos" w:hAnsi="Aptos"/>
          <w:color w:val="000000"/>
          <w:u w:val="single"/>
        </w:rPr>
        <w:t>Local climate action grants</w:t>
      </w:r>
    </w:p>
    <w:p w14:paraId="33B685F0" w14:textId="722FEBA2" w:rsidR="00EC734E" w:rsidRPr="00EC734E" w:rsidRDefault="00EC734E">
      <w:pPr>
        <w:shd w:val="clear" w:color="auto" w:fill="FFFFFF"/>
        <w:rPr>
          <w:rFonts w:eastAsia="Times New Roman"/>
          <w:color w:val="343A40"/>
          <w:shd w:val="clear" w:color="auto" w:fill="FFFFFF"/>
        </w:rPr>
      </w:pPr>
      <w:r>
        <w:rPr>
          <w:rFonts w:eastAsia="Times New Roman"/>
          <w:color w:val="343A40"/>
          <w:shd w:val="clear" w:color="auto" w:fill="FFFFFF"/>
        </w:rPr>
        <w:t>Application deadline December 23, 2025.</w:t>
      </w:r>
    </w:p>
    <w:p w14:paraId="6F52DFFA" w14:textId="3CF338D0" w:rsidR="00E24910" w:rsidRDefault="00E85BB7">
      <w:pPr>
        <w:shd w:val="clear" w:color="auto" w:fill="FFFFFF"/>
        <w:rPr>
          <w:rFonts w:eastAsia="Times New Roman"/>
          <w:color w:val="343A40"/>
          <w:shd w:val="clear" w:color="auto" w:fill="FFFFFF"/>
        </w:rPr>
      </w:pPr>
      <w:r w:rsidRPr="00E85BB7">
        <w:rPr>
          <w:rFonts w:ascii="Aptos" w:hAnsi="Aptos"/>
          <w:color w:val="000000"/>
        </w:rPr>
        <w:t>Approximately $3 million in funding was available for local climate action planning and implementation projects</w:t>
      </w:r>
      <w:r w:rsidR="003B5589">
        <w:rPr>
          <w:rFonts w:ascii="Aptos" w:hAnsi="Aptos"/>
          <w:color w:val="000000"/>
        </w:rPr>
        <w:t xml:space="preserve">. </w:t>
      </w:r>
      <w:r w:rsidR="00611AEB" w:rsidRPr="00611AEB">
        <w:rPr>
          <w:rFonts w:ascii="Arial" w:eastAsia="Times New Roman" w:hAnsi="Arial"/>
          <w:color w:val="343A40"/>
          <w:sz w:val="30"/>
          <w:szCs w:val="30"/>
          <w:shd w:val="clear" w:color="auto" w:fill="FFFFFF"/>
        </w:rPr>
        <w:t xml:space="preserve"> </w:t>
      </w:r>
      <w:r w:rsidR="00F83B81">
        <w:rPr>
          <w:rFonts w:eastAsia="Times New Roman"/>
          <w:color w:val="343A40"/>
          <w:shd w:val="clear" w:color="auto" w:fill="FFFFFF"/>
        </w:rPr>
        <w:t xml:space="preserve">The MPCA seeks </w:t>
      </w:r>
      <w:r w:rsidR="00F91C3A" w:rsidRPr="00E24910">
        <w:rPr>
          <w:rFonts w:eastAsia="Times New Roman"/>
          <w:color w:val="343A40"/>
          <w:shd w:val="clear" w:color="auto" w:fill="FFFFFF"/>
        </w:rPr>
        <w:t>proposals for planning and implementation projects that enable local jurisdictions to adapt to extreme weather events and a changing climate and/or to reduce the local jurisdiction’s contributions to the causes of climate change.</w:t>
      </w:r>
      <w:r w:rsidR="00F83B81">
        <w:rPr>
          <w:rFonts w:eastAsia="Times New Roman"/>
          <w:color w:val="343A40"/>
          <w:shd w:val="clear" w:color="auto" w:fill="FFFFFF"/>
        </w:rPr>
        <w:t xml:space="preserve"> </w:t>
      </w:r>
    </w:p>
    <w:p w14:paraId="612F9E81" w14:textId="58C0FCBA" w:rsidR="005A09B3" w:rsidRPr="00AF4C34" w:rsidRDefault="005A09B3">
      <w:pPr>
        <w:shd w:val="clear" w:color="auto" w:fill="FFFFFF"/>
        <w:rPr>
          <w:rFonts w:ascii="Aptos" w:hAnsi="Aptos"/>
          <w:color w:val="000000"/>
          <w:kern w:val="0"/>
          <w:u w:val="single"/>
          <w14:ligatures w14:val="none"/>
        </w:rPr>
      </w:pPr>
      <w:r w:rsidRPr="00AF4C34">
        <w:rPr>
          <w:rFonts w:ascii="Aptos" w:hAnsi="Aptos"/>
          <w:color w:val="000000"/>
          <w:u w:val="single"/>
        </w:rPr>
        <w:lastRenderedPageBreak/>
        <w:t>Funding for brownfield investigation</w:t>
      </w:r>
    </w:p>
    <w:p w14:paraId="15118AED" w14:textId="2539147D" w:rsidR="005A09B3" w:rsidRDefault="005A09B3">
      <w:pPr>
        <w:shd w:val="clear" w:color="auto" w:fill="FFFFFF"/>
        <w:rPr>
          <w:rFonts w:ascii="Aptos" w:hAnsi="Aptos"/>
          <w:color w:val="000000"/>
        </w:rPr>
      </w:pPr>
      <w:r>
        <w:rPr>
          <w:rFonts w:ascii="Aptos" w:hAnsi="Aptos"/>
          <w:color w:val="000000"/>
        </w:rPr>
        <w:t>Brownfields are abandoned, idled, or underused properties where reuse is complicated by actual or suspected contamination. The Minnesota Pollution Control Agency (MPCA) has grant money from the U.S. Environmental Protection Agency (EPA) available to pay for assessment of contaminated properties to support redevelopment and reuse. The work is overseen by the MPCA Brownfield Program and performed by MPCA contractors at no cost to the recipients. Eligible sites in Minnesota can be publicly or privately owned with known or suspected contamination. Applicants cannot be responsible for the contamination. Preferred projects for funding are those that have community support; enhance the neighborhood without resulting in gentrification; provide essential services such as affordable housing, social services, or youth enrichment; or support small business owners. Target applicants are typically those with limited financial resources. Typical funding requests range from $10,000-50,000 but any request is considered provided it meets eligibility requirements.</w:t>
      </w:r>
    </w:p>
    <w:p w14:paraId="4015EAA9" w14:textId="77777777" w:rsidR="00681392" w:rsidRPr="00AF4C34" w:rsidRDefault="00681392">
      <w:pPr>
        <w:shd w:val="clear" w:color="auto" w:fill="FFFFFF"/>
        <w:rPr>
          <w:rFonts w:ascii="Aptos" w:hAnsi="Aptos"/>
          <w:color w:val="000000"/>
          <w:u w:val="single"/>
        </w:rPr>
      </w:pPr>
      <w:r w:rsidRPr="00AF4C34">
        <w:rPr>
          <w:rFonts w:ascii="Aptos" w:hAnsi="Aptos"/>
          <w:color w:val="000000"/>
          <w:u w:val="single"/>
        </w:rPr>
        <w:t>Environmental assistance loans</w:t>
      </w:r>
    </w:p>
    <w:p w14:paraId="23D83993" w14:textId="77777777" w:rsidR="00681392" w:rsidRDefault="00681392">
      <w:pPr>
        <w:shd w:val="clear" w:color="auto" w:fill="FFFFFF"/>
        <w:rPr>
          <w:rFonts w:ascii="Aptos" w:hAnsi="Aptos"/>
          <w:color w:val="000000"/>
        </w:rPr>
      </w:pPr>
      <w:r>
        <w:rPr>
          <w:rFonts w:ascii="Aptos" w:hAnsi="Aptos"/>
          <w:color w:val="000000"/>
        </w:rPr>
        <w:t>Financial assistance to accelerate the application and/or improvement of environmental processes and technologies in Minnesota by providing assistance for the capital costs (machinery and equipment) of eligible projects. MPCA partners with private financial institutions to offer loans resulting in substantially reduced interest rates for projects that will improve the environmental and economic quality of Minnesota. Priority eligible projects: green chemistry, pollution prevention, source reduction, recycling, and source-separated compostable materials. Eligible loan costs are limited to the capital costs of implementing waste or pollution prevention technologies in Minnesota — the costs of acquisition of machinery and equipment, including freight and installation, and related improvements.</w:t>
      </w:r>
    </w:p>
    <w:p w14:paraId="0850DB63" w14:textId="77777777" w:rsidR="00293C9B" w:rsidRPr="00293C9B" w:rsidRDefault="00293C9B">
      <w:pPr>
        <w:shd w:val="clear" w:color="auto" w:fill="FFFFFF"/>
        <w:rPr>
          <w:rFonts w:ascii="Aptos" w:hAnsi="Aptos"/>
          <w:color w:val="000000"/>
          <w:kern w:val="0"/>
          <w:u w:val="single"/>
          <w14:ligatures w14:val="none"/>
        </w:rPr>
      </w:pPr>
      <w:r w:rsidRPr="00293C9B">
        <w:rPr>
          <w:rFonts w:ascii="Aptos" w:hAnsi="Aptos"/>
          <w:color w:val="000000"/>
          <w:u w:val="single"/>
        </w:rPr>
        <w:t>Environmental assistance loans</w:t>
      </w:r>
    </w:p>
    <w:p w14:paraId="20FD29C0" w14:textId="77777777" w:rsidR="00293C9B" w:rsidRDefault="00293C9B">
      <w:pPr>
        <w:shd w:val="clear" w:color="auto" w:fill="FFFFFF"/>
        <w:rPr>
          <w:rFonts w:ascii="Aptos" w:hAnsi="Aptos"/>
          <w:color w:val="000000"/>
        </w:rPr>
      </w:pPr>
      <w:r>
        <w:rPr>
          <w:rFonts w:ascii="Aptos" w:hAnsi="Aptos"/>
          <w:color w:val="000000"/>
        </w:rPr>
        <w:t xml:space="preserve">Financial assistance to accelerate the application and/or improvement of environmental processes and technologies in Minnesota by providing assistance for the capital costs (machinery and equipment) of eligible projects. MPCA partners with private financial institutions to offer loans resulting in substantially reduced interest rates for projects that will improve the environmental and economic quality of Minnesota. Priority eligible projects: green chemistry, pollution prevention, source reduction, recycling, and source-separated compostable materials. Eligible loan costs are limited to the capital costs of implementing waste or pollution prevention technologies in Minnesota — the costs of </w:t>
      </w:r>
      <w:r>
        <w:rPr>
          <w:rFonts w:ascii="Aptos" w:hAnsi="Aptos"/>
          <w:color w:val="000000"/>
        </w:rPr>
        <w:lastRenderedPageBreak/>
        <w:t>acquisition of machinery and equipment, including freight and installation, and related improvements.</w:t>
      </w:r>
    </w:p>
    <w:p w14:paraId="3925909F" w14:textId="77777777" w:rsidR="00681392" w:rsidRDefault="00681392"/>
    <w:sectPr w:rsidR="00681392" w:rsidSect="00A22B9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D4F42"/>
    <w:multiLevelType w:val="hybridMultilevel"/>
    <w:tmpl w:val="A600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78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92"/>
    <w:rsid w:val="0001013A"/>
    <w:rsid w:val="00122AED"/>
    <w:rsid w:val="001369C7"/>
    <w:rsid w:val="001973FE"/>
    <w:rsid w:val="001A06B5"/>
    <w:rsid w:val="00293C9B"/>
    <w:rsid w:val="00393246"/>
    <w:rsid w:val="003B5589"/>
    <w:rsid w:val="004A7FC2"/>
    <w:rsid w:val="005A09B3"/>
    <w:rsid w:val="005A16F4"/>
    <w:rsid w:val="00611AEB"/>
    <w:rsid w:val="00616BCA"/>
    <w:rsid w:val="00681392"/>
    <w:rsid w:val="00694B7F"/>
    <w:rsid w:val="006E45B2"/>
    <w:rsid w:val="00815889"/>
    <w:rsid w:val="008A6C7E"/>
    <w:rsid w:val="00A22B99"/>
    <w:rsid w:val="00A90192"/>
    <w:rsid w:val="00AA634E"/>
    <w:rsid w:val="00AF4C34"/>
    <w:rsid w:val="00BE3538"/>
    <w:rsid w:val="00D11BD6"/>
    <w:rsid w:val="00D369F5"/>
    <w:rsid w:val="00D81788"/>
    <w:rsid w:val="00DC5D74"/>
    <w:rsid w:val="00E24910"/>
    <w:rsid w:val="00E62E34"/>
    <w:rsid w:val="00E85BB7"/>
    <w:rsid w:val="00EC734E"/>
    <w:rsid w:val="00F83B81"/>
    <w:rsid w:val="00F9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4976"/>
  <w15:chartTrackingRefBased/>
  <w15:docId w15:val="{1E9D820C-F536-3148-B528-BCE37469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392"/>
    <w:rPr>
      <w:rFonts w:eastAsiaTheme="majorEastAsia" w:cstheme="majorBidi"/>
      <w:color w:val="272727" w:themeColor="text1" w:themeTint="D8"/>
    </w:rPr>
  </w:style>
  <w:style w:type="paragraph" w:styleId="Title">
    <w:name w:val="Title"/>
    <w:basedOn w:val="Normal"/>
    <w:next w:val="Normal"/>
    <w:link w:val="TitleChar"/>
    <w:uiPriority w:val="10"/>
    <w:qFormat/>
    <w:rsid w:val="0068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392"/>
    <w:pPr>
      <w:spacing w:before="160"/>
      <w:jc w:val="center"/>
    </w:pPr>
    <w:rPr>
      <w:i/>
      <w:iCs/>
      <w:color w:val="404040" w:themeColor="text1" w:themeTint="BF"/>
    </w:rPr>
  </w:style>
  <w:style w:type="character" w:customStyle="1" w:styleId="QuoteChar">
    <w:name w:val="Quote Char"/>
    <w:basedOn w:val="DefaultParagraphFont"/>
    <w:link w:val="Quote"/>
    <w:uiPriority w:val="29"/>
    <w:rsid w:val="00681392"/>
    <w:rPr>
      <w:i/>
      <w:iCs/>
      <w:color w:val="404040" w:themeColor="text1" w:themeTint="BF"/>
    </w:rPr>
  </w:style>
  <w:style w:type="paragraph" w:styleId="ListParagraph">
    <w:name w:val="List Paragraph"/>
    <w:basedOn w:val="Normal"/>
    <w:uiPriority w:val="34"/>
    <w:qFormat/>
    <w:rsid w:val="00681392"/>
    <w:pPr>
      <w:ind w:left="720"/>
      <w:contextualSpacing/>
    </w:pPr>
  </w:style>
  <w:style w:type="character" w:styleId="IntenseEmphasis">
    <w:name w:val="Intense Emphasis"/>
    <w:basedOn w:val="DefaultParagraphFont"/>
    <w:uiPriority w:val="21"/>
    <w:qFormat/>
    <w:rsid w:val="00681392"/>
    <w:rPr>
      <w:i/>
      <w:iCs/>
      <w:color w:val="0F4761" w:themeColor="accent1" w:themeShade="BF"/>
    </w:rPr>
  </w:style>
  <w:style w:type="paragraph" w:styleId="IntenseQuote">
    <w:name w:val="Intense Quote"/>
    <w:basedOn w:val="Normal"/>
    <w:next w:val="Normal"/>
    <w:link w:val="IntenseQuoteChar"/>
    <w:uiPriority w:val="30"/>
    <w:qFormat/>
    <w:rsid w:val="0068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392"/>
    <w:rPr>
      <w:i/>
      <w:iCs/>
      <w:color w:val="0F4761" w:themeColor="accent1" w:themeShade="BF"/>
    </w:rPr>
  </w:style>
  <w:style w:type="character" w:styleId="IntenseReference">
    <w:name w:val="Intense Reference"/>
    <w:basedOn w:val="DefaultParagraphFont"/>
    <w:uiPriority w:val="32"/>
    <w:qFormat/>
    <w:rsid w:val="00681392"/>
    <w:rPr>
      <w:b/>
      <w:bCs/>
      <w:smallCaps/>
      <w:color w:val="0F4761" w:themeColor="accent1" w:themeShade="BF"/>
      <w:spacing w:val="5"/>
    </w:rPr>
  </w:style>
  <w:style w:type="character" w:styleId="Hyperlink">
    <w:name w:val="Hyperlink"/>
    <w:basedOn w:val="DefaultParagraphFont"/>
    <w:uiPriority w:val="99"/>
    <w:semiHidden/>
    <w:unhideWhenUsed/>
    <w:rsid w:val="00616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ca.state.mn.us/business-with-us/grants-loans-and-contract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55E0C529-58D7-433D-A1F8-8405CF0EAB59}"/>
</file>

<file path=customXml/itemProps2.xml><?xml version="1.0" encoding="utf-8"?>
<ds:datastoreItem xmlns:ds="http://schemas.openxmlformats.org/officeDocument/2006/customXml" ds:itemID="{16B539E4-79F4-4BB5-822A-08E8CEB9E05B}"/>
</file>

<file path=customXml/itemProps3.xml><?xml version="1.0" encoding="utf-8"?>
<ds:datastoreItem xmlns:ds="http://schemas.openxmlformats.org/officeDocument/2006/customXml" ds:itemID="{ED2CAA2B-9B59-4C06-A7D2-9D2027CDCA4F}"/>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4159</Characters>
  <Application>Microsoft Office Word</Application>
  <DocSecurity>4</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Kohlasch, Frank (He/Him/His) (MPCA)</dc:creator>
  <cp:keywords/>
  <dc:description/>
  <cp:lastModifiedBy>Vita, Carla K (She/Her/Hers) (DEED)</cp:lastModifiedBy>
  <cp:revision>2</cp:revision>
  <dcterms:created xsi:type="dcterms:W3CDTF">2025-11-20T18:32:00Z</dcterms:created>
  <dcterms:modified xsi:type="dcterms:W3CDTF">2025-11-20T18:32:00Z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