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DFB7A" w14:textId="74932E12" w:rsidR="00862F53" w:rsidRPr="00862F53" w:rsidRDefault="000D5266" w:rsidP="005E4117">
      <w:pPr>
        <w:pStyle w:val="NoSpacing"/>
      </w:pPr>
      <w:r w:rsidRPr="00862F53">
        <w:t>Dislocated Worker (</w:t>
      </w:r>
      <w:r>
        <w:t>WIOA</w:t>
      </w:r>
      <w:r w:rsidRPr="00862F53">
        <w:t xml:space="preserve"> &amp; State)</w:t>
      </w:r>
    </w:p>
    <w:p w14:paraId="00A49B30" w14:textId="6CEB3207" w:rsidR="005E4117" w:rsidRPr="009744FA" w:rsidRDefault="00CD656C" w:rsidP="005E4117">
      <w:pPr>
        <w:pStyle w:val="NoSpacing"/>
        <w:rPr>
          <w:b/>
          <w:bCs/>
          <w:kern w:val="0"/>
          <w:sz w:val="12"/>
          <w:szCs w:val="12"/>
        </w:rPr>
      </w:pPr>
      <w:r w:rsidRPr="009744FA">
        <w:rPr>
          <w:b/>
          <w:bCs/>
          <w:kern w:val="0"/>
        </w:rPr>
        <w:t>Definition of Economic Self-Sufficiency and Income Exclusions</w:t>
      </w:r>
    </w:p>
    <w:p w14:paraId="35B920B5" w14:textId="77777777" w:rsidR="002B45A4" w:rsidRDefault="002B45A4" w:rsidP="005E4117">
      <w:pPr>
        <w:pStyle w:val="NoSpacing"/>
        <w:rPr>
          <w:b/>
          <w:bCs/>
          <w:smallCaps/>
        </w:rPr>
      </w:pPr>
    </w:p>
    <w:p w14:paraId="087D1645" w14:textId="03144AF8" w:rsidR="00114170" w:rsidRDefault="00862F53" w:rsidP="005E4117">
      <w:pPr>
        <w:pStyle w:val="NoSpacing"/>
      </w:pPr>
      <w:r w:rsidRPr="005E4117">
        <w:rPr>
          <w:b/>
          <w:bCs/>
          <w:smallCaps/>
        </w:rPr>
        <w:t>Summary</w:t>
      </w:r>
      <w:r w:rsidRPr="00862F53">
        <w:br/>
      </w:r>
      <w:r w:rsidR="00114170" w:rsidRPr="00862F53">
        <w:t xml:space="preserve">This policy establishes </w:t>
      </w:r>
      <w:r w:rsidR="00114170">
        <w:t xml:space="preserve">the </w:t>
      </w:r>
      <w:r w:rsidR="00114170" w:rsidRPr="00862F53">
        <w:t>definition</w:t>
      </w:r>
      <w:r w:rsidR="002B45A4">
        <w:t>s</w:t>
      </w:r>
      <w:r w:rsidR="00114170" w:rsidRPr="00862F53">
        <w:t xml:space="preserve"> </w:t>
      </w:r>
      <w:r w:rsidR="00114170">
        <w:t>for</w:t>
      </w:r>
      <w:r w:rsidR="00114170" w:rsidRPr="00862F53">
        <w:t xml:space="preserve"> “</w:t>
      </w:r>
      <w:r w:rsidR="00114170">
        <w:t>Economic S</w:t>
      </w:r>
      <w:r w:rsidR="00114170" w:rsidRPr="00862F53">
        <w:t>elf-</w:t>
      </w:r>
      <w:r w:rsidR="00114170">
        <w:t>S</w:t>
      </w:r>
      <w:r w:rsidR="00114170" w:rsidRPr="00862F53">
        <w:t>ufficiency”</w:t>
      </w:r>
      <w:r w:rsidR="00E133C1">
        <w:t xml:space="preserve"> </w:t>
      </w:r>
      <w:r w:rsidR="00CD656C">
        <w:t>and</w:t>
      </w:r>
      <w:r w:rsidR="00E133C1">
        <w:t xml:space="preserve"> “</w:t>
      </w:r>
      <w:r w:rsidR="00CD656C">
        <w:t>L</w:t>
      </w:r>
      <w:r w:rsidR="00E133C1">
        <w:t>ow-</w:t>
      </w:r>
      <w:r w:rsidR="00CD656C">
        <w:t>I</w:t>
      </w:r>
      <w:r w:rsidR="00E133C1">
        <w:t xml:space="preserve">ncome” for </w:t>
      </w:r>
      <w:r w:rsidR="00CD656C">
        <w:t>Federal</w:t>
      </w:r>
      <w:r w:rsidR="00E133C1">
        <w:t xml:space="preserve"> and State programs</w:t>
      </w:r>
      <w:r w:rsidR="00CD656C">
        <w:t xml:space="preserve"> under the Workforce Innovation and Opportunity Act (WIOA) and State law. It also provides which sources of income to include and exclude when making “Economic S</w:t>
      </w:r>
      <w:r w:rsidR="00CD656C" w:rsidRPr="00862F53">
        <w:t>elf-</w:t>
      </w:r>
      <w:r w:rsidR="00CD656C">
        <w:t>S</w:t>
      </w:r>
      <w:r w:rsidR="00CD656C" w:rsidRPr="00862F53">
        <w:t>ufficiency”</w:t>
      </w:r>
      <w:r w:rsidR="00CD656C">
        <w:t xml:space="preserve"> and “Low-Income” determinations.</w:t>
      </w:r>
    </w:p>
    <w:p w14:paraId="32BAA8F1" w14:textId="77777777" w:rsidR="00B06995" w:rsidRPr="00B06995" w:rsidRDefault="00B06995" w:rsidP="005E4117">
      <w:pPr>
        <w:pStyle w:val="NoSpacing"/>
        <w:rPr>
          <w:sz w:val="12"/>
          <w:szCs w:val="12"/>
        </w:rPr>
      </w:pPr>
    </w:p>
    <w:p w14:paraId="5335BAC5" w14:textId="45E2236E" w:rsidR="00862F53" w:rsidRPr="005E4117" w:rsidRDefault="00862F53" w:rsidP="005E4117">
      <w:pPr>
        <w:pStyle w:val="NoSpacing"/>
        <w:rPr>
          <w:b/>
          <w:bCs/>
        </w:rPr>
      </w:pPr>
      <w:r w:rsidRPr="005E4117">
        <w:rPr>
          <w:b/>
          <w:bCs/>
        </w:rPr>
        <w:t>Relevant Laws, Rules, or Policies</w:t>
      </w:r>
    </w:p>
    <w:p w14:paraId="15C51918" w14:textId="13AD4375" w:rsidR="00862F53" w:rsidRDefault="00862F53" w:rsidP="005E4117">
      <w:pPr>
        <w:pStyle w:val="NoSpacing"/>
      </w:pPr>
      <w:r>
        <w:t xml:space="preserve">Workforce Innovation and Opportunity Act (WIOA) </w:t>
      </w:r>
      <w:r w:rsidR="00F929F9">
        <w:t xml:space="preserve">(42 USC 3101 et </w:t>
      </w:r>
      <w:r w:rsidR="00ED1B4E">
        <w:t>seq</w:t>
      </w:r>
      <w:r w:rsidR="00F929F9">
        <w:t>)</w:t>
      </w:r>
    </w:p>
    <w:p w14:paraId="1C9E2D1B" w14:textId="369C07A3" w:rsidR="002C40C5" w:rsidRDefault="002C40C5" w:rsidP="005E4117">
      <w:pPr>
        <w:pStyle w:val="NoSpacing"/>
      </w:pPr>
      <w:r>
        <w:t>Code of Federal Regulations (CFR) 20 CFR Part 675</w:t>
      </w:r>
    </w:p>
    <w:p w14:paraId="0E8F9B46" w14:textId="74598744" w:rsidR="00A70F4F" w:rsidRDefault="00A70F4F" w:rsidP="005E4117">
      <w:pPr>
        <w:pStyle w:val="NoSpacing"/>
      </w:pPr>
      <w:r>
        <w:t>Code of Federal Regulations (CFR) 20 CFR Part 680</w:t>
      </w:r>
    </w:p>
    <w:p w14:paraId="6E50E03E" w14:textId="07F412BC" w:rsidR="008E5BC4" w:rsidRDefault="00E133C1" w:rsidP="005E4117">
      <w:pPr>
        <w:pStyle w:val="NoSpacing"/>
      </w:pPr>
      <w:r w:rsidRPr="00E133C1">
        <w:t xml:space="preserve">90 </w:t>
      </w:r>
      <w:r w:rsidRPr="00331746">
        <w:t>F</w:t>
      </w:r>
      <w:r>
        <w:t xml:space="preserve">ederal </w:t>
      </w:r>
      <w:r w:rsidRPr="00331746">
        <w:t>R</w:t>
      </w:r>
      <w:r>
        <w:t xml:space="preserve">egister (FR) Notice </w:t>
      </w:r>
      <w:r w:rsidRPr="00E133C1">
        <w:t>5917</w:t>
      </w:r>
      <w:bookmarkStart w:id="0" w:name="_Hlk188445529"/>
      <w:r>
        <w:t xml:space="preserve"> (January 17, 2025)</w:t>
      </w:r>
    </w:p>
    <w:p w14:paraId="583D682C" w14:textId="18D9A657" w:rsidR="00331746" w:rsidRDefault="00331746" w:rsidP="005E4117">
      <w:pPr>
        <w:pStyle w:val="NoSpacing"/>
      </w:pPr>
      <w:bookmarkStart w:id="1" w:name="_Hlk187843818"/>
      <w:bookmarkEnd w:id="0"/>
      <w:r w:rsidRPr="00331746">
        <w:t>89 F</w:t>
      </w:r>
      <w:r>
        <w:t xml:space="preserve">ederal </w:t>
      </w:r>
      <w:r w:rsidRPr="00331746">
        <w:t>R</w:t>
      </w:r>
      <w:r>
        <w:t xml:space="preserve">egister (FR) </w:t>
      </w:r>
      <w:r w:rsidR="000A7A0F">
        <w:t xml:space="preserve">Notice </w:t>
      </w:r>
      <w:r w:rsidRPr="00331746">
        <w:t>26935</w:t>
      </w:r>
      <w:r w:rsidR="001F6AFD">
        <w:t xml:space="preserve"> </w:t>
      </w:r>
      <w:bookmarkStart w:id="2" w:name="_Hlk188446752"/>
      <w:r w:rsidR="001F6AFD">
        <w:t>(April 16, 2024)</w:t>
      </w:r>
      <w:bookmarkEnd w:id="2"/>
    </w:p>
    <w:bookmarkEnd w:id="1"/>
    <w:p w14:paraId="377A0AE9" w14:textId="76065065" w:rsidR="008A21AA" w:rsidRDefault="008A21AA" w:rsidP="005E4117">
      <w:pPr>
        <w:pStyle w:val="NoSpacing"/>
      </w:pPr>
      <w:r>
        <w:t>Training and Employment Guidance Letter (TEGL) 19-16 (March 1, 2017)</w:t>
      </w:r>
    </w:p>
    <w:p w14:paraId="22580276" w14:textId="5A89A761" w:rsidR="00E133C1" w:rsidRDefault="00E133C1" w:rsidP="005E4117">
      <w:pPr>
        <w:pStyle w:val="NoSpacing"/>
      </w:pPr>
      <w:r>
        <w:t>Training and Employment Guidance Letter (TEGL) 10-09 (November 10, 2009)</w:t>
      </w:r>
    </w:p>
    <w:p w14:paraId="267B9A0B" w14:textId="0C944290" w:rsidR="00862F53" w:rsidRDefault="00862F53" w:rsidP="005E4117">
      <w:pPr>
        <w:pStyle w:val="NoSpacing"/>
      </w:pPr>
      <w:r>
        <w:t>Minnesota State Statute 116L.17</w:t>
      </w:r>
    </w:p>
    <w:p w14:paraId="19D10A09" w14:textId="77777777" w:rsidR="00862F53" w:rsidRPr="00FA4526" w:rsidRDefault="00862F53" w:rsidP="005E4117">
      <w:pPr>
        <w:pStyle w:val="NoSpacing"/>
        <w:rPr>
          <w:sz w:val="12"/>
          <w:szCs w:val="12"/>
        </w:rPr>
      </w:pPr>
    </w:p>
    <w:p w14:paraId="4CA9C1DC" w14:textId="15E810A2" w:rsidR="00862F53" w:rsidRPr="00862F53" w:rsidRDefault="00862F53" w:rsidP="005E4117">
      <w:pPr>
        <w:pStyle w:val="NoSpacing"/>
      </w:pPr>
      <w:r w:rsidRPr="005E4117">
        <w:rPr>
          <w:b/>
          <w:bCs/>
        </w:rPr>
        <w:t>Effective Date</w:t>
      </w:r>
      <w:r w:rsidRPr="00862F53">
        <w:br/>
        <w:t>7/1/2018</w:t>
      </w:r>
    </w:p>
    <w:p w14:paraId="5A72DA72" w14:textId="77777777" w:rsidR="005E4117" w:rsidRPr="00FA4526" w:rsidRDefault="005E4117" w:rsidP="005E4117">
      <w:pPr>
        <w:pStyle w:val="NoSpacing"/>
        <w:rPr>
          <w:sz w:val="12"/>
          <w:szCs w:val="12"/>
        </w:rPr>
      </w:pPr>
    </w:p>
    <w:p w14:paraId="277F034B" w14:textId="3D1C6B55" w:rsidR="00862F53" w:rsidRDefault="00862F53" w:rsidP="005E4117">
      <w:pPr>
        <w:pStyle w:val="NoSpacing"/>
      </w:pPr>
      <w:r w:rsidRPr="00A50B54">
        <w:rPr>
          <w:b/>
          <w:bCs/>
        </w:rPr>
        <w:t>Last Updated</w:t>
      </w:r>
      <w:r w:rsidRPr="009744FA">
        <w:rPr>
          <w:highlight w:val="yellow"/>
        </w:rPr>
        <w:br/>
      </w:r>
      <w:r w:rsidR="00A50B54">
        <w:t>4/16/2025</w:t>
      </w:r>
    </w:p>
    <w:p w14:paraId="7512B134" w14:textId="77777777" w:rsidR="005E4117" w:rsidRPr="00FA4526" w:rsidRDefault="005E4117" w:rsidP="005E4117">
      <w:pPr>
        <w:pStyle w:val="NoSpacing"/>
        <w:rPr>
          <w:sz w:val="12"/>
          <w:szCs w:val="12"/>
        </w:rPr>
      </w:pPr>
    </w:p>
    <w:p w14:paraId="4EAE1D13" w14:textId="19CED919" w:rsidR="00862F53" w:rsidRPr="0099426F" w:rsidRDefault="00862F53" w:rsidP="005E4117">
      <w:pPr>
        <w:pStyle w:val="NoSpacing"/>
        <w:rPr>
          <w:rFonts w:cstheme="minorHAnsi"/>
          <w:color w:val="242424"/>
          <w:shd w:val="clear" w:color="auto" w:fill="FFFFFF"/>
        </w:rPr>
      </w:pPr>
      <w:r w:rsidRPr="00862F53">
        <w:rPr>
          <w:b/>
          <w:bCs/>
          <w:smallCaps/>
        </w:rPr>
        <w:t>Contact</w:t>
      </w:r>
      <w:r w:rsidRPr="00862F53">
        <w:br/>
      </w:r>
      <w:bookmarkStart w:id="3" w:name="_Hlk174701537"/>
      <w:r w:rsidR="0099426F" w:rsidRPr="00C12894">
        <w:rPr>
          <w:rFonts w:eastAsia="Times New Roman" w:cstheme="minorHAnsi"/>
          <w:b/>
          <w:bCs/>
          <w:kern w:val="0"/>
          <w14:ligatures w14:val="none"/>
        </w:rPr>
        <w:t xml:space="preserve">Email: </w:t>
      </w:r>
      <w:r w:rsidR="0099426F" w:rsidRPr="00C12894">
        <w:rPr>
          <w:rFonts w:eastAsia="Times New Roman" w:cstheme="minorHAnsi"/>
          <w:kern w:val="0"/>
          <w14:ligatures w14:val="none"/>
        </w:rPr>
        <w:t>DWFAPrograms.DEED@state.mn.us</w:t>
      </w:r>
      <w:r w:rsidR="0099426F" w:rsidRPr="00C12894">
        <w:rPr>
          <w:rFonts w:eastAsia="Times New Roman" w:cstheme="minorHAnsi"/>
          <w:kern w:val="0"/>
          <w14:ligatures w14:val="none"/>
        </w:rPr>
        <w:br/>
      </w:r>
      <w:r w:rsidR="0099426F" w:rsidRPr="00C12894">
        <w:rPr>
          <w:rFonts w:eastAsia="Times New Roman" w:cstheme="minorHAnsi"/>
          <w:b/>
          <w:bCs/>
          <w:kern w:val="0"/>
          <w14:ligatures w14:val="none"/>
        </w:rPr>
        <w:t xml:space="preserve">Tel: </w:t>
      </w:r>
      <w:r w:rsidR="0099426F" w:rsidRPr="00C12894">
        <w:rPr>
          <w:rFonts w:cstheme="minorHAnsi"/>
          <w:color w:val="242424"/>
          <w:shd w:val="clear" w:color="auto" w:fill="FFFFFF"/>
        </w:rPr>
        <w:t>651-259-7503</w:t>
      </w:r>
      <w:bookmarkEnd w:id="3"/>
    </w:p>
    <w:p w14:paraId="3D89D046" w14:textId="77777777" w:rsidR="005E4117" w:rsidRPr="00FA4526" w:rsidRDefault="005E4117" w:rsidP="005E4117">
      <w:pPr>
        <w:pStyle w:val="NoSpacing"/>
        <w:rPr>
          <w:sz w:val="12"/>
          <w:szCs w:val="12"/>
        </w:rPr>
      </w:pPr>
    </w:p>
    <w:p w14:paraId="2A93447B" w14:textId="6E7D8855" w:rsidR="005E4117" w:rsidRPr="005E4117" w:rsidRDefault="00862F53" w:rsidP="005E4117">
      <w:pPr>
        <w:pStyle w:val="NoSpacing"/>
        <w:rPr>
          <w:b/>
          <w:bCs/>
        </w:rPr>
      </w:pPr>
      <w:r w:rsidRPr="005E4117">
        <w:rPr>
          <w:b/>
          <w:bCs/>
        </w:rPr>
        <w:t>Policy</w:t>
      </w:r>
    </w:p>
    <w:p w14:paraId="33E2FB2E" w14:textId="33CDC861" w:rsidR="000F43A8" w:rsidRDefault="00862F53" w:rsidP="000F43A8">
      <w:pPr>
        <w:pStyle w:val="NoSpacing"/>
      </w:pPr>
      <w:r w:rsidRPr="00BF2F08">
        <w:rPr>
          <w:rFonts w:cstheme="minorHAnsi"/>
        </w:rPr>
        <w:t xml:space="preserve">Local Policy Required? No. </w:t>
      </w:r>
      <w:r w:rsidR="000F43A8" w:rsidRPr="000F43A8">
        <w:rPr>
          <w:rFonts w:cstheme="minorHAnsi"/>
        </w:rPr>
        <w:t xml:space="preserve">Local Workforce Development Boards (WDBs) </w:t>
      </w:r>
      <w:r w:rsidR="005F688B" w:rsidRPr="005F688B">
        <w:rPr>
          <w:rFonts w:cstheme="minorHAnsi"/>
          <w:u w:val="single"/>
        </w:rPr>
        <w:t>may</w:t>
      </w:r>
      <w:r w:rsidR="004A2782">
        <w:rPr>
          <w:rFonts w:cstheme="minorHAnsi"/>
        </w:rPr>
        <w:t xml:space="preserve"> </w:t>
      </w:r>
      <w:r w:rsidR="00351CAC">
        <w:rPr>
          <w:rFonts w:cstheme="minorHAnsi"/>
        </w:rPr>
        <w:t xml:space="preserve">create local </w:t>
      </w:r>
      <w:r w:rsidR="005F688B">
        <w:rPr>
          <w:rFonts w:cstheme="minorHAnsi"/>
        </w:rPr>
        <w:t>policy but are not required to</w:t>
      </w:r>
      <w:r w:rsidR="00351CAC">
        <w:rPr>
          <w:rFonts w:cstheme="minorHAnsi"/>
        </w:rPr>
        <w:t>.</w:t>
      </w:r>
      <w:r w:rsidR="000F43A8">
        <w:rPr>
          <w:rStyle w:val="FootnoteReference"/>
          <w:rFonts w:cstheme="minorHAnsi"/>
        </w:rPr>
        <w:footnoteReference w:id="1"/>
      </w:r>
      <w:r w:rsidR="00351CAC">
        <w:rPr>
          <w:rFonts w:cstheme="minorHAnsi"/>
        </w:rPr>
        <w:t xml:space="preserve"> However, </w:t>
      </w:r>
      <w:r w:rsidR="005F688B">
        <w:rPr>
          <w:rFonts w:cstheme="minorHAnsi"/>
        </w:rPr>
        <w:t>if providers create local policy</w:t>
      </w:r>
      <w:r w:rsidR="002B45A4">
        <w:rPr>
          <w:rFonts w:cstheme="minorHAnsi"/>
        </w:rPr>
        <w:t>, it</w:t>
      </w:r>
      <w:r w:rsidR="00A27B3D" w:rsidRPr="00BF2F08">
        <w:rPr>
          <w:rFonts w:cstheme="minorHAnsi"/>
        </w:rPr>
        <w:t xml:space="preserve"> </w:t>
      </w:r>
      <w:r w:rsidR="00A27B3D" w:rsidRPr="000969F1">
        <w:rPr>
          <w:rFonts w:cstheme="minorHAnsi"/>
          <w:u w:val="single"/>
        </w:rPr>
        <w:t>must</w:t>
      </w:r>
      <w:r w:rsidR="00A27B3D" w:rsidRPr="00BF2F08">
        <w:rPr>
          <w:rFonts w:cstheme="minorHAnsi"/>
        </w:rPr>
        <w:t xml:space="preserve"> be made available to DEED upon request, either in hard copy or electronic formats.</w:t>
      </w:r>
      <w:r w:rsidR="000F43A8">
        <w:rPr>
          <w:rFonts w:cstheme="minorHAnsi"/>
        </w:rPr>
        <w:t xml:space="preserve"> </w:t>
      </w:r>
      <w:r w:rsidR="000F43A8" w:rsidRPr="000F43A8">
        <w:t xml:space="preserve">Local WDBs </w:t>
      </w:r>
      <w:r w:rsidR="000F43A8">
        <w:t>who</w:t>
      </w:r>
      <w:r w:rsidR="000F43A8" w:rsidRPr="000F43A8">
        <w:t xml:space="preserve"> choose to define their own higher standard </w:t>
      </w:r>
      <w:r w:rsidR="000F43A8" w:rsidRPr="00AC41E3">
        <w:rPr>
          <w:u w:val="single"/>
        </w:rPr>
        <w:t>must</w:t>
      </w:r>
      <w:r w:rsidR="000F43A8" w:rsidRPr="000F43A8">
        <w:t xml:space="preserve"> develop</w:t>
      </w:r>
      <w:r w:rsidR="000F43A8">
        <w:t xml:space="preserve"> </w:t>
      </w:r>
      <w:r w:rsidR="000F43A8" w:rsidRPr="000F43A8">
        <w:t>their local policies</w:t>
      </w:r>
      <w:r w:rsidR="000F43A8">
        <w:t xml:space="preserve"> in accordance with this policy.</w:t>
      </w:r>
      <w:r w:rsidR="00AC41E3">
        <w:rPr>
          <w:rStyle w:val="FootnoteReference"/>
        </w:rPr>
        <w:footnoteReference w:id="2"/>
      </w:r>
    </w:p>
    <w:p w14:paraId="397D96CE" w14:textId="77777777" w:rsidR="00A27B3D" w:rsidRPr="00144368" w:rsidRDefault="00A27B3D" w:rsidP="005E4117">
      <w:pPr>
        <w:pStyle w:val="NoSpacing"/>
        <w:rPr>
          <w:rFonts w:cstheme="minorHAnsi"/>
          <w:sz w:val="12"/>
          <w:szCs w:val="12"/>
        </w:rPr>
      </w:pPr>
    </w:p>
    <w:p w14:paraId="1BC5FB34" w14:textId="77777777" w:rsidR="00144368" w:rsidRPr="00334908" w:rsidRDefault="00144368" w:rsidP="00144368">
      <w:pPr>
        <w:pStyle w:val="NoSpacing"/>
        <w:rPr>
          <w:b/>
          <w:bCs/>
          <w:u w:val="single"/>
        </w:rPr>
      </w:pPr>
      <w:r w:rsidRPr="00334908">
        <w:rPr>
          <w:b/>
          <w:bCs/>
          <w:u w:val="single"/>
        </w:rPr>
        <w:t xml:space="preserve">Programs Covered: </w:t>
      </w:r>
    </w:p>
    <w:p w14:paraId="1542ADBE" w14:textId="03DB6877" w:rsidR="00144368" w:rsidRDefault="00144368" w:rsidP="00144368">
      <w:pPr>
        <w:pStyle w:val="NoSpacing"/>
        <w:rPr>
          <w:rFonts w:cstheme="minorHAnsi"/>
        </w:rPr>
      </w:pPr>
      <w:r>
        <w:rPr>
          <w:rFonts w:cstheme="minorHAnsi"/>
        </w:rPr>
        <w:t xml:space="preserve">This policy </w:t>
      </w:r>
      <w:r w:rsidR="00082DC9">
        <w:rPr>
          <w:rFonts w:cstheme="minorHAnsi"/>
        </w:rPr>
        <w:t xml:space="preserve">covers the following </w:t>
      </w:r>
      <w:r w:rsidR="00CD656C" w:rsidRPr="00CD656C">
        <w:rPr>
          <w:rFonts w:cstheme="minorHAnsi"/>
        </w:rPr>
        <w:t>Dislocated Worker, and Federal Adult Programs (DWFAP)</w:t>
      </w:r>
      <w:r w:rsidR="00CD656C">
        <w:rPr>
          <w:rFonts w:cstheme="minorHAnsi"/>
        </w:rPr>
        <w:t xml:space="preserve"> programs:</w:t>
      </w:r>
    </w:p>
    <w:p w14:paraId="3A10202D" w14:textId="77777777" w:rsidR="00144368" w:rsidRDefault="00144368" w:rsidP="00DA0886">
      <w:pPr>
        <w:pStyle w:val="NoSpacing"/>
        <w:numPr>
          <w:ilvl w:val="0"/>
          <w:numId w:val="1"/>
        </w:numPr>
      </w:pPr>
      <w:r>
        <w:t>WIOA Adult Program,</w:t>
      </w:r>
    </w:p>
    <w:p w14:paraId="17AF2322" w14:textId="77777777" w:rsidR="00144368" w:rsidRDefault="00144368" w:rsidP="00DA0886">
      <w:pPr>
        <w:pStyle w:val="NoSpacing"/>
        <w:numPr>
          <w:ilvl w:val="0"/>
          <w:numId w:val="1"/>
        </w:numPr>
      </w:pPr>
      <w:r>
        <w:t xml:space="preserve">WIOA Dislocated Worker (DW) Program, </w:t>
      </w:r>
    </w:p>
    <w:p w14:paraId="34E39F73" w14:textId="77777777" w:rsidR="00144368" w:rsidRDefault="00144368" w:rsidP="00DA0886">
      <w:pPr>
        <w:pStyle w:val="NoSpacing"/>
        <w:numPr>
          <w:ilvl w:val="0"/>
          <w:numId w:val="1"/>
        </w:numPr>
      </w:pPr>
      <w:r>
        <w:t>State DW Program,</w:t>
      </w:r>
    </w:p>
    <w:p w14:paraId="1B68DF4A" w14:textId="77777777" w:rsidR="00144368" w:rsidRDefault="00144368" w:rsidP="00DA0886">
      <w:pPr>
        <w:pStyle w:val="NoSpacing"/>
        <w:numPr>
          <w:ilvl w:val="0"/>
          <w:numId w:val="1"/>
        </w:numPr>
      </w:pPr>
      <w:r w:rsidRPr="00565B6B">
        <w:t>National D</w:t>
      </w:r>
      <w:r>
        <w:t xml:space="preserve">W </w:t>
      </w:r>
      <w:r w:rsidRPr="00565B6B">
        <w:t>Grant</w:t>
      </w:r>
      <w:r>
        <w:t>s</w:t>
      </w:r>
      <w:r w:rsidRPr="00565B6B">
        <w:t xml:space="preserve"> Program</w:t>
      </w:r>
      <w:r>
        <w:t xml:space="preserve">, and, </w:t>
      </w:r>
    </w:p>
    <w:p w14:paraId="214ACB90" w14:textId="77777777" w:rsidR="00144368" w:rsidRDefault="00144368" w:rsidP="00DA0886">
      <w:pPr>
        <w:pStyle w:val="NoSpacing"/>
        <w:numPr>
          <w:ilvl w:val="0"/>
          <w:numId w:val="1"/>
        </w:numPr>
      </w:pPr>
      <w:r>
        <w:t xml:space="preserve">Certain special programs such as the: </w:t>
      </w:r>
    </w:p>
    <w:p w14:paraId="3299B7F2" w14:textId="77777777" w:rsidR="00144368" w:rsidRDefault="00144368" w:rsidP="00DA0886">
      <w:pPr>
        <w:pStyle w:val="NoSpacing"/>
        <w:numPr>
          <w:ilvl w:val="1"/>
          <w:numId w:val="1"/>
        </w:numPr>
      </w:pPr>
      <w:r>
        <w:t xml:space="preserve">Minnesota </w:t>
      </w:r>
      <w:r w:rsidRPr="00D36F89">
        <w:t>Retaining Employment and Talent After Injury/Illness Network</w:t>
      </w:r>
      <w:r>
        <w:t xml:space="preserve"> (RETAIN) Program, and,</w:t>
      </w:r>
    </w:p>
    <w:p w14:paraId="5182A377" w14:textId="7DE536EA" w:rsidR="00144368" w:rsidRDefault="00144368" w:rsidP="00DA0886">
      <w:pPr>
        <w:pStyle w:val="NoSpacing"/>
        <w:numPr>
          <w:ilvl w:val="1"/>
          <w:numId w:val="1"/>
        </w:numPr>
      </w:pPr>
      <w:r>
        <w:t>Reentry Pilot Program</w:t>
      </w:r>
      <w:r w:rsidR="0087333F">
        <w:t>.</w:t>
      </w:r>
    </w:p>
    <w:p w14:paraId="554C1FEA" w14:textId="77777777" w:rsidR="00477A43" w:rsidRPr="00477A43" w:rsidRDefault="00477A43" w:rsidP="00477A43">
      <w:pPr>
        <w:pStyle w:val="NoSpacing"/>
        <w:rPr>
          <w:b/>
          <w:bCs/>
          <w:color w:val="242424"/>
          <w:sz w:val="12"/>
          <w:szCs w:val="12"/>
          <w:shd w:val="clear" w:color="auto" w:fill="FFFFFF"/>
        </w:rPr>
      </w:pPr>
    </w:p>
    <w:p w14:paraId="20DAF06D" w14:textId="788CEFCD" w:rsidR="00AC41E3" w:rsidRDefault="00477A43" w:rsidP="00477A43">
      <w:pPr>
        <w:pStyle w:val="NoSpacing"/>
      </w:pPr>
      <w:r w:rsidRPr="00A961E7">
        <w:rPr>
          <w:b/>
          <w:bCs/>
          <w:color w:val="242424"/>
          <w:shd w:val="clear" w:color="auto" w:fill="FFFFFF"/>
        </w:rPr>
        <w:t>Note:</w:t>
      </w:r>
      <w:r w:rsidRPr="00A961E7">
        <w:rPr>
          <w:color w:val="242424"/>
          <w:shd w:val="clear" w:color="auto" w:fill="FFFFFF"/>
        </w:rPr>
        <w:t xml:space="preserve"> Terms that are </w:t>
      </w:r>
      <w:r w:rsidRPr="00A961E7">
        <w:rPr>
          <w:i/>
          <w:iCs/>
          <w:color w:val="242424"/>
          <w:shd w:val="clear" w:color="auto" w:fill="FFFFFF"/>
        </w:rPr>
        <w:t xml:space="preserve">Italicized </w:t>
      </w:r>
      <w:r w:rsidRPr="00A961E7">
        <w:rPr>
          <w:color w:val="242424"/>
          <w:shd w:val="clear" w:color="auto" w:fill="FFFFFF"/>
        </w:rPr>
        <w:t xml:space="preserve">are also defined within the “Dislocated Worker and Federal Adult Programs (DWFAP) Definitions” document in the </w:t>
      </w:r>
      <w:r>
        <w:t>“Related Links” at the bottom of this policy.</w:t>
      </w:r>
    </w:p>
    <w:p w14:paraId="323E957E" w14:textId="77777777" w:rsidR="005E4117" w:rsidRPr="009A280F" w:rsidRDefault="005E4117" w:rsidP="005E4117">
      <w:pPr>
        <w:pStyle w:val="NoSpacing"/>
        <w:rPr>
          <w:rFonts w:ascii="Arial" w:hAnsi="Arial" w:cs="Arial"/>
          <w:sz w:val="12"/>
          <w:szCs w:val="12"/>
          <w:shd w:val="clear" w:color="auto" w:fill="FFFFFF"/>
        </w:rPr>
      </w:pPr>
    </w:p>
    <w:p w14:paraId="54BB739C" w14:textId="52B17F6F" w:rsidR="00862F53" w:rsidRPr="005E4117" w:rsidRDefault="00862F53" w:rsidP="005E4117">
      <w:pPr>
        <w:pStyle w:val="NoSpacing"/>
        <w:rPr>
          <w:b/>
          <w:bCs/>
        </w:rPr>
      </w:pPr>
      <w:r w:rsidRPr="005E4117">
        <w:rPr>
          <w:b/>
          <w:bCs/>
        </w:rPr>
        <w:t>Summary</w:t>
      </w:r>
    </w:p>
    <w:p w14:paraId="781AB72F" w14:textId="11FAA2EF" w:rsidR="00680F21" w:rsidRDefault="00CF5500" w:rsidP="005E4117">
      <w:pPr>
        <w:pStyle w:val="NoSpacing"/>
      </w:pPr>
      <w:r>
        <w:t>Two of the</w:t>
      </w:r>
      <w:r w:rsidR="006F2F8F">
        <w:t xml:space="preserve"> </w:t>
      </w:r>
      <w:r w:rsidR="00680F21" w:rsidRPr="00862F53">
        <w:t>Workforce Innovation and Opportunity Act</w:t>
      </w:r>
      <w:r>
        <w:t>’s</w:t>
      </w:r>
      <w:r w:rsidR="00680F21" w:rsidRPr="00862F53">
        <w:t xml:space="preserve"> (WIOA)</w:t>
      </w:r>
      <w:r w:rsidR="006F2F8F">
        <w:t xml:space="preserve"> </w:t>
      </w:r>
      <w:r>
        <w:t xml:space="preserve">key </w:t>
      </w:r>
      <w:r w:rsidR="009F0011">
        <w:t xml:space="preserve">purposes </w:t>
      </w:r>
      <w:r w:rsidR="002B45A4">
        <w:t>are</w:t>
      </w:r>
      <w:r w:rsidR="009F0011">
        <w:t xml:space="preserve"> to </w:t>
      </w:r>
      <w:r w:rsidR="006F2F8F">
        <w:t xml:space="preserve">enhance </w:t>
      </w:r>
      <w:r w:rsidR="006C61B8">
        <w:t>the</w:t>
      </w:r>
      <w:r w:rsidR="006C61B8" w:rsidRPr="006C61B8">
        <w:t xml:space="preserve"> </w:t>
      </w:r>
      <w:r w:rsidR="00DA2B1C" w:rsidRPr="00F36EDB">
        <w:rPr>
          <w:i/>
          <w:iCs/>
        </w:rPr>
        <w:t>E</w:t>
      </w:r>
      <w:r w:rsidR="006C61B8" w:rsidRPr="00F36EDB">
        <w:rPr>
          <w:i/>
          <w:iCs/>
        </w:rPr>
        <w:t xml:space="preserve">conomic </w:t>
      </w:r>
      <w:r w:rsidR="00DA2B1C" w:rsidRPr="00F36EDB">
        <w:rPr>
          <w:i/>
          <w:iCs/>
        </w:rPr>
        <w:t>S</w:t>
      </w:r>
      <w:r w:rsidR="006C61B8" w:rsidRPr="00F36EDB">
        <w:rPr>
          <w:i/>
          <w:iCs/>
        </w:rPr>
        <w:t>elf-</w:t>
      </w:r>
      <w:r w:rsidR="00DA2B1C" w:rsidRPr="00F36EDB">
        <w:rPr>
          <w:i/>
          <w:iCs/>
        </w:rPr>
        <w:t>S</w:t>
      </w:r>
      <w:r w:rsidR="006C61B8" w:rsidRPr="00F36EDB">
        <w:rPr>
          <w:i/>
          <w:iCs/>
        </w:rPr>
        <w:t>ufficiency</w:t>
      </w:r>
      <w:r w:rsidR="002B45A4">
        <w:rPr>
          <w:i/>
          <w:iCs/>
        </w:rPr>
        <w:t xml:space="preserve"> (ESS)</w:t>
      </w:r>
      <w:r w:rsidR="00BF5044">
        <w:rPr>
          <w:rStyle w:val="FootnoteReference"/>
        </w:rPr>
        <w:footnoteReference w:id="3"/>
      </w:r>
      <w:r w:rsidR="006C61B8">
        <w:t xml:space="preserve"> and improve access to family sustaining wages</w:t>
      </w:r>
      <w:r w:rsidR="008D7A2E">
        <w:rPr>
          <w:rStyle w:val="FootnoteReference"/>
        </w:rPr>
        <w:footnoteReference w:id="4"/>
      </w:r>
      <w:r w:rsidR="008D7A2E">
        <w:t xml:space="preserve"> </w:t>
      </w:r>
      <w:r w:rsidR="002B45A4">
        <w:t xml:space="preserve">for </w:t>
      </w:r>
      <w:r w:rsidR="00BD3076">
        <w:t xml:space="preserve">the American workforce. </w:t>
      </w:r>
      <w:r w:rsidR="002B45A4">
        <w:t>D</w:t>
      </w:r>
      <w:r w:rsidR="00415993">
        <w:t>efinition</w:t>
      </w:r>
      <w:r w:rsidR="0028605A">
        <w:t xml:space="preserve"> and criteria for </w:t>
      </w:r>
      <w:r w:rsidR="00415993">
        <w:t>measuring</w:t>
      </w:r>
      <w:r w:rsidR="0028605A">
        <w:t xml:space="preserve"> </w:t>
      </w:r>
      <w:r w:rsidR="0028605A" w:rsidRPr="00415993">
        <w:rPr>
          <w:i/>
          <w:iCs/>
        </w:rPr>
        <w:t>ESS</w:t>
      </w:r>
      <w:r w:rsidR="0028605A">
        <w:t xml:space="preserve"> state</w:t>
      </w:r>
      <w:r w:rsidR="00D92C68">
        <w:t>wide</w:t>
      </w:r>
      <w:r w:rsidR="0028605A">
        <w:t xml:space="preserve"> and </w:t>
      </w:r>
      <w:r w:rsidR="00D92C68" w:rsidRPr="00D92C68">
        <w:t>location</w:t>
      </w:r>
      <w:r w:rsidR="00D92C68">
        <w:t>s</w:t>
      </w:r>
      <w:r w:rsidR="00D92C68" w:rsidRPr="00D92C68">
        <w:t xml:space="preserve"> within the state</w:t>
      </w:r>
      <w:r w:rsidR="00415993">
        <w:t xml:space="preserve"> based on household size</w:t>
      </w:r>
      <w:r w:rsidR="002B45A4">
        <w:t xml:space="preserve"> is required</w:t>
      </w:r>
      <w:r w:rsidR="00415993">
        <w:t>.</w:t>
      </w:r>
      <w:r w:rsidR="00C11CF7">
        <w:rPr>
          <w:rStyle w:val="FootnoteReference"/>
        </w:rPr>
        <w:footnoteReference w:id="5"/>
      </w:r>
      <w:r w:rsidR="00C57FD5">
        <w:t xml:space="preserve"> </w:t>
      </w:r>
    </w:p>
    <w:p w14:paraId="5CF0C100" w14:textId="77777777" w:rsidR="00AC728E" w:rsidRPr="003B20D6" w:rsidRDefault="00AC728E" w:rsidP="005E4117">
      <w:pPr>
        <w:pStyle w:val="NoSpacing"/>
        <w:rPr>
          <w:sz w:val="12"/>
          <w:szCs w:val="12"/>
        </w:rPr>
      </w:pPr>
    </w:p>
    <w:p w14:paraId="0CE5EF8A" w14:textId="159EC27F" w:rsidR="00AC728E" w:rsidRDefault="00AC728E" w:rsidP="005E4117">
      <w:pPr>
        <w:pStyle w:val="NoSpacing"/>
        <w:rPr>
          <w:b/>
          <w:bCs/>
          <w:u w:val="single"/>
        </w:rPr>
      </w:pPr>
      <w:r w:rsidRPr="00E133C1">
        <w:rPr>
          <w:b/>
          <w:bCs/>
          <w:u w:val="single"/>
        </w:rPr>
        <w:t xml:space="preserve">Defining </w:t>
      </w:r>
      <w:r>
        <w:rPr>
          <w:b/>
          <w:bCs/>
          <w:u w:val="single"/>
        </w:rPr>
        <w:t xml:space="preserve">and </w:t>
      </w:r>
      <w:r w:rsidRPr="00AC728E">
        <w:rPr>
          <w:b/>
          <w:bCs/>
          <w:u w:val="single"/>
        </w:rPr>
        <w:t>Using Low-Income</w:t>
      </w:r>
      <w:r>
        <w:rPr>
          <w:b/>
          <w:bCs/>
          <w:u w:val="single"/>
        </w:rPr>
        <w:t>:</w:t>
      </w:r>
    </w:p>
    <w:p w14:paraId="1CE3AF48" w14:textId="574955C2" w:rsidR="00AC728E" w:rsidRPr="002016A7" w:rsidRDefault="00AC728E" w:rsidP="00AC728E">
      <w:pPr>
        <w:pStyle w:val="NoSpacing"/>
      </w:pPr>
      <w:r w:rsidRPr="00347771">
        <w:rPr>
          <w:i/>
          <w:iCs/>
        </w:rPr>
        <w:t>Low-Income</w:t>
      </w:r>
      <w:r w:rsidRPr="00862F53">
        <w:t xml:space="preserve"> </w:t>
      </w:r>
      <w:r>
        <w:t>status is used to determine</w:t>
      </w:r>
      <w:r w:rsidR="002B45A4">
        <w:t xml:space="preserve"> </w:t>
      </w:r>
      <w:r>
        <w:t xml:space="preserve">program eligibility </w:t>
      </w:r>
      <w:r w:rsidR="002B45A4">
        <w:t xml:space="preserve">for certain programs </w:t>
      </w:r>
      <w:r>
        <w:rPr>
          <w:i/>
          <w:iCs/>
        </w:rPr>
        <w:t xml:space="preserve">and </w:t>
      </w:r>
      <w:r w:rsidRPr="00862F53">
        <w:t>must also be considered to determine</w:t>
      </w:r>
      <w:r>
        <w:t xml:space="preserve"> items such as, but not limited to</w:t>
      </w:r>
      <w:r w:rsidRPr="00862F53">
        <w:t>:</w:t>
      </w:r>
    </w:p>
    <w:p w14:paraId="65C8125A" w14:textId="595F3C28" w:rsidR="00AC728E" w:rsidRDefault="002B45A4" w:rsidP="00AC728E">
      <w:pPr>
        <w:pStyle w:val="NoSpacing"/>
        <w:numPr>
          <w:ilvl w:val="0"/>
          <w:numId w:val="48"/>
        </w:numPr>
      </w:pPr>
      <w:r>
        <w:t>P</w:t>
      </w:r>
      <w:r w:rsidR="00AC728E">
        <w:t>riority of service,</w:t>
      </w:r>
    </w:p>
    <w:p w14:paraId="4775058C" w14:textId="3F6373F8" w:rsidR="00AC728E" w:rsidRDefault="00AC728E" w:rsidP="00AC728E">
      <w:pPr>
        <w:pStyle w:val="NoSpacing"/>
        <w:numPr>
          <w:ilvl w:val="0"/>
          <w:numId w:val="48"/>
        </w:numPr>
      </w:pPr>
      <w:r w:rsidRPr="005850F3">
        <w:rPr>
          <w:i/>
          <w:iCs/>
        </w:rPr>
        <w:t>Barriers to Employment</w:t>
      </w:r>
      <w:r>
        <w:rPr>
          <w:i/>
          <w:iCs/>
        </w:rPr>
        <w:t>,</w:t>
      </w:r>
      <w:r>
        <w:rPr>
          <w:rStyle w:val="FootnoteReference"/>
          <w:i/>
          <w:iCs/>
        </w:rPr>
        <w:footnoteReference w:id="6"/>
      </w:r>
    </w:p>
    <w:p w14:paraId="3D0DDCEB" w14:textId="77777777" w:rsidR="00AC728E" w:rsidRPr="00AC728E" w:rsidRDefault="00AC728E" w:rsidP="00E133C1">
      <w:pPr>
        <w:pStyle w:val="NoSpacing"/>
        <w:rPr>
          <w:b/>
          <w:bCs/>
          <w:sz w:val="12"/>
          <w:szCs w:val="12"/>
          <w:u w:val="single"/>
        </w:rPr>
      </w:pPr>
    </w:p>
    <w:p w14:paraId="4E6921D1" w14:textId="3C2B74ED" w:rsidR="00E133C1" w:rsidRDefault="00E133C1" w:rsidP="00E133C1">
      <w:pPr>
        <w:pStyle w:val="NoSpacing"/>
        <w:rPr>
          <w:rFonts w:eastAsia="Times New Roman" w:cstheme="minorHAnsi"/>
          <w:kern w:val="0"/>
          <w14:ligatures w14:val="none"/>
        </w:rPr>
      </w:pPr>
      <w:r>
        <w:rPr>
          <w:rFonts w:eastAsia="Times New Roman" w:cstheme="minorHAnsi"/>
          <w:i/>
          <w:iCs/>
          <w:kern w:val="0"/>
          <w14:ligatures w14:val="none"/>
        </w:rPr>
        <w:t xml:space="preserve">Low-Income </w:t>
      </w:r>
      <w:r>
        <w:rPr>
          <w:rFonts w:eastAsia="Times New Roman" w:cstheme="minorHAnsi"/>
          <w:kern w:val="0"/>
          <w14:ligatures w14:val="none"/>
        </w:rPr>
        <w:t>means an individual</w:t>
      </w:r>
      <w:r w:rsidRPr="00CF6C0C">
        <w:rPr>
          <w:rFonts w:eastAsia="Times New Roman" w:cstheme="minorHAnsi"/>
          <w:kern w:val="0"/>
          <w14:ligatures w14:val="none"/>
        </w:rPr>
        <w:t xml:space="preserve"> who</w:t>
      </w:r>
      <w:r>
        <w:rPr>
          <w:rFonts w:eastAsia="Times New Roman" w:cstheme="minorHAnsi"/>
          <w:kern w:val="0"/>
          <w14:ligatures w14:val="none"/>
        </w:rPr>
        <w:t>:</w:t>
      </w:r>
      <w:r>
        <w:rPr>
          <w:rStyle w:val="FootnoteReference"/>
          <w:rFonts w:eastAsia="Times New Roman" w:cstheme="minorHAnsi"/>
          <w:kern w:val="0"/>
          <w14:ligatures w14:val="none"/>
        </w:rPr>
        <w:footnoteReference w:id="7"/>
      </w:r>
    </w:p>
    <w:p w14:paraId="32431C41" w14:textId="77777777" w:rsidR="00E133C1" w:rsidRPr="009E354B" w:rsidRDefault="00E133C1" w:rsidP="00E133C1">
      <w:pPr>
        <w:pStyle w:val="NoSpacing"/>
        <w:ind w:left="360"/>
        <w:rPr>
          <w:sz w:val="6"/>
          <w:szCs w:val="6"/>
        </w:rPr>
      </w:pPr>
    </w:p>
    <w:p w14:paraId="539FAE79" w14:textId="64BB3C03" w:rsidR="00E133C1" w:rsidRPr="009744FA" w:rsidRDefault="002B45A4" w:rsidP="002B45A4">
      <w:pPr>
        <w:pStyle w:val="NoSpacing"/>
        <w:numPr>
          <w:ilvl w:val="0"/>
          <w:numId w:val="44"/>
        </w:numPr>
        <w:rPr>
          <w:rFonts w:eastAsia="Times New Roman" w:cstheme="minorHAnsi"/>
          <w:kern w:val="0"/>
          <w14:ligatures w14:val="none"/>
        </w:rPr>
      </w:pPr>
      <w:r>
        <w:rPr>
          <w:rFonts w:eastAsia="Times New Roman" w:cstheme="minorHAnsi"/>
          <w:kern w:val="0"/>
          <w14:ligatures w14:val="none"/>
        </w:rPr>
        <w:t>(</w:t>
      </w:r>
      <w:r w:rsidRPr="009744FA">
        <w:rPr>
          <w:rFonts w:eastAsia="Times New Roman" w:cstheme="minorHAnsi"/>
          <w:b/>
          <w:bCs/>
          <w:kern w:val="0"/>
          <w14:ligatures w14:val="none"/>
        </w:rPr>
        <w:t>Federal Programs</w:t>
      </w:r>
      <w:r>
        <w:rPr>
          <w:rFonts w:eastAsia="Times New Roman" w:cstheme="minorHAnsi"/>
          <w:kern w:val="0"/>
          <w14:ligatures w14:val="none"/>
        </w:rPr>
        <w:t xml:space="preserve">) </w:t>
      </w:r>
      <w:r w:rsidR="00E133C1" w:rsidRPr="002B45A4">
        <w:rPr>
          <w:rFonts w:eastAsia="Times New Roman" w:cstheme="minorHAnsi"/>
          <w:kern w:val="0"/>
          <w14:ligatures w14:val="none"/>
        </w:rPr>
        <w:t xml:space="preserve">Has a total family income that </w:t>
      </w:r>
      <w:r w:rsidR="00E133C1" w:rsidRPr="009744FA">
        <w:rPr>
          <w:rFonts w:eastAsia="Times New Roman" w:cstheme="minorHAnsi"/>
          <w:kern w:val="0"/>
          <w14:ligatures w14:val="none"/>
        </w:rPr>
        <w:t>does not exceed higher than either</w:t>
      </w:r>
      <w:r w:rsidR="00E133C1" w:rsidRPr="002B45A4">
        <w:rPr>
          <w:rFonts w:eastAsia="Times New Roman" w:cstheme="minorHAnsi"/>
          <w:kern w:val="0"/>
          <w14:ligatures w14:val="none"/>
        </w:rPr>
        <w:t xml:space="preserve">; </w:t>
      </w:r>
    </w:p>
    <w:p w14:paraId="7BB73137" w14:textId="4ECBBFE5" w:rsidR="002B45A4" w:rsidRPr="009744FA" w:rsidRDefault="00E133C1" w:rsidP="002B45A4">
      <w:pPr>
        <w:pStyle w:val="NoSpacing"/>
        <w:numPr>
          <w:ilvl w:val="1"/>
          <w:numId w:val="44"/>
        </w:numPr>
        <w:rPr>
          <w:rFonts w:eastAsia="Times New Roman" w:cstheme="minorHAnsi"/>
          <w:kern w:val="0"/>
          <w14:ligatures w14:val="none"/>
        </w:rPr>
      </w:pPr>
      <w:r w:rsidRPr="003B20D6">
        <w:rPr>
          <w:rFonts w:eastAsia="Times New Roman" w:cstheme="minorHAnsi"/>
          <w:kern w:val="0"/>
          <w14:ligatures w14:val="none"/>
        </w:rPr>
        <w:t>100% of the Federal Poverty (FP) Guidelines (i.e. the “Poverty line”) issued by the U.S. Department of Health and Human Services, or,</w:t>
      </w:r>
    </w:p>
    <w:p w14:paraId="58DCB6F6" w14:textId="38DA5D74" w:rsidR="002B45A4" w:rsidRDefault="00E133C1" w:rsidP="002B45A4">
      <w:pPr>
        <w:pStyle w:val="NoSpacing"/>
        <w:numPr>
          <w:ilvl w:val="1"/>
          <w:numId w:val="44"/>
        </w:numPr>
        <w:rPr>
          <w:rFonts w:eastAsia="Times New Roman" w:cstheme="minorHAnsi"/>
          <w:kern w:val="0"/>
          <w14:ligatures w14:val="none"/>
        </w:rPr>
      </w:pPr>
      <w:r>
        <w:rPr>
          <w:rFonts w:eastAsia="Times New Roman" w:cstheme="minorHAnsi"/>
          <w:kern w:val="0"/>
          <w14:ligatures w14:val="none"/>
        </w:rPr>
        <w:t xml:space="preserve"> </w:t>
      </w:r>
      <w:r w:rsidRPr="00CF6C0C">
        <w:rPr>
          <w:rFonts w:eastAsia="Times New Roman" w:cstheme="minorHAnsi"/>
          <w:kern w:val="0"/>
          <w14:ligatures w14:val="none"/>
        </w:rPr>
        <w:t>70% of the LLSIL Guidelines issued by the U.S. Department of Labor,</w:t>
      </w:r>
    </w:p>
    <w:p w14:paraId="20639C7B" w14:textId="77777777" w:rsidR="002B45A4" w:rsidRPr="009744FA" w:rsidRDefault="002B45A4" w:rsidP="009744FA">
      <w:pPr>
        <w:pStyle w:val="NoSpacing"/>
        <w:rPr>
          <w:rFonts w:eastAsia="Times New Roman" w:cstheme="minorHAnsi"/>
          <w:kern w:val="0"/>
          <w:sz w:val="6"/>
          <w:szCs w:val="6"/>
          <w14:ligatures w14:val="none"/>
        </w:rPr>
      </w:pPr>
    </w:p>
    <w:p w14:paraId="2E625158" w14:textId="064BAB94" w:rsidR="002B45A4" w:rsidRPr="009744FA" w:rsidRDefault="002B45A4" w:rsidP="002B45A4">
      <w:pPr>
        <w:pStyle w:val="NoSpacing"/>
        <w:numPr>
          <w:ilvl w:val="0"/>
          <w:numId w:val="44"/>
        </w:numPr>
        <w:rPr>
          <w:rFonts w:eastAsia="Times New Roman" w:cstheme="minorHAnsi"/>
          <w:kern w:val="0"/>
          <w14:ligatures w14:val="none"/>
        </w:rPr>
      </w:pPr>
      <w:r w:rsidRPr="009744FA">
        <w:rPr>
          <w:rFonts w:eastAsia="Times New Roman" w:cstheme="minorHAnsi"/>
          <w:kern w:val="0"/>
          <w14:ligatures w14:val="none"/>
        </w:rPr>
        <w:t>(</w:t>
      </w:r>
      <w:r w:rsidRPr="009744FA">
        <w:rPr>
          <w:rFonts w:eastAsia="Times New Roman" w:cstheme="minorHAnsi"/>
          <w:b/>
          <w:bCs/>
          <w:kern w:val="0"/>
          <w14:ligatures w14:val="none"/>
        </w:rPr>
        <w:t>State Programs</w:t>
      </w:r>
      <w:r w:rsidRPr="009744FA">
        <w:rPr>
          <w:rFonts w:eastAsia="Times New Roman" w:cstheme="minorHAnsi"/>
          <w:kern w:val="0"/>
          <w14:ligatures w14:val="none"/>
        </w:rPr>
        <w:t xml:space="preserve">) </w:t>
      </w:r>
      <w:r>
        <w:rPr>
          <w:rFonts w:eastAsia="Times New Roman" w:cstheme="minorHAnsi"/>
          <w:kern w:val="0"/>
          <w14:ligatures w14:val="none"/>
        </w:rPr>
        <w:t>Has a</w:t>
      </w:r>
      <w:r w:rsidRPr="00CF6C0C">
        <w:rPr>
          <w:rFonts w:eastAsia="Times New Roman" w:cstheme="minorHAnsi"/>
          <w:kern w:val="0"/>
          <w14:ligatures w14:val="none"/>
        </w:rPr>
        <w:t xml:space="preserve"> total family income that does not </w:t>
      </w:r>
      <w:r w:rsidRPr="009744FA">
        <w:rPr>
          <w:rFonts w:eastAsia="Times New Roman" w:cstheme="minorHAnsi"/>
          <w:kern w:val="0"/>
          <w14:ligatures w14:val="none"/>
        </w:rPr>
        <w:t>exceed higher than either</w:t>
      </w:r>
      <w:r w:rsidRPr="00CF6C0C">
        <w:rPr>
          <w:rFonts w:eastAsia="Times New Roman" w:cstheme="minorHAnsi"/>
          <w:kern w:val="0"/>
          <w14:ligatures w14:val="none"/>
        </w:rPr>
        <w:t>;</w:t>
      </w:r>
      <w:r>
        <w:rPr>
          <w:rFonts w:eastAsia="Times New Roman" w:cstheme="minorHAnsi"/>
          <w:kern w:val="0"/>
          <w14:ligatures w14:val="none"/>
        </w:rPr>
        <w:t xml:space="preserve"> </w:t>
      </w:r>
    </w:p>
    <w:p w14:paraId="0CD766ED" w14:textId="77777777" w:rsidR="002B45A4" w:rsidRPr="00E133C1" w:rsidRDefault="002B45A4" w:rsidP="002B45A4">
      <w:pPr>
        <w:pStyle w:val="NoSpacing"/>
        <w:numPr>
          <w:ilvl w:val="1"/>
          <w:numId w:val="44"/>
        </w:numPr>
      </w:pPr>
      <w:r w:rsidRPr="003B20D6">
        <w:rPr>
          <w:rFonts w:eastAsia="Times New Roman" w:cstheme="minorHAnsi"/>
          <w:kern w:val="0"/>
          <w14:ligatures w14:val="none"/>
        </w:rPr>
        <w:t>200% of the FP Guidelines issued by the U.S. Department of Health and Human Services, or,</w:t>
      </w:r>
    </w:p>
    <w:p w14:paraId="3E94504A" w14:textId="77777777" w:rsidR="002B45A4" w:rsidRPr="009E354B" w:rsidRDefault="002B45A4" w:rsidP="002B45A4">
      <w:pPr>
        <w:pStyle w:val="NoSpacing"/>
        <w:numPr>
          <w:ilvl w:val="1"/>
          <w:numId w:val="44"/>
        </w:numPr>
      </w:pPr>
      <w:r>
        <w:rPr>
          <w:rFonts w:eastAsia="Times New Roman" w:cstheme="minorHAnsi"/>
          <w:kern w:val="0"/>
          <w14:ligatures w14:val="none"/>
        </w:rPr>
        <w:t xml:space="preserve"> </w:t>
      </w:r>
      <w:r w:rsidRPr="00CF6C0C">
        <w:rPr>
          <w:rFonts w:eastAsia="Times New Roman" w:cstheme="minorHAnsi"/>
          <w:kern w:val="0"/>
          <w14:ligatures w14:val="none"/>
        </w:rPr>
        <w:t xml:space="preserve">70% of the LLSIL Guidelines issued by the U.S. Department of Labor, </w:t>
      </w:r>
    </w:p>
    <w:p w14:paraId="7C7FF570" w14:textId="77777777" w:rsidR="002734AA" w:rsidRPr="009744FA" w:rsidRDefault="002734AA" w:rsidP="009744FA">
      <w:pPr>
        <w:pStyle w:val="NoSpacing"/>
        <w:rPr>
          <w:sz w:val="6"/>
          <w:szCs w:val="6"/>
        </w:rPr>
      </w:pPr>
    </w:p>
    <w:p w14:paraId="75FAFD14" w14:textId="54DEA580" w:rsidR="00E133C1" w:rsidRPr="00896A53" w:rsidRDefault="00E133C1" w:rsidP="00E133C1">
      <w:pPr>
        <w:pStyle w:val="NoSpacing"/>
        <w:numPr>
          <w:ilvl w:val="0"/>
          <w:numId w:val="44"/>
        </w:numPr>
      </w:pPr>
      <w:r>
        <w:rPr>
          <w:rFonts w:eastAsia="Times New Roman" w:cstheme="minorHAnsi"/>
          <w:kern w:val="0"/>
          <w14:ligatures w14:val="none"/>
        </w:rPr>
        <w:t>Is</w:t>
      </w:r>
      <w:r w:rsidRPr="00CF6C0C">
        <w:rPr>
          <w:rFonts w:eastAsia="Times New Roman" w:cstheme="minorHAnsi"/>
          <w:kern w:val="0"/>
          <w14:ligatures w14:val="none"/>
        </w:rPr>
        <w:t xml:space="preserve"> </w:t>
      </w:r>
      <w:r w:rsidRPr="00896A53">
        <w:rPr>
          <w:rFonts w:eastAsia="Times New Roman" w:cstheme="minorHAnsi"/>
          <w:i/>
          <w:iCs/>
          <w:kern w:val="0"/>
          <w14:ligatures w14:val="none"/>
        </w:rPr>
        <w:t>Homeless</w:t>
      </w:r>
      <w:r w:rsidRPr="00CF6C0C">
        <w:rPr>
          <w:rFonts w:eastAsia="Times New Roman" w:cstheme="minorHAnsi"/>
          <w:kern w:val="0"/>
          <w14:ligatures w14:val="none"/>
        </w:rPr>
        <w:t>,</w:t>
      </w:r>
    </w:p>
    <w:p w14:paraId="38CBE998" w14:textId="77777777" w:rsidR="00E133C1" w:rsidRPr="009E354B" w:rsidRDefault="00E133C1" w:rsidP="00E133C1">
      <w:pPr>
        <w:pStyle w:val="NoSpacing"/>
        <w:ind w:left="360"/>
        <w:rPr>
          <w:sz w:val="6"/>
          <w:szCs w:val="6"/>
        </w:rPr>
      </w:pPr>
    </w:p>
    <w:p w14:paraId="01CD337B" w14:textId="77777777" w:rsidR="00E133C1" w:rsidRPr="009E354B" w:rsidRDefault="00E133C1" w:rsidP="00E133C1">
      <w:pPr>
        <w:pStyle w:val="NoSpacing"/>
        <w:numPr>
          <w:ilvl w:val="0"/>
          <w:numId w:val="44"/>
        </w:numPr>
      </w:pPr>
      <w:r w:rsidRPr="00CF6C0C">
        <w:rPr>
          <w:rFonts w:eastAsia="Times New Roman" w:cstheme="minorHAnsi"/>
          <w:kern w:val="0"/>
          <w14:ligatures w14:val="none"/>
        </w:rPr>
        <w:t>Receives or is eligible to receive a Free or Reduced-Price Lunch under the National School Lunch Act (NLSA);</w:t>
      </w:r>
    </w:p>
    <w:p w14:paraId="383C9F32" w14:textId="77777777" w:rsidR="00E133C1" w:rsidRPr="009E354B" w:rsidRDefault="00E133C1" w:rsidP="00E133C1">
      <w:pPr>
        <w:pStyle w:val="NoSpacing"/>
        <w:rPr>
          <w:sz w:val="6"/>
          <w:szCs w:val="6"/>
        </w:rPr>
      </w:pPr>
    </w:p>
    <w:p w14:paraId="08B40CC6" w14:textId="77777777" w:rsidR="00E133C1" w:rsidRDefault="00E133C1" w:rsidP="00E133C1">
      <w:pPr>
        <w:pStyle w:val="NoSpacing"/>
        <w:numPr>
          <w:ilvl w:val="0"/>
          <w:numId w:val="44"/>
        </w:numPr>
      </w:pPr>
      <w:r w:rsidRPr="00CF6C0C">
        <w:rPr>
          <w:rFonts w:eastAsia="Times New Roman" w:cstheme="minorHAnsi"/>
          <w:kern w:val="0"/>
          <w14:ligatures w14:val="none"/>
        </w:rPr>
        <w:t>Is a foster child on behalf of whom State or local government payments are made; or</w:t>
      </w:r>
      <w:r>
        <w:t>,</w:t>
      </w:r>
    </w:p>
    <w:p w14:paraId="7E5AB69B" w14:textId="77777777" w:rsidR="00E133C1" w:rsidRPr="009E354B" w:rsidRDefault="00E133C1" w:rsidP="00E133C1">
      <w:pPr>
        <w:pStyle w:val="NoSpacing"/>
        <w:rPr>
          <w:sz w:val="6"/>
          <w:szCs w:val="6"/>
        </w:rPr>
      </w:pPr>
    </w:p>
    <w:p w14:paraId="791C5EBA" w14:textId="77777777" w:rsidR="00E133C1" w:rsidRPr="00E133C1" w:rsidRDefault="00E133C1" w:rsidP="00E133C1">
      <w:pPr>
        <w:pStyle w:val="NoSpacing"/>
        <w:numPr>
          <w:ilvl w:val="0"/>
          <w:numId w:val="44"/>
        </w:numPr>
      </w:pPr>
      <w:r w:rsidRPr="00CF6C0C">
        <w:rPr>
          <w:rFonts w:eastAsia="Times New Roman" w:cstheme="minorHAnsi"/>
          <w:kern w:val="0"/>
          <w14:ligatures w14:val="none"/>
        </w:rPr>
        <w:t>Is an individual with a disability whose own income (Family of one) meets the income requirements of “</w:t>
      </w:r>
      <w:r w:rsidRPr="000F2F40">
        <w:rPr>
          <w:rFonts w:eastAsia="Times New Roman" w:cstheme="minorHAnsi"/>
          <w:i/>
          <w:iCs/>
          <w:kern w:val="0"/>
          <w14:ligatures w14:val="none"/>
        </w:rPr>
        <w:t>Low-Income</w:t>
      </w:r>
      <w:r w:rsidRPr="00CF6C0C">
        <w:rPr>
          <w:rFonts w:eastAsia="Times New Roman" w:cstheme="minorHAnsi"/>
          <w:kern w:val="0"/>
          <w14:ligatures w14:val="none"/>
        </w:rPr>
        <w:t>” but who is a member of a Family whose income does not meet this requirement.</w:t>
      </w:r>
    </w:p>
    <w:p w14:paraId="506B00AD" w14:textId="77777777" w:rsidR="00E133C1" w:rsidRDefault="00E133C1" w:rsidP="00E133C1">
      <w:pPr>
        <w:pStyle w:val="NoSpacing"/>
        <w:numPr>
          <w:ilvl w:val="0"/>
          <w:numId w:val="44"/>
        </w:numPr>
      </w:pPr>
      <w:r w:rsidRPr="00E133C1">
        <w:rPr>
          <w:rFonts w:eastAsia="Times New Roman" w:cstheme="minorHAnsi"/>
          <w:kern w:val="0"/>
          <w14:ligatures w14:val="none"/>
        </w:rPr>
        <w:t xml:space="preserve">Individuals are also considered </w:t>
      </w:r>
      <w:r w:rsidRPr="00E133C1">
        <w:rPr>
          <w:rFonts w:eastAsia="Times New Roman" w:cstheme="minorHAnsi"/>
          <w:i/>
          <w:iCs/>
          <w:kern w:val="0"/>
          <w14:ligatures w14:val="none"/>
        </w:rPr>
        <w:t>Low-</w:t>
      </w:r>
      <w:r w:rsidRPr="00E133C1">
        <w:rPr>
          <w:rFonts w:eastAsia="Times New Roman" w:cstheme="minorHAnsi"/>
          <w:kern w:val="0"/>
          <w14:ligatures w14:val="none"/>
        </w:rPr>
        <w:t xml:space="preserve">Income if they or their </w:t>
      </w:r>
      <w:r w:rsidRPr="00E133C1">
        <w:rPr>
          <w:rFonts w:eastAsia="Times New Roman" w:cstheme="minorHAnsi"/>
          <w:i/>
          <w:iCs/>
          <w:kern w:val="0"/>
          <w14:ligatures w14:val="none"/>
        </w:rPr>
        <w:t>Family</w:t>
      </w:r>
      <w:r w:rsidRPr="00E133C1">
        <w:rPr>
          <w:rFonts w:eastAsia="Times New Roman" w:cstheme="minorHAnsi"/>
          <w:kern w:val="0"/>
          <w14:ligatures w14:val="none"/>
        </w:rPr>
        <w:t xml:space="preserve"> c</w:t>
      </w:r>
      <w:r>
        <w:t>urrently r</w:t>
      </w:r>
      <w:r w:rsidRPr="006E485E">
        <w:t>eceives</w:t>
      </w:r>
      <w:r w:rsidRPr="007E3F72">
        <w:t>, or in the past six months has received, assistance through</w:t>
      </w:r>
      <w:r>
        <w:t xml:space="preserve">: </w:t>
      </w:r>
    </w:p>
    <w:p w14:paraId="3405D779" w14:textId="77777777" w:rsidR="00E133C1" w:rsidRDefault="00E133C1" w:rsidP="00E133C1">
      <w:pPr>
        <w:pStyle w:val="NoSpacing"/>
        <w:numPr>
          <w:ilvl w:val="1"/>
          <w:numId w:val="44"/>
        </w:numPr>
      </w:pPr>
      <w:r w:rsidRPr="00E133C1">
        <w:rPr>
          <w:rFonts w:cstheme="minorHAnsi"/>
        </w:rPr>
        <w:t>Supplemental Nutrition Assistance Program (SNAP)</w:t>
      </w:r>
    </w:p>
    <w:p w14:paraId="5F2802A4" w14:textId="77777777" w:rsidR="00E133C1" w:rsidRDefault="00E133C1" w:rsidP="00E133C1">
      <w:pPr>
        <w:pStyle w:val="NoSpacing"/>
        <w:numPr>
          <w:ilvl w:val="1"/>
          <w:numId w:val="44"/>
        </w:numPr>
      </w:pPr>
      <w:r w:rsidRPr="00E133C1">
        <w:rPr>
          <w:rFonts w:cstheme="minorHAnsi"/>
          <w:color w:val="212529"/>
          <w:shd w:val="clear" w:color="auto" w:fill="FFFFFF"/>
        </w:rPr>
        <w:t>Temporary Assistance for Needy Families</w:t>
      </w:r>
      <w:r w:rsidRPr="00E133C1">
        <w:rPr>
          <w:rFonts w:cstheme="minorHAnsi"/>
        </w:rPr>
        <w:t xml:space="preserve"> (TANF), </w:t>
      </w:r>
    </w:p>
    <w:p w14:paraId="1CFA2493" w14:textId="77777777" w:rsidR="00E133C1" w:rsidRDefault="00E133C1" w:rsidP="00E133C1">
      <w:pPr>
        <w:pStyle w:val="NoSpacing"/>
        <w:numPr>
          <w:ilvl w:val="1"/>
          <w:numId w:val="44"/>
        </w:numPr>
      </w:pPr>
      <w:r w:rsidRPr="00E133C1">
        <w:rPr>
          <w:rFonts w:cstheme="minorHAnsi"/>
        </w:rPr>
        <w:t>Supplemental Security Income (SSI), or,</w:t>
      </w:r>
    </w:p>
    <w:p w14:paraId="4359CA75" w14:textId="3F2BB01B" w:rsidR="00E133C1" w:rsidRPr="00E133C1" w:rsidRDefault="00E133C1" w:rsidP="00E133C1">
      <w:pPr>
        <w:pStyle w:val="NoSpacing"/>
        <w:numPr>
          <w:ilvl w:val="1"/>
          <w:numId w:val="44"/>
        </w:numPr>
      </w:pPr>
      <w:r w:rsidRPr="00E133C1">
        <w:rPr>
          <w:rFonts w:cstheme="minorHAnsi"/>
        </w:rPr>
        <w:t xml:space="preserve">Other State or local income-based </w:t>
      </w:r>
      <w:r w:rsidRPr="00E133C1">
        <w:rPr>
          <w:rFonts w:cstheme="minorHAnsi"/>
          <w:i/>
          <w:iCs/>
        </w:rPr>
        <w:t>Public Assistance</w:t>
      </w:r>
      <w:r w:rsidRPr="00E133C1">
        <w:rPr>
          <w:rFonts w:cstheme="minorHAnsi"/>
        </w:rPr>
        <w:t>.</w:t>
      </w:r>
    </w:p>
    <w:p w14:paraId="10BCC2C2" w14:textId="77777777" w:rsidR="001012D3" w:rsidRPr="00E133C1" w:rsidRDefault="001012D3" w:rsidP="005E4117">
      <w:pPr>
        <w:pStyle w:val="NoSpacing"/>
        <w:rPr>
          <w:sz w:val="12"/>
          <w:szCs w:val="12"/>
        </w:rPr>
      </w:pPr>
    </w:p>
    <w:p w14:paraId="7763AE39" w14:textId="11892F39" w:rsidR="003845D0" w:rsidRPr="00556031" w:rsidRDefault="001012D3" w:rsidP="005E4117">
      <w:pPr>
        <w:pStyle w:val="NoSpacing"/>
        <w:rPr>
          <w:b/>
          <w:bCs/>
          <w:u w:val="single"/>
        </w:rPr>
      </w:pPr>
      <w:r w:rsidRPr="00556031">
        <w:rPr>
          <w:b/>
          <w:bCs/>
          <w:u w:val="single"/>
        </w:rPr>
        <w:t>Using Economic Self-Sufficiency</w:t>
      </w:r>
      <w:r w:rsidR="00410A23" w:rsidRPr="00556031">
        <w:rPr>
          <w:b/>
          <w:bCs/>
          <w:u w:val="single"/>
        </w:rPr>
        <w:t xml:space="preserve"> (ESS)</w:t>
      </w:r>
      <w:r w:rsidRPr="00556031">
        <w:rPr>
          <w:b/>
          <w:bCs/>
          <w:u w:val="single"/>
        </w:rPr>
        <w:t>:</w:t>
      </w:r>
    </w:p>
    <w:p w14:paraId="4173408D" w14:textId="58883B7B" w:rsidR="008F02DE" w:rsidRDefault="003845D0" w:rsidP="00BA12B1">
      <w:pPr>
        <w:pStyle w:val="NoSpacing"/>
      </w:pPr>
      <w:bookmarkStart w:id="4" w:name="_Hlk187855200"/>
      <w:r w:rsidRPr="0071486B">
        <w:rPr>
          <w:i/>
          <w:iCs/>
        </w:rPr>
        <w:t>Economic Self-Sufficiency</w:t>
      </w:r>
      <w:r w:rsidR="001C0430">
        <w:rPr>
          <w:i/>
          <w:iCs/>
        </w:rPr>
        <w:t xml:space="preserve"> </w:t>
      </w:r>
      <w:bookmarkEnd w:id="4"/>
      <w:r w:rsidR="001C0430">
        <w:rPr>
          <w:i/>
          <w:iCs/>
        </w:rPr>
        <w:t>(ESS)</w:t>
      </w:r>
      <w:r>
        <w:rPr>
          <w:i/>
          <w:iCs/>
        </w:rPr>
        <w:t xml:space="preserve"> </w:t>
      </w:r>
      <w:r>
        <w:t xml:space="preserve">is </w:t>
      </w:r>
      <w:r w:rsidRPr="0028360A">
        <w:rPr>
          <w:u w:val="single"/>
        </w:rPr>
        <w:t>not</w:t>
      </w:r>
      <w:r>
        <w:t xml:space="preserve"> used to determine </w:t>
      </w:r>
      <w:r w:rsidR="009B3A47">
        <w:t xml:space="preserve">program </w:t>
      </w:r>
      <w:r w:rsidR="00E16486">
        <w:t>eligibility</w:t>
      </w:r>
      <w:r w:rsidR="009B3A47">
        <w:t xml:space="preserve"> </w:t>
      </w:r>
      <w:r w:rsidR="00024C72">
        <w:t xml:space="preserve">but </w:t>
      </w:r>
      <w:r w:rsidR="00377F6D">
        <w:t>is</w:t>
      </w:r>
      <w:r w:rsidR="00024C72">
        <w:t xml:space="preserve"> </w:t>
      </w:r>
      <w:r w:rsidR="00CC6B9F">
        <w:t>use</w:t>
      </w:r>
      <w:r w:rsidR="00377F6D">
        <w:t>d</w:t>
      </w:r>
      <w:r w:rsidR="00CC6B9F">
        <w:t xml:space="preserve"> </w:t>
      </w:r>
      <w:r w:rsidR="00377F6D">
        <w:t xml:space="preserve">(along with other variables) </w:t>
      </w:r>
      <w:r w:rsidR="00CC6B9F">
        <w:t xml:space="preserve">to </w:t>
      </w:r>
      <w:r w:rsidR="00377F6D">
        <w:t xml:space="preserve">help </w:t>
      </w:r>
      <w:r w:rsidR="00024C72">
        <w:t>determine</w:t>
      </w:r>
      <w:r w:rsidR="002734AA">
        <w:t xml:space="preserve"> </w:t>
      </w:r>
      <w:r w:rsidR="002734AA" w:rsidRPr="00DD3FFA">
        <w:t xml:space="preserve">the appropriate career services, training services, and supportive services </w:t>
      </w:r>
      <w:r w:rsidR="002734AA">
        <w:rPr>
          <w:rFonts w:eastAsia="Times New Roman" w:cstheme="minorHAnsi"/>
          <w:color w:val="212529"/>
          <w:kern w:val="0"/>
          <w14:ligatures w14:val="none"/>
        </w:rPr>
        <w:t xml:space="preserve">for </w:t>
      </w:r>
      <w:r w:rsidR="002734AA">
        <w:t xml:space="preserve">individuals. Specifically, </w:t>
      </w:r>
      <w:r w:rsidR="002734AA">
        <w:rPr>
          <w:rFonts w:cstheme="minorHAnsi"/>
          <w:i/>
          <w:iCs/>
          <w:color w:val="212529"/>
          <w:shd w:val="clear" w:color="auto" w:fill="FFFFFF"/>
        </w:rPr>
        <w:t>E</w:t>
      </w:r>
      <w:r w:rsidR="001C0430" w:rsidRPr="001C0430">
        <w:rPr>
          <w:rFonts w:cstheme="minorHAnsi"/>
          <w:i/>
          <w:iCs/>
          <w:color w:val="212529"/>
          <w:shd w:val="clear" w:color="auto" w:fill="FFFFFF"/>
        </w:rPr>
        <w:t>SS</w:t>
      </w:r>
      <w:r w:rsidR="001C0430">
        <w:rPr>
          <w:rFonts w:cstheme="minorHAnsi"/>
          <w:color w:val="212529"/>
          <w:shd w:val="clear" w:color="auto" w:fill="FFFFFF"/>
        </w:rPr>
        <w:t xml:space="preserve"> </w:t>
      </w:r>
      <w:r w:rsidR="002734AA">
        <w:rPr>
          <w:rFonts w:cstheme="minorHAnsi"/>
          <w:color w:val="212529"/>
          <w:shd w:val="clear" w:color="auto" w:fill="FFFFFF"/>
        </w:rPr>
        <w:t>is used to h</w:t>
      </w:r>
      <w:r w:rsidR="001C0430">
        <w:rPr>
          <w:rFonts w:cstheme="minorHAnsi"/>
          <w:color w:val="212529"/>
          <w:shd w:val="clear" w:color="auto" w:fill="FFFFFF"/>
        </w:rPr>
        <w:t>elp determine</w:t>
      </w:r>
      <w:r w:rsidR="00BA12B1">
        <w:rPr>
          <w:rFonts w:cstheme="minorHAnsi"/>
          <w:color w:val="212529"/>
          <w:shd w:val="clear" w:color="auto" w:fill="FFFFFF"/>
        </w:rPr>
        <w:t xml:space="preserve"> t</w:t>
      </w:r>
      <w:r w:rsidR="00CE07F1">
        <w:t xml:space="preserve">he </w:t>
      </w:r>
      <w:r w:rsidR="00CE07F1" w:rsidRPr="00CE07F1">
        <w:t xml:space="preserve">need of training services </w:t>
      </w:r>
      <w:r w:rsidR="003D3D8C">
        <w:t xml:space="preserve">for </w:t>
      </w:r>
      <w:r w:rsidR="00BA12B1">
        <w:t>individual</w:t>
      </w:r>
      <w:r w:rsidR="008F02DE">
        <w:t xml:space="preserve">s </w:t>
      </w:r>
      <w:r w:rsidR="00BA12B1">
        <w:t>who</w:t>
      </w:r>
      <w:r w:rsidR="00CF44E1">
        <w:t xml:space="preserve"> are</w:t>
      </w:r>
      <w:r w:rsidR="008F02DE">
        <w:t xml:space="preserve">: </w:t>
      </w:r>
    </w:p>
    <w:p w14:paraId="3C9F11FD" w14:textId="35C605AF" w:rsidR="00CF44E1" w:rsidRDefault="00CF44E1" w:rsidP="00DA0886">
      <w:pPr>
        <w:pStyle w:val="NoSpacing"/>
        <w:numPr>
          <w:ilvl w:val="0"/>
          <w:numId w:val="50"/>
        </w:numPr>
      </w:pPr>
      <w:r w:rsidRPr="00CF44E1">
        <w:t xml:space="preserve">Unlikely or unable to obtain or retain employment that leads to </w:t>
      </w:r>
      <w:r w:rsidR="00CD7BBB" w:rsidRPr="00CD7BBB">
        <w:rPr>
          <w:i/>
          <w:iCs/>
        </w:rPr>
        <w:t>ESS</w:t>
      </w:r>
      <w:r w:rsidR="00CD7BBB">
        <w:t xml:space="preserve"> </w:t>
      </w:r>
      <w:r w:rsidRPr="00CF44E1">
        <w:t>or wages comparable to or higher than wages from previous employment through career services</w:t>
      </w:r>
      <w:r w:rsidR="00356AC9">
        <w:t xml:space="preserve"> alone,</w:t>
      </w:r>
      <w:r w:rsidR="00A70F4F">
        <w:rPr>
          <w:rStyle w:val="FootnoteReference"/>
        </w:rPr>
        <w:footnoteReference w:id="8"/>
      </w:r>
      <w:r w:rsidR="00356AC9">
        <w:t xml:space="preserve"> or,</w:t>
      </w:r>
    </w:p>
    <w:p w14:paraId="64A65F6E" w14:textId="01DB52B8" w:rsidR="003037EF" w:rsidRDefault="0002456C" w:rsidP="00DA0886">
      <w:pPr>
        <w:pStyle w:val="NoSpacing"/>
        <w:numPr>
          <w:ilvl w:val="0"/>
          <w:numId w:val="49"/>
        </w:numPr>
      </w:pPr>
      <w:r>
        <w:lastRenderedPageBreak/>
        <w:t>In need of training services to</w:t>
      </w:r>
      <w:r w:rsidR="00CE07F1" w:rsidRPr="00CE07F1">
        <w:t xml:space="preserve"> obtain or retain employment leading to </w:t>
      </w:r>
      <w:r w:rsidR="00CE07F1" w:rsidRPr="00CD7BBB">
        <w:rPr>
          <w:i/>
          <w:iCs/>
        </w:rPr>
        <w:t>ESS</w:t>
      </w:r>
      <w:r w:rsidR="00CE07F1" w:rsidRPr="00CE07F1">
        <w:t xml:space="preserve"> or wages comparable to or higher than wages from previous employment</w:t>
      </w:r>
      <w:r w:rsidR="00804014">
        <w:t xml:space="preserve"> without</w:t>
      </w:r>
      <w:r w:rsidR="00BA12B1">
        <w:t>.</w:t>
      </w:r>
      <w:r w:rsidR="00A70F4F">
        <w:rPr>
          <w:rStyle w:val="FootnoteReference"/>
        </w:rPr>
        <w:footnoteReference w:id="9"/>
      </w:r>
    </w:p>
    <w:p w14:paraId="342071AB" w14:textId="77777777" w:rsidR="00FF474B" w:rsidRPr="00410A23" w:rsidRDefault="00FF474B" w:rsidP="00FF474B">
      <w:pPr>
        <w:pStyle w:val="NoSpacing"/>
        <w:rPr>
          <w:sz w:val="12"/>
          <w:szCs w:val="12"/>
        </w:rPr>
      </w:pPr>
    </w:p>
    <w:p w14:paraId="4B46E8BE" w14:textId="6C1F9103" w:rsidR="001970D8" w:rsidRDefault="00C50E8D" w:rsidP="00A61D43">
      <w:pPr>
        <w:pStyle w:val="NoSpacing"/>
      </w:pPr>
      <w:r>
        <w:t>Providers are encouraged to</w:t>
      </w:r>
      <w:r w:rsidRPr="00624150">
        <w:t xml:space="preserve"> use </w:t>
      </w:r>
      <w:r w:rsidRPr="00C50E8D">
        <w:rPr>
          <w:i/>
          <w:iCs/>
        </w:rPr>
        <w:t>ESS</w:t>
      </w:r>
      <w:r>
        <w:t xml:space="preserve"> as the </w:t>
      </w:r>
      <w:r w:rsidRPr="0021142B">
        <w:rPr>
          <w:u w:val="single"/>
        </w:rPr>
        <w:t>minimum</w:t>
      </w:r>
      <w:r>
        <w:t xml:space="preserve"> income needed to meet basic needs and use it in conjunction with labor market information (LMI) </w:t>
      </w:r>
      <w:r w:rsidR="00C1010F">
        <w:t xml:space="preserve">to help determine the career </w:t>
      </w:r>
      <w:r w:rsidR="00D275C6">
        <w:t xml:space="preserve">services </w:t>
      </w:r>
      <w:r w:rsidR="00C1010F">
        <w:t xml:space="preserve">and training </w:t>
      </w:r>
      <w:r w:rsidR="00D275C6">
        <w:t xml:space="preserve">services needed to </w:t>
      </w:r>
      <w:r w:rsidR="0021142B">
        <w:t xml:space="preserve">help individuals </w:t>
      </w:r>
      <w:r w:rsidR="00C6072D">
        <w:t>become</w:t>
      </w:r>
      <w:r w:rsidR="00D275C6">
        <w:t xml:space="preserve">, and stay, </w:t>
      </w:r>
      <w:r w:rsidR="00716BCE" w:rsidRPr="00D275C6">
        <w:t>economic</w:t>
      </w:r>
      <w:r w:rsidR="00716BCE">
        <w:t>ally</w:t>
      </w:r>
      <w:r w:rsidR="00716BCE" w:rsidRPr="00D275C6">
        <w:t xml:space="preserve"> self-sufficie</w:t>
      </w:r>
      <w:r w:rsidR="00716BCE">
        <w:t>nt</w:t>
      </w:r>
      <w:r w:rsidR="0021142B">
        <w:t>.</w:t>
      </w:r>
    </w:p>
    <w:p w14:paraId="6EC484CA" w14:textId="091CAC51" w:rsidR="00C6072D" w:rsidRPr="00C6072D" w:rsidRDefault="00C6072D" w:rsidP="00A61D43">
      <w:pPr>
        <w:pStyle w:val="NoSpacing"/>
        <w:rPr>
          <w:sz w:val="12"/>
          <w:szCs w:val="12"/>
        </w:rPr>
      </w:pPr>
    </w:p>
    <w:p w14:paraId="263C493B" w14:textId="120B1EDF" w:rsidR="00A61D43" w:rsidRPr="00536640" w:rsidRDefault="00536640" w:rsidP="00A61D43">
      <w:pPr>
        <w:pStyle w:val="NoSpacing"/>
        <w:rPr>
          <w:rFonts w:cstheme="minorHAnsi"/>
        </w:rPr>
      </w:pPr>
      <w:r>
        <w:t xml:space="preserve">Providers may, and are encouraged, to assist individuals that expect to lose </w:t>
      </w:r>
      <w:r w:rsidRPr="00054133">
        <w:rPr>
          <w:i/>
          <w:iCs/>
        </w:rPr>
        <w:t>ESS</w:t>
      </w:r>
      <w:r>
        <w:t xml:space="preserve"> or need to increase their income to retain </w:t>
      </w:r>
      <w:r w:rsidRPr="00CD7BBB">
        <w:rPr>
          <w:i/>
          <w:iCs/>
        </w:rPr>
        <w:t>ESS</w:t>
      </w:r>
      <w:r>
        <w:t>.</w:t>
      </w:r>
      <w:r>
        <w:rPr>
          <w:rFonts w:cstheme="minorHAnsi"/>
        </w:rPr>
        <w:t xml:space="preserve"> </w:t>
      </w:r>
      <w:r w:rsidR="00054133" w:rsidRPr="00054133">
        <w:t xml:space="preserve">There are </w:t>
      </w:r>
      <w:r w:rsidR="00054133">
        <w:t xml:space="preserve">several circumstances where someone may expect to lose </w:t>
      </w:r>
      <w:r w:rsidR="00054133" w:rsidRPr="00054133">
        <w:rPr>
          <w:i/>
          <w:iCs/>
        </w:rPr>
        <w:t>ESS</w:t>
      </w:r>
      <w:r w:rsidR="00A61D43">
        <w:t xml:space="preserve"> </w:t>
      </w:r>
      <w:r w:rsidR="00FE458D">
        <w:t xml:space="preserve">or needs to increase their income to retain </w:t>
      </w:r>
      <w:r w:rsidR="00FE458D" w:rsidRPr="00CD7BBB">
        <w:rPr>
          <w:i/>
          <w:iCs/>
        </w:rPr>
        <w:t>ESS</w:t>
      </w:r>
      <w:r w:rsidR="00FE458D">
        <w:t xml:space="preserve"> </w:t>
      </w:r>
      <w:r w:rsidR="00A61D43">
        <w:t>including but not limited to:</w:t>
      </w:r>
    </w:p>
    <w:p w14:paraId="7E8A7F6D" w14:textId="07BD59F7" w:rsidR="00E44955" w:rsidRPr="00E44955" w:rsidRDefault="002578C1" w:rsidP="00DA0886">
      <w:pPr>
        <w:pStyle w:val="NoSpacing"/>
        <w:numPr>
          <w:ilvl w:val="0"/>
          <w:numId w:val="49"/>
        </w:numPr>
        <w:rPr>
          <w:rFonts w:cstheme="minorHAnsi"/>
        </w:rPr>
      </w:pPr>
      <w:r w:rsidRPr="00E44955">
        <w:rPr>
          <w:rFonts w:eastAsia="Times New Roman" w:cstheme="minorHAnsi"/>
          <w:color w:val="212529"/>
          <w:kern w:val="0"/>
          <w14:ligatures w14:val="none"/>
        </w:rPr>
        <w:t>An</w:t>
      </w:r>
      <w:r w:rsidR="00A61D43" w:rsidRPr="00E44955">
        <w:rPr>
          <w:rFonts w:eastAsia="Times New Roman" w:cstheme="minorHAnsi"/>
          <w:color w:val="212529"/>
          <w:kern w:val="0"/>
          <w14:ligatures w14:val="none"/>
        </w:rPr>
        <w:t xml:space="preserve"> </w:t>
      </w:r>
      <w:r>
        <w:t xml:space="preserve">individual </w:t>
      </w:r>
      <w:r w:rsidR="00A61D43" w:rsidRPr="00E44955">
        <w:rPr>
          <w:rFonts w:eastAsia="Times New Roman" w:cstheme="minorHAnsi"/>
          <w:color w:val="212529"/>
          <w:kern w:val="0"/>
          <w14:ligatures w14:val="none"/>
        </w:rPr>
        <w:t>that is</w:t>
      </w:r>
      <w:r w:rsidR="00A61D43" w:rsidRPr="00A61D43">
        <w:rPr>
          <w:rFonts w:eastAsia="Times New Roman" w:cstheme="minorHAnsi"/>
          <w:color w:val="212529"/>
          <w:kern w:val="0"/>
          <w14:ligatures w14:val="none"/>
        </w:rPr>
        <w:t xml:space="preserve"> working but receiv</w:t>
      </w:r>
      <w:r>
        <w:rPr>
          <w:rFonts w:eastAsia="Times New Roman" w:cstheme="minorHAnsi"/>
          <w:color w:val="212529"/>
          <w:kern w:val="0"/>
          <w14:ligatures w14:val="none"/>
        </w:rPr>
        <w:t>es</w:t>
      </w:r>
      <w:r w:rsidR="00A61D43" w:rsidRPr="00A61D43">
        <w:rPr>
          <w:rFonts w:eastAsia="Times New Roman" w:cstheme="minorHAnsi"/>
          <w:color w:val="212529"/>
          <w:kern w:val="0"/>
          <w14:ligatures w14:val="none"/>
        </w:rPr>
        <w:t xml:space="preserve"> a notice of termination or layoff</w:t>
      </w:r>
      <w:r>
        <w:rPr>
          <w:rFonts w:eastAsia="Times New Roman" w:cstheme="minorHAnsi"/>
          <w:color w:val="212529"/>
          <w:kern w:val="0"/>
          <w14:ligatures w14:val="none"/>
        </w:rPr>
        <w:t>,</w:t>
      </w:r>
    </w:p>
    <w:p w14:paraId="37CC2495" w14:textId="07CE3540" w:rsidR="00A61D43" w:rsidRPr="00FE458D" w:rsidRDefault="002578C1" w:rsidP="00DA0886">
      <w:pPr>
        <w:pStyle w:val="NoSpacing"/>
        <w:numPr>
          <w:ilvl w:val="0"/>
          <w:numId w:val="49"/>
        </w:numPr>
        <w:rPr>
          <w:rFonts w:cstheme="minorHAnsi"/>
        </w:rPr>
      </w:pPr>
      <w:r w:rsidRPr="00E44955">
        <w:rPr>
          <w:rFonts w:eastAsia="Times New Roman" w:cstheme="minorHAnsi"/>
          <w:color w:val="212529"/>
          <w:kern w:val="0"/>
          <w14:ligatures w14:val="none"/>
        </w:rPr>
        <w:t>An</w:t>
      </w:r>
      <w:r w:rsidR="00E44955" w:rsidRPr="00E44955">
        <w:rPr>
          <w:rFonts w:eastAsia="Times New Roman" w:cstheme="minorHAnsi"/>
          <w:color w:val="212529"/>
          <w:kern w:val="0"/>
          <w14:ligatures w14:val="none"/>
        </w:rPr>
        <w:t xml:space="preserve"> </w:t>
      </w:r>
      <w:r>
        <w:t xml:space="preserve">individual </w:t>
      </w:r>
      <w:r w:rsidR="003024D5">
        <w:rPr>
          <w:rFonts w:eastAsia="Times New Roman" w:cstheme="minorHAnsi"/>
          <w:color w:val="212529"/>
          <w:kern w:val="0"/>
          <w14:ligatures w14:val="none"/>
        </w:rPr>
        <w:t>that is</w:t>
      </w:r>
      <w:r w:rsidR="00A61D43" w:rsidRPr="00E44955">
        <w:rPr>
          <w:rFonts w:eastAsia="Times New Roman" w:cstheme="minorHAnsi"/>
          <w:color w:val="212529"/>
          <w:kern w:val="0"/>
          <w14:ligatures w14:val="none"/>
        </w:rPr>
        <w:t xml:space="preserve"> expect</w:t>
      </w:r>
      <w:r w:rsidR="003024D5">
        <w:rPr>
          <w:rFonts w:eastAsia="Times New Roman" w:cstheme="minorHAnsi"/>
          <w:color w:val="212529"/>
          <w:kern w:val="0"/>
          <w14:ligatures w14:val="none"/>
        </w:rPr>
        <w:t>ing</w:t>
      </w:r>
      <w:r w:rsidR="00A61D43" w:rsidRPr="00E44955">
        <w:rPr>
          <w:rFonts w:eastAsia="Times New Roman" w:cstheme="minorHAnsi"/>
          <w:color w:val="212529"/>
          <w:kern w:val="0"/>
          <w14:ligatures w14:val="none"/>
        </w:rPr>
        <w:t xml:space="preserve"> to lose </w:t>
      </w:r>
      <w:r w:rsidR="00FE458D">
        <w:rPr>
          <w:rFonts w:eastAsia="Times New Roman" w:cstheme="minorHAnsi"/>
          <w:color w:val="212529"/>
          <w:kern w:val="0"/>
          <w14:ligatures w14:val="none"/>
        </w:rPr>
        <w:t>income</w:t>
      </w:r>
      <w:r w:rsidR="00A61D43" w:rsidRPr="00E44955">
        <w:rPr>
          <w:rFonts w:eastAsia="Times New Roman" w:cstheme="minorHAnsi"/>
          <w:color w:val="212529"/>
          <w:kern w:val="0"/>
          <w14:ligatures w14:val="none"/>
        </w:rPr>
        <w:t xml:space="preserve"> within six months</w:t>
      </w:r>
      <w:r w:rsidR="00E44955">
        <w:rPr>
          <w:rFonts w:eastAsia="Times New Roman" w:cstheme="minorHAnsi"/>
          <w:color w:val="212529"/>
          <w:kern w:val="0"/>
          <w14:ligatures w14:val="none"/>
        </w:rPr>
        <w:t xml:space="preserve"> due to personal circumstances</w:t>
      </w:r>
      <w:r w:rsidR="00A61D43" w:rsidRPr="00E44955">
        <w:rPr>
          <w:rFonts w:eastAsia="Times New Roman" w:cstheme="minorHAnsi"/>
          <w:color w:val="212529"/>
          <w:kern w:val="0"/>
          <w14:ligatures w14:val="none"/>
        </w:rPr>
        <w:t xml:space="preserve"> (</w:t>
      </w:r>
      <w:r w:rsidR="00D76423">
        <w:rPr>
          <w:rFonts w:eastAsia="Times New Roman" w:cstheme="minorHAnsi"/>
          <w:color w:val="212529"/>
          <w:kern w:val="0"/>
          <w14:ligatures w14:val="none"/>
        </w:rPr>
        <w:t>i</w:t>
      </w:r>
      <w:r w:rsidR="00A61D43" w:rsidRPr="00E44955">
        <w:rPr>
          <w:rFonts w:eastAsia="Times New Roman" w:cstheme="minorHAnsi"/>
          <w:color w:val="212529"/>
          <w:kern w:val="0"/>
          <w14:ligatures w14:val="none"/>
        </w:rPr>
        <w:t>.</w:t>
      </w:r>
      <w:r w:rsidR="00D76423">
        <w:rPr>
          <w:rFonts w:eastAsia="Times New Roman" w:cstheme="minorHAnsi"/>
          <w:color w:val="212529"/>
          <w:kern w:val="0"/>
          <w14:ligatures w14:val="none"/>
        </w:rPr>
        <w:t>e</w:t>
      </w:r>
      <w:r w:rsidR="00A61D43" w:rsidRPr="00E44955">
        <w:rPr>
          <w:rFonts w:eastAsia="Times New Roman" w:cstheme="minorHAnsi"/>
          <w:color w:val="212529"/>
          <w:kern w:val="0"/>
          <w14:ligatures w14:val="none"/>
        </w:rPr>
        <w:t xml:space="preserve">., </w:t>
      </w:r>
      <w:r w:rsidR="00B32929">
        <w:t xml:space="preserve">transitions to part-time work for </w:t>
      </w:r>
      <w:r w:rsidR="005B7CF7">
        <w:t xml:space="preserve">childcare/eldercare purposes, </w:t>
      </w:r>
      <w:r w:rsidR="002734AA">
        <w:t xml:space="preserve">illness, </w:t>
      </w:r>
      <w:r w:rsidR="00A61D43" w:rsidRPr="00E44955">
        <w:rPr>
          <w:rFonts w:eastAsia="Times New Roman" w:cstheme="minorHAnsi"/>
          <w:color w:val="212529"/>
          <w:kern w:val="0"/>
          <w14:ligatures w14:val="none"/>
        </w:rPr>
        <w:t xml:space="preserve">spouse </w:t>
      </w:r>
      <w:r w:rsidR="00E44955">
        <w:rPr>
          <w:rFonts w:eastAsia="Times New Roman" w:cstheme="minorHAnsi"/>
          <w:color w:val="212529"/>
          <w:kern w:val="0"/>
          <w14:ligatures w14:val="none"/>
        </w:rPr>
        <w:t xml:space="preserve">loses job or </w:t>
      </w:r>
      <w:r>
        <w:rPr>
          <w:rFonts w:eastAsia="Times New Roman" w:cstheme="minorHAnsi"/>
          <w:color w:val="212529"/>
          <w:kern w:val="0"/>
          <w14:ligatures w14:val="none"/>
        </w:rPr>
        <w:t>has income reduced</w:t>
      </w:r>
      <w:r w:rsidR="002A589D">
        <w:rPr>
          <w:rFonts w:eastAsia="Times New Roman" w:cstheme="minorHAnsi"/>
          <w:color w:val="212529"/>
          <w:kern w:val="0"/>
          <w14:ligatures w14:val="none"/>
        </w:rPr>
        <w:t>, etc.</w:t>
      </w:r>
      <w:r w:rsidR="00A61D43" w:rsidRPr="00E44955">
        <w:rPr>
          <w:rFonts w:eastAsia="Times New Roman" w:cstheme="minorHAnsi"/>
          <w:color w:val="212529"/>
          <w:kern w:val="0"/>
          <w14:ligatures w14:val="none"/>
        </w:rPr>
        <w:t>)</w:t>
      </w:r>
    </w:p>
    <w:p w14:paraId="24107507" w14:textId="772A6203" w:rsidR="00FE458D" w:rsidRPr="00E75B66" w:rsidRDefault="00FE458D" w:rsidP="00DA0886">
      <w:pPr>
        <w:pStyle w:val="NoSpacing"/>
        <w:numPr>
          <w:ilvl w:val="0"/>
          <w:numId w:val="49"/>
        </w:numPr>
        <w:rPr>
          <w:rFonts w:cstheme="minorHAnsi"/>
        </w:rPr>
      </w:pPr>
      <w:r w:rsidRPr="00E44955">
        <w:rPr>
          <w:rFonts w:eastAsia="Times New Roman" w:cstheme="minorHAnsi"/>
          <w:color w:val="212529"/>
          <w:kern w:val="0"/>
          <w14:ligatures w14:val="none"/>
        </w:rPr>
        <w:t xml:space="preserve">An </w:t>
      </w:r>
      <w:r>
        <w:t xml:space="preserve">individual </w:t>
      </w:r>
      <w:r w:rsidR="003024D5">
        <w:t xml:space="preserve">that </w:t>
      </w:r>
      <w:r>
        <w:rPr>
          <w:rFonts w:eastAsia="Times New Roman" w:cstheme="minorHAnsi"/>
          <w:color w:val="212529"/>
          <w:kern w:val="0"/>
          <w14:ligatures w14:val="none"/>
        </w:rPr>
        <w:t xml:space="preserve">needs </w:t>
      </w:r>
      <w:r w:rsidR="00D76423">
        <w:rPr>
          <w:rFonts w:eastAsia="Times New Roman" w:cstheme="minorHAnsi"/>
          <w:color w:val="212529"/>
          <w:kern w:val="0"/>
          <w14:ligatures w14:val="none"/>
        </w:rPr>
        <w:t xml:space="preserve">to increase income </w:t>
      </w:r>
      <w:r w:rsidR="00D76423" w:rsidRPr="00E44955">
        <w:rPr>
          <w:rFonts w:eastAsia="Times New Roman" w:cstheme="minorHAnsi"/>
          <w:color w:val="212529"/>
          <w:kern w:val="0"/>
          <w14:ligatures w14:val="none"/>
        </w:rPr>
        <w:t>within six months</w:t>
      </w:r>
      <w:r w:rsidR="00D76423">
        <w:rPr>
          <w:rFonts w:eastAsia="Times New Roman" w:cstheme="minorHAnsi"/>
          <w:color w:val="212529"/>
          <w:kern w:val="0"/>
          <w14:ligatures w14:val="none"/>
        </w:rPr>
        <w:t xml:space="preserve"> due to personal circumstances (i</w:t>
      </w:r>
      <w:r w:rsidR="006D269B">
        <w:rPr>
          <w:rFonts w:eastAsia="Times New Roman" w:cstheme="minorHAnsi"/>
          <w:color w:val="212529"/>
          <w:kern w:val="0"/>
          <w14:ligatures w14:val="none"/>
        </w:rPr>
        <w:t xml:space="preserve">.e., </w:t>
      </w:r>
      <w:r w:rsidR="00D76423" w:rsidRPr="00E44955">
        <w:rPr>
          <w:rFonts w:eastAsia="Times New Roman" w:cstheme="minorHAnsi"/>
          <w:color w:val="212529"/>
          <w:kern w:val="0"/>
          <w14:ligatures w14:val="none"/>
        </w:rPr>
        <w:t>expecting a child</w:t>
      </w:r>
      <w:r w:rsidR="001412E8">
        <w:rPr>
          <w:rFonts w:eastAsia="Times New Roman" w:cstheme="minorHAnsi"/>
          <w:color w:val="212529"/>
          <w:kern w:val="0"/>
          <w14:ligatures w14:val="none"/>
        </w:rPr>
        <w:t>, becoming a guardian to a child, etc.</w:t>
      </w:r>
      <w:r w:rsidR="006D269B">
        <w:rPr>
          <w:rFonts w:eastAsia="Times New Roman" w:cstheme="minorHAnsi"/>
          <w:color w:val="212529"/>
          <w:kern w:val="0"/>
          <w14:ligatures w14:val="none"/>
        </w:rPr>
        <w:t>)</w:t>
      </w:r>
      <w:r w:rsidR="001412E8">
        <w:rPr>
          <w:rFonts w:eastAsia="Times New Roman" w:cstheme="minorHAnsi"/>
          <w:color w:val="212529"/>
          <w:kern w:val="0"/>
          <w14:ligatures w14:val="none"/>
        </w:rPr>
        <w:t>.</w:t>
      </w:r>
    </w:p>
    <w:p w14:paraId="552565BB" w14:textId="77777777" w:rsidR="00356AC9" w:rsidRPr="00E75B66" w:rsidRDefault="00356AC9" w:rsidP="00356AC9">
      <w:pPr>
        <w:pStyle w:val="NoSpacing"/>
        <w:rPr>
          <w:sz w:val="12"/>
          <w:szCs w:val="12"/>
        </w:rPr>
      </w:pPr>
    </w:p>
    <w:p w14:paraId="620218C8" w14:textId="5EDA9D77" w:rsidR="00862F53" w:rsidRPr="003B20D6" w:rsidRDefault="003037EF" w:rsidP="005E4117">
      <w:pPr>
        <w:pStyle w:val="NoSpacing"/>
        <w:rPr>
          <w:b/>
          <w:bCs/>
          <w:u w:val="single"/>
        </w:rPr>
      </w:pPr>
      <w:r w:rsidRPr="003B20D6">
        <w:rPr>
          <w:b/>
          <w:bCs/>
          <w:u w:val="single"/>
        </w:rPr>
        <w:t>Defining</w:t>
      </w:r>
      <w:r w:rsidR="00862F53" w:rsidRPr="003B20D6">
        <w:rPr>
          <w:b/>
          <w:bCs/>
          <w:u w:val="single"/>
        </w:rPr>
        <w:t xml:space="preserve"> </w:t>
      </w:r>
      <w:r w:rsidR="00D30013" w:rsidRPr="003B20D6">
        <w:rPr>
          <w:b/>
          <w:bCs/>
          <w:u w:val="single"/>
        </w:rPr>
        <w:t xml:space="preserve">Economic </w:t>
      </w:r>
      <w:r w:rsidR="00862F53" w:rsidRPr="003B20D6">
        <w:rPr>
          <w:b/>
          <w:bCs/>
          <w:u w:val="single"/>
        </w:rPr>
        <w:t>Self-Sufficiency</w:t>
      </w:r>
      <w:r w:rsidR="00D30013" w:rsidRPr="003B20D6">
        <w:rPr>
          <w:b/>
          <w:bCs/>
          <w:u w:val="single"/>
        </w:rPr>
        <w:t>:</w:t>
      </w:r>
    </w:p>
    <w:p w14:paraId="30664189" w14:textId="3AB71D22" w:rsidR="003C5015" w:rsidRPr="003B20D6" w:rsidRDefault="00B170D9" w:rsidP="008B15B6">
      <w:pPr>
        <w:pStyle w:val="NoSpacing"/>
      </w:pPr>
      <w:r w:rsidRPr="003B20D6">
        <w:rPr>
          <w:i/>
          <w:iCs/>
        </w:rPr>
        <w:t>Economic Self-Sufficiency</w:t>
      </w:r>
      <w:r w:rsidR="00B44EEB" w:rsidRPr="003B20D6">
        <w:t xml:space="preserve"> </w:t>
      </w:r>
      <w:r w:rsidR="00EE7BF7" w:rsidRPr="003B20D6">
        <w:t>means</w:t>
      </w:r>
      <w:r w:rsidR="001A6F0B" w:rsidRPr="003B20D6">
        <w:t xml:space="preserve"> a </w:t>
      </w:r>
      <w:r w:rsidR="0067396E" w:rsidRPr="003B20D6">
        <w:t>total family income</w:t>
      </w:r>
      <w:r w:rsidR="003C5015" w:rsidRPr="003B20D6">
        <w:t xml:space="preserve"> </w:t>
      </w:r>
      <w:r w:rsidR="00862F53" w:rsidRPr="003B20D6">
        <w:t xml:space="preserve">that pays </w:t>
      </w:r>
      <w:r w:rsidR="00A5775E" w:rsidRPr="003B20D6">
        <w:rPr>
          <w:u w:val="single"/>
        </w:rPr>
        <w:t>no less</w:t>
      </w:r>
      <w:r w:rsidR="00A5775E" w:rsidRPr="003B20D6">
        <w:t xml:space="preserve"> </w:t>
      </w:r>
      <w:bookmarkStart w:id="5" w:name="_Hlk187320125"/>
      <w:r w:rsidR="00A5775E" w:rsidRPr="003B20D6">
        <w:t xml:space="preserve">than </w:t>
      </w:r>
      <w:r w:rsidR="00A47246" w:rsidRPr="003B20D6">
        <w:t>the</w:t>
      </w:r>
      <w:r w:rsidR="00364111" w:rsidRPr="003B20D6">
        <w:t xml:space="preserve"> </w:t>
      </w:r>
      <w:bookmarkStart w:id="6" w:name="_Hlk187320909"/>
      <w:r w:rsidR="00364111" w:rsidRPr="003B20D6">
        <w:t>curren</w:t>
      </w:r>
      <w:r w:rsidR="00615460" w:rsidRPr="003B20D6">
        <w:t xml:space="preserve">t </w:t>
      </w:r>
      <w:r w:rsidR="005E2410" w:rsidRPr="003B20D6">
        <w:rPr>
          <w:u w:val="single"/>
        </w:rPr>
        <w:t>100</w:t>
      </w:r>
      <w:r w:rsidR="006C453F" w:rsidRPr="003B20D6">
        <w:rPr>
          <w:u w:val="single"/>
        </w:rPr>
        <w:t xml:space="preserve">% </w:t>
      </w:r>
      <w:r w:rsidR="00A47246" w:rsidRPr="003B20D6">
        <w:rPr>
          <w:u w:val="single"/>
        </w:rPr>
        <w:t>level</w:t>
      </w:r>
      <w:r w:rsidR="00A47246" w:rsidRPr="003B20D6">
        <w:t xml:space="preserve"> </w:t>
      </w:r>
      <w:r w:rsidR="006C453F" w:rsidRPr="003B20D6">
        <w:t>of the</w:t>
      </w:r>
      <w:r w:rsidR="00A5775E" w:rsidRPr="003B20D6">
        <w:t xml:space="preserve"> Lower Living Standard Income Level (LLSIL) Guidelines issued by the U.S. Department of Labor</w:t>
      </w:r>
      <w:r w:rsidR="00F929F9" w:rsidRPr="003B20D6">
        <w:t xml:space="preserve"> (DOL)</w:t>
      </w:r>
      <w:bookmarkEnd w:id="5"/>
      <w:r w:rsidR="001D0BF4" w:rsidRPr="003B20D6">
        <w:t>.</w:t>
      </w:r>
      <w:bookmarkEnd w:id="6"/>
      <w:r w:rsidR="00E133C1" w:rsidRPr="003B20D6">
        <w:rPr>
          <w:rStyle w:val="FootnoteReference"/>
        </w:rPr>
        <w:footnoteReference w:id="10"/>
      </w:r>
    </w:p>
    <w:p w14:paraId="1DBB5BDB" w14:textId="77777777" w:rsidR="007574F2" w:rsidRPr="003B20D6" w:rsidRDefault="007574F2" w:rsidP="008B15B6">
      <w:pPr>
        <w:pStyle w:val="NoSpacing"/>
        <w:rPr>
          <w:sz w:val="12"/>
          <w:szCs w:val="12"/>
        </w:rPr>
      </w:pPr>
    </w:p>
    <w:p w14:paraId="3E465594" w14:textId="2188E139" w:rsidR="007574F2" w:rsidRDefault="007574F2" w:rsidP="007574F2">
      <w:pPr>
        <w:pStyle w:val="NoSpacing"/>
      </w:pPr>
      <w:r w:rsidRPr="003B20D6">
        <w:rPr>
          <w:i/>
          <w:iCs/>
        </w:rPr>
        <w:t>Economic Self-Sufficiency</w:t>
      </w:r>
      <w:r w:rsidRPr="003B20D6">
        <w:t xml:space="preserve"> should</w:t>
      </w:r>
      <w:r>
        <w:t>:</w:t>
      </w:r>
    </w:p>
    <w:p w14:paraId="458EEF1A" w14:textId="4FAC1160" w:rsidR="00D65CC7" w:rsidRDefault="00754399" w:rsidP="00DA0886">
      <w:pPr>
        <w:pStyle w:val="NoSpacing"/>
        <w:numPr>
          <w:ilvl w:val="0"/>
          <w:numId w:val="46"/>
        </w:numPr>
      </w:pPr>
      <w:r>
        <w:t>Be achieved</w:t>
      </w:r>
      <w:r w:rsidR="00D65CC7">
        <w:t xml:space="preserve"> without having </w:t>
      </w:r>
      <w:r w:rsidR="00D65CC7" w:rsidRPr="00EE2F52">
        <w:t>public or private assistance</w:t>
      </w:r>
      <w:r w:rsidR="00D65CC7">
        <w:t>,</w:t>
      </w:r>
    </w:p>
    <w:p w14:paraId="022F970A" w14:textId="4F39BC6D" w:rsidR="009F4680" w:rsidRDefault="009F4680" w:rsidP="00DA0886">
      <w:pPr>
        <w:pStyle w:val="NoSpacing"/>
        <w:numPr>
          <w:ilvl w:val="0"/>
          <w:numId w:val="46"/>
        </w:numPr>
      </w:pPr>
      <w:r>
        <w:t>Be calculated considering some</w:t>
      </w:r>
      <w:r w:rsidR="00AE31F2">
        <w:t xml:space="preserve">one’s </w:t>
      </w:r>
      <w:r w:rsidR="009353BF" w:rsidRPr="009353BF">
        <w:rPr>
          <w:i/>
          <w:iCs/>
        </w:rPr>
        <w:t>Family</w:t>
      </w:r>
      <w:r w:rsidR="009353BF">
        <w:rPr>
          <w:i/>
          <w:iCs/>
        </w:rPr>
        <w:t xml:space="preserve"> </w:t>
      </w:r>
      <w:r w:rsidR="009353BF">
        <w:t>size</w:t>
      </w:r>
      <w:r w:rsidR="00AE31F2">
        <w:t>.</w:t>
      </w:r>
    </w:p>
    <w:p w14:paraId="6B44DE81" w14:textId="6CDF4E2C" w:rsidR="007574F2" w:rsidRDefault="007574F2" w:rsidP="00DA0886">
      <w:pPr>
        <w:pStyle w:val="NoSpacing"/>
        <w:numPr>
          <w:ilvl w:val="0"/>
          <w:numId w:val="46"/>
        </w:numPr>
      </w:pPr>
      <w:r>
        <w:t xml:space="preserve">For those living alone (household of one) </w:t>
      </w:r>
      <w:r w:rsidR="00754399">
        <w:t>b</w:t>
      </w:r>
      <w:r>
        <w:t xml:space="preserve">e </w:t>
      </w:r>
      <w:r w:rsidR="00754399">
        <w:t xml:space="preserve">achieved </w:t>
      </w:r>
      <w:r>
        <w:t>without having to work multiple jobs. One job should provide enough income to be e</w:t>
      </w:r>
      <w:r w:rsidRPr="00C3548F">
        <w:t>conomic</w:t>
      </w:r>
      <w:r>
        <w:t>ally</w:t>
      </w:r>
      <w:r w:rsidRPr="00C3548F">
        <w:t xml:space="preserve"> </w:t>
      </w:r>
      <w:r>
        <w:t>s</w:t>
      </w:r>
      <w:r w:rsidRPr="00C3548F">
        <w:t>elf-</w:t>
      </w:r>
      <w:r>
        <w:t>s</w:t>
      </w:r>
      <w:r w:rsidRPr="00C3548F">
        <w:t>ufficie</w:t>
      </w:r>
      <w:r>
        <w:t>nt</w:t>
      </w:r>
      <w:r w:rsidR="00754399">
        <w:t>.</w:t>
      </w:r>
    </w:p>
    <w:p w14:paraId="61DBFD0C" w14:textId="77777777" w:rsidR="00C219C8" w:rsidRPr="005F08D6" w:rsidRDefault="00C219C8" w:rsidP="008B15B6">
      <w:pPr>
        <w:pStyle w:val="NoSpacing"/>
        <w:rPr>
          <w:sz w:val="12"/>
          <w:szCs w:val="12"/>
        </w:rPr>
      </w:pPr>
    </w:p>
    <w:p w14:paraId="2C65CF7C" w14:textId="592C92FC" w:rsidR="00EE558D" w:rsidRDefault="00AC41E3" w:rsidP="00136DE8">
      <w:pPr>
        <w:pStyle w:val="NoSpacing"/>
      </w:pPr>
      <w:r>
        <w:t>L</w:t>
      </w:r>
      <w:r w:rsidRPr="000F43A8">
        <w:t xml:space="preserve">ocal </w:t>
      </w:r>
      <w:r w:rsidR="005C5874">
        <w:t xml:space="preserve">Boards </w:t>
      </w:r>
      <w:r w:rsidR="00862F53" w:rsidRPr="00807CD1">
        <w:rPr>
          <w:u w:val="single"/>
        </w:rPr>
        <w:t>may</w:t>
      </w:r>
      <w:r w:rsidR="00862F53" w:rsidRPr="00862F53">
        <w:t xml:space="preserve"> use </w:t>
      </w:r>
      <w:r w:rsidR="005C5874">
        <w:t xml:space="preserve">the </w:t>
      </w:r>
      <w:r w:rsidR="00862F53" w:rsidRPr="00862F53">
        <w:t>definition as outlined in this policy. However,</w:t>
      </w:r>
      <w:r w:rsidR="00482233">
        <w:t xml:space="preserve"> </w:t>
      </w:r>
      <w:r w:rsidR="005C5874">
        <w:t>local Boards can</w:t>
      </w:r>
      <w:r w:rsidRPr="00862F53">
        <w:t xml:space="preserve"> </w:t>
      </w:r>
      <w:r w:rsidR="00862F53" w:rsidRPr="00862F53">
        <w:t>set a higher level through their local policy</w:t>
      </w:r>
      <w:r w:rsidR="00E31181">
        <w:t>,</w:t>
      </w:r>
      <w:r w:rsidR="005B5E51">
        <w:t xml:space="preserve"> (</w:t>
      </w:r>
      <w:r w:rsidR="00AA1AC0">
        <w:t xml:space="preserve">See </w:t>
      </w:r>
      <w:r w:rsidR="00E31181">
        <w:t>“</w:t>
      </w:r>
      <w:r w:rsidR="00AA1AC0">
        <w:t>App</w:t>
      </w:r>
      <w:r w:rsidR="009216D4">
        <w:t xml:space="preserve">endix </w:t>
      </w:r>
      <w:r w:rsidR="00B67034">
        <w:t>Four</w:t>
      </w:r>
      <w:r w:rsidR="009216D4">
        <w:t xml:space="preserve">: </w:t>
      </w:r>
      <w:r w:rsidR="009216D4" w:rsidRPr="009216D4">
        <w:t>Economic Self-Sufficiency</w:t>
      </w:r>
      <w:r w:rsidR="009216D4">
        <w:t xml:space="preserve"> Resources</w:t>
      </w:r>
      <w:r w:rsidR="00E31181">
        <w:t>” at the bottom of this policy</w:t>
      </w:r>
      <w:r w:rsidR="009216D4">
        <w:t xml:space="preserve"> for additional information</w:t>
      </w:r>
      <w:r w:rsidR="005B5E51">
        <w:t>)</w:t>
      </w:r>
      <w:r w:rsidR="009216D4">
        <w:t>.</w:t>
      </w:r>
    </w:p>
    <w:p w14:paraId="1409F1A9" w14:textId="77777777" w:rsidR="00EE558D" w:rsidRPr="00AC41E3" w:rsidRDefault="00EE558D" w:rsidP="00136DE8">
      <w:pPr>
        <w:pStyle w:val="NoSpacing"/>
        <w:rPr>
          <w:sz w:val="12"/>
          <w:szCs w:val="12"/>
        </w:rPr>
      </w:pPr>
    </w:p>
    <w:p w14:paraId="73DB2303" w14:textId="54FF08F2" w:rsidR="00AC41E3" w:rsidRPr="00AC41E3" w:rsidRDefault="00AC41E3" w:rsidP="00AC41E3">
      <w:pPr>
        <w:pStyle w:val="NoSpacing"/>
        <w:rPr>
          <w:b/>
          <w:bCs/>
          <w:u w:val="single"/>
        </w:rPr>
      </w:pPr>
      <w:r w:rsidRPr="00AC41E3">
        <w:rPr>
          <w:b/>
          <w:bCs/>
          <w:u w:val="single"/>
        </w:rPr>
        <w:t>Requirements for Local</w:t>
      </w:r>
      <w:r w:rsidR="005C5874">
        <w:rPr>
          <w:b/>
          <w:bCs/>
          <w:u w:val="single"/>
        </w:rPr>
        <w:t xml:space="preserve"> Boards</w:t>
      </w:r>
      <w:r w:rsidRPr="00AC41E3">
        <w:rPr>
          <w:b/>
          <w:bCs/>
          <w:u w:val="single"/>
        </w:rPr>
        <w:t xml:space="preserve"> Defining Economic Self-Sufficiency Definitions:</w:t>
      </w:r>
    </w:p>
    <w:p w14:paraId="6C33A4D9" w14:textId="1E0FC390" w:rsidR="00AC41E3" w:rsidRDefault="00AC41E3" w:rsidP="00334D24">
      <w:pPr>
        <w:pStyle w:val="NoSpacing"/>
      </w:pPr>
      <w:r>
        <w:t xml:space="preserve">Local policies that define a higher level of </w:t>
      </w:r>
      <w:r w:rsidRPr="00AC41E3">
        <w:t>Economic Self-Sufficiency</w:t>
      </w:r>
      <w:r>
        <w:t xml:space="preserve"> must </w:t>
      </w:r>
      <w:r w:rsidRPr="00AC41E3">
        <w:t>adopt, calculate, or commission for approval, economic self-sufficiency standards</w:t>
      </w:r>
      <w:r>
        <w:t xml:space="preserve"> that</w:t>
      </w:r>
      <w:r w:rsidRPr="00AC41E3">
        <w:t xml:space="preserve"> </w:t>
      </w:r>
      <w:r>
        <w:t>s</w:t>
      </w:r>
      <w:r w:rsidRPr="00AC41E3">
        <w:t>pecify the income needs of families, by family size, the number, and ages of children in the family, and sub-State geographical considerations</w:t>
      </w:r>
      <w:r>
        <w:rPr>
          <w:rStyle w:val="FootnoteReference"/>
        </w:rPr>
        <w:footnoteReference w:id="11"/>
      </w:r>
      <w:r w:rsidR="00E133C1">
        <w:t xml:space="preserve"> </w:t>
      </w:r>
      <w:r>
        <w:t xml:space="preserve">Local </w:t>
      </w:r>
      <w:r w:rsidR="005C5874">
        <w:t>Boards</w:t>
      </w:r>
      <w:r>
        <w:t xml:space="preserve"> may use WIOA Title I funds to </w:t>
      </w:r>
      <w:r w:rsidR="002666EA">
        <w:t xml:space="preserve">help </w:t>
      </w:r>
      <w:r w:rsidR="002666EA" w:rsidRPr="00AC41E3">
        <w:t xml:space="preserve">adopt calculate, or commission for approval, </w:t>
      </w:r>
      <w:r w:rsidR="002666EA">
        <w:t xml:space="preserve">local </w:t>
      </w:r>
      <w:r w:rsidR="002666EA" w:rsidRPr="00AC41E3">
        <w:t>economic self-sufficiency standards</w:t>
      </w:r>
      <w:r w:rsidR="002666EA">
        <w:t>.</w:t>
      </w:r>
      <w:r w:rsidR="002666EA">
        <w:rPr>
          <w:rStyle w:val="FootnoteReference"/>
        </w:rPr>
        <w:footnoteReference w:id="12"/>
      </w:r>
    </w:p>
    <w:p w14:paraId="4734494B" w14:textId="77777777" w:rsidR="009744FA" w:rsidRDefault="009744FA" w:rsidP="009744FA">
      <w:pPr>
        <w:pStyle w:val="NoSpacing"/>
        <w:rPr>
          <w:sz w:val="12"/>
          <w:szCs w:val="12"/>
        </w:rPr>
      </w:pPr>
    </w:p>
    <w:p w14:paraId="4B4B3BED" w14:textId="00624BC9" w:rsidR="009744FA" w:rsidRPr="009744FA" w:rsidRDefault="009744FA" w:rsidP="009744FA">
      <w:pPr>
        <w:pStyle w:val="NoSpacing"/>
        <w:rPr>
          <w:b/>
          <w:bCs/>
          <w:u w:val="single"/>
        </w:rPr>
      </w:pPr>
      <w:r w:rsidRPr="009744FA">
        <w:rPr>
          <w:b/>
          <w:bCs/>
          <w:u w:val="single"/>
        </w:rPr>
        <w:t>Related Links:</w:t>
      </w:r>
    </w:p>
    <w:p w14:paraId="29C4B709" w14:textId="7D655D19" w:rsidR="009744FA" w:rsidRPr="009744FA" w:rsidRDefault="00A50B54" w:rsidP="009744FA">
      <w:pPr>
        <w:pStyle w:val="NoSpacing"/>
        <w:numPr>
          <w:ilvl w:val="0"/>
          <w:numId w:val="61"/>
        </w:numPr>
        <w:rPr>
          <w:b/>
          <w:bCs/>
          <w:u w:val="single"/>
        </w:rPr>
      </w:pPr>
      <w:hyperlink r:id="rId8" w:history="1">
        <w:r w:rsidR="009744FA" w:rsidRPr="00A50B54">
          <w:rPr>
            <w:rStyle w:val="Hyperlink"/>
            <w:shd w:val="clear" w:color="auto" w:fill="FFFFFF"/>
          </w:rPr>
          <w:t>Dislocated Worker and Federal Adult Programs (DWFAP) Definitions</w:t>
        </w:r>
      </w:hyperlink>
    </w:p>
    <w:p w14:paraId="7B428EBD" w14:textId="77777777" w:rsidR="009744FA" w:rsidRDefault="009744FA" w:rsidP="009744FA">
      <w:pPr>
        <w:pStyle w:val="NoSpacing"/>
        <w:rPr>
          <w:sz w:val="28"/>
          <w:szCs w:val="28"/>
        </w:rPr>
      </w:pPr>
    </w:p>
    <w:p w14:paraId="757D539B" w14:textId="77777777" w:rsidR="009744FA" w:rsidRDefault="009744FA" w:rsidP="009744FA">
      <w:pPr>
        <w:pStyle w:val="NoSpacing"/>
        <w:rPr>
          <w:b/>
          <w:bCs/>
          <w:sz w:val="28"/>
          <w:szCs w:val="28"/>
          <w:u w:val="single"/>
        </w:rPr>
      </w:pPr>
    </w:p>
    <w:p w14:paraId="75731F27" w14:textId="77777777" w:rsidR="009744FA" w:rsidRDefault="009744FA" w:rsidP="00A50B54">
      <w:pPr>
        <w:pStyle w:val="NoSpacing"/>
        <w:rPr>
          <w:b/>
          <w:bCs/>
          <w:sz w:val="28"/>
          <w:szCs w:val="28"/>
          <w:u w:val="single"/>
        </w:rPr>
      </w:pPr>
    </w:p>
    <w:p w14:paraId="100B22B6" w14:textId="77777777" w:rsidR="009744FA" w:rsidRDefault="009744FA" w:rsidP="00791295">
      <w:pPr>
        <w:pStyle w:val="NoSpacing"/>
        <w:jc w:val="center"/>
        <w:rPr>
          <w:b/>
          <w:bCs/>
          <w:sz w:val="28"/>
          <w:szCs w:val="28"/>
          <w:u w:val="single"/>
        </w:rPr>
      </w:pPr>
    </w:p>
    <w:p w14:paraId="3A77896B" w14:textId="5C7F05B7" w:rsidR="00440706" w:rsidRPr="00A50B54" w:rsidRDefault="00B62DC0" w:rsidP="00791295">
      <w:pPr>
        <w:pStyle w:val="NoSpacing"/>
        <w:jc w:val="center"/>
        <w:rPr>
          <w:rFonts w:eastAsia="Times New Roman" w:cstheme="minorHAnsi"/>
          <w:b/>
          <w:bCs/>
          <w:kern w:val="0"/>
          <w:sz w:val="24"/>
          <w:szCs w:val="24"/>
          <w:u w:val="single"/>
          <w14:ligatures w14:val="none"/>
        </w:rPr>
      </w:pPr>
      <w:r w:rsidRPr="00A50B54">
        <w:rPr>
          <w:b/>
          <w:bCs/>
          <w:sz w:val="24"/>
          <w:szCs w:val="24"/>
          <w:u w:val="single"/>
        </w:rPr>
        <w:lastRenderedPageBreak/>
        <w:t>Appendix One</w:t>
      </w:r>
      <w:r w:rsidRPr="00A50B54">
        <w:rPr>
          <w:rFonts w:eastAsia="Times New Roman" w:cstheme="minorHAnsi"/>
          <w:b/>
          <w:bCs/>
          <w:kern w:val="0"/>
          <w:sz w:val="24"/>
          <w:szCs w:val="24"/>
          <w:u w:val="single"/>
          <w14:ligatures w14:val="none"/>
        </w:rPr>
        <w:t xml:space="preserve">: </w:t>
      </w:r>
      <w:r w:rsidR="00136DE8" w:rsidRPr="00A50B54">
        <w:rPr>
          <w:rFonts w:eastAsia="Times New Roman" w:cstheme="minorHAnsi"/>
          <w:b/>
          <w:bCs/>
          <w:kern w:val="0"/>
          <w:sz w:val="24"/>
          <w:szCs w:val="24"/>
          <w:u w:val="single"/>
          <w14:ligatures w14:val="none"/>
        </w:rPr>
        <w:t>Economic Self-Sufficiency</w:t>
      </w:r>
      <w:r w:rsidR="004A21DA" w:rsidRPr="00A50B54">
        <w:rPr>
          <w:rFonts w:eastAsia="Times New Roman" w:cstheme="minorHAnsi"/>
          <w:b/>
          <w:bCs/>
          <w:kern w:val="0"/>
          <w:sz w:val="24"/>
          <w:szCs w:val="24"/>
          <w:u w:val="single"/>
          <w14:ligatures w14:val="none"/>
        </w:rPr>
        <w:t xml:space="preserve"> </w:t>
      </w:r>
      <w:r w:rsidR="006C70BE" w:rsidRPr="00A50B54">
        <w:rPr>
          <w:rFonts w:eastAsia="Times New Roman" w:cstheme="minorHAnsi"/>
          <w:b/>
          <w:bCs/>
          <w:kern w:val="0"/>
          <w:sz w:val="24"/>
          <w:szCs w:val="24"/>
          <w:u w:val="single"/>
          <w14:ligatures w14:val="none"/>
        </w:rPr>
        <w:t>Guidelines</w:t>
      </w:r>
    </w:p>
    <w:p w14:paraId="61DCD5A4" w14:textId="19911E44" w:rsidR="00440706" w:rsidRPr="008F5C7A" w:rsidRDefault="00440706" w:rsidP="00136DE8">
      <w:pPr>
        <w:pStyle w:val="NoSpacing"/>
        <w:rPr>
          <w:i/>
          <w:iCs/>
        </w:rPr>
      </w:pPr>
      <w:r>
        <w:rPr>
          <w:rFonts w:eastAsia="Times New Roman" w:cstheme="minorHAnsi"/>
          <w:kern w:val="0"/>
          <w14:ligatures w14:val="none"/>
        </w:rPr>
        <w:t>U</w:t>
      </w:r>
      <w:r w:rsidRPr="006C049B">
        <w:rPr>
          <w:rFonts w:eastAsia="Times New Roman" w:cstheme="minorHAnsi"/>
          <w:kern w:val="0"/>
          <w14:ligatures w14:val="none"/>
        </w:rPr>
        <w:t xml:space="preserve">se </w:t>
      </w:r>
      <w:r w:rsidR="008F5C7A">
        <w:rPr>
          <w:rFonts w:eastAsia="Times New Roman" w:cstheme="minorHAnsi"/>
          <w:kern w:val="0"/>
          <w14:ligatures w14:val="none"/>
        </w:rPr>
        <w:t xml:space="preserve">the </w:t>
      </w:r>
      <w:r w:rsidR="00A10F16">
        <w:rPr>
          <w:rFonts w:eastAsia="Times New Roman" w:cstheme="minorHAnsi"/>
          <w:kern w:val="0"/>
          <w14:ligatures w14:val="none"/>
        </w:rPr>
        <w:t xml:space="preserve">100% level of the </w:t>
      </w:r>
      <w:r w:rsidR="00AB2145">
        <w:t>L</w:t>
      </w:r>
      <w:r w:rsidR="00AB2145" w:rsidRPr="00862F53">
        <w:t xml:space="preserve">ower </w:t>
      </w:r>
      <w:r w:rsidR="00AB2145">
        <w:t>L</w:t>
      </w:r>
      <w:r w:rsidR="00AB2145" w:rsidRPr="00862F53">
        <w:t xml:space="preserve">iving </w:t>
      </w:r>
      <w:r w:rsidR="00AB2145">
        <w:t>S</w:t>
      </w:r>
      <w:r w:rsidR="00AB2145" w:rsidRPr="00862F53">
        <w:t xml:space="preserve">tandard </w:t>
      </w:r>
      <w:r w:rsidR="00AB2145">
        <w:t>I</w:t>
      </w:r>
      <w:r w:rsidR="00AB2145" w:rsidRPr="00862F53">
        <w:t xml:space="preserve">ncome </w:t>
      </w:r>
      <w:r w:rsidR="00AB2145">
        <w:t>L</w:t>
      </w:r>
      <w:r w:rsidR="00AB2145" w:rsidRPr="00862F53">
        <w:t>evel</w:t>
      </w:r>
      <w:r w:rsidR="00AB2145">
        <w:t xml:space="preserve"> (LLSIL) Guidelines </w:t>
      </w:r>
      <w:r w:rsidR="00AE31F2">
        <w:t xml:space="preserve">issued by the U.S. Department of Labor </w:t>
      </w:r>
      <w:r w:rsidR="00962F91">
        <w:rPr>
          <w:rFonts w:eastAsia="Times New Roman" w:cstheme="minorHAnsi"/>
          <w:kern w:val="0"/>
          <w14:ligatures w14:val="none"/>
        </w:rPr>
        <w:t xml:space="preserve">below </w:t>
      </w:r>
      <w:r w:rsidRPr="006C049B">
        <w:rPr>
          <w:rFonts w:eastAsia="Times New Roman" w:cstheme="minorHAnsi"/>
          <w:kern w:val="0"/>
          <w14:ligatures w14:val="none"/>
        </w:rPr>
        <w:t xml:space="preserve">to determine the minimum </w:t>
      </w:r>
      <w:r w:rsidR="006F3DAA">
        <w:rPr>
          <w:rFonts w:eastAsia="Times New Roman" w:cstheme="minorHAnsi"/>
          <w:kern w:val="0"/>
          <w14:ligatures w14:val="none"/>
        </w:rPr>
        <w:t>total</w:t>
      </w:r>
      <w:r w:rsidR="008F5C7A">
        <w:rPr>
          <w:rFonts w:eastAsia="Times New Roman" w:cstheme="minorHAnsi"/>
          <w:kern w:val="0"/>
          <w14:ligatures w14:val="none"/>
        </w:rPr>
        <w:t xml:space="preserve"> family income needed </w:t>
      </w:r>
      <w:r w:rsidR="001A4A62">
        <w:rPr>
          <w:rFonts w:eastAsia="Times New Roman" w:cstheme="minorHAnsi"/>
          <w:kern w:val="0"/>
          <w14:ligatures w14:val="none"/>
        </w:rPr>
        <w:t>to be</w:t>
      </w:r>
      <w:r w:rsidR="00B67034">
        <w:rPr>
          <w:rFonts w:eastAsia="Times New Roman" w:cstheme="minorHAnsi"/>
          <w:kern w:val="0"/>
          <w14:ligatures w14:val="none"/>
        </w:rPr>
        <w:t xml:space="preserve"> </w:t>
      </w:r>
      <w:r w:rsidR="00B67034">
        <w:t>e</w:t>
      </w:r>
      <w:r w:rsidR="00B67034" w:rsidRPr="00B67034">
        <w:t>conomic</w:t>
      </w:r>
      <w:r w:rsidR="00B67034">
        <w:t>ally</w:t>
      </w:r>
      <w:r w:rsidR="00B67034" w:rsidRPr="00B67034">
        <w:t xml:space="preserve"> </w:t>
      </w:r>
      <w:r w:rsidR="00B67034">
        <w:t>s</w:t>
      </w:r>
      <w:r w:rsidR="00B67034" w:rsidRPr="00B67034">
        <w:t>elf-</w:t>
      </w:r>
      <w:r w:rsidR="00B67034">
        <w:t>s</w:t>
      </w:r>
      <w:r w:rsidR="00B67034" w:rsidRPr="00B67034">
        <w:t>ufficient</w:t>
      </w:r>
      <w:r w:rsidR="001A4A62">
        <w:t>. You can</w:t>
      </w:r>
      <w:r>
        <w:rPr>
          <w:rFonts w:eastAsia="Times New Roman" w:cstheme="minorHAnsi"/>
          <w:kern w:val="0"/>
          <w14:ligatures w14:val="none"/>
        </w:rPr>
        <w:t xml:space="preserve"> </w:t>
      </w:r>
      <w:r w:rsidRPr="006C049B">
        <w:rPr>
          <w:rFonts w:eastAsia="Times New Roman" w:cstheme="minorHAnsi"/>
          <w:kern w:val="0"/>
          <w14:ligatures w14:val="none"/>
        </w:rPr>
        <w:t>locat</w:t>
      </w:r>
      <w:r w:rsidR="001A4A62">
        <w:rPr>
          <w:rFonts w:eastAsia="Times New Roman" w:cstheme="minorHAnsi"/>
          <w:kern w:val="0"/>
          <w14:ligatures w14:val="none"/>
        </w:rPr>
        <w:t>e</w:t>
      </w:r>
      <w:r w:rsidRPr="006C049B">
        <w:rPr>
          <w:rFonts w:eastAsia="Times New Roman" w:cstheme="minorHAnsi"/>
          <w:kern w:val="0"/>
          <w14:ligatures w14:val="none"/>
        </w:rPr>
        <w:t xml:space="preserve"> the corresponding </w:t>
      </w:r>
      <w:r>
        <w:rPr>
          <w:rFonts w:eastAsia="Times New Roman" w:cstheme="minorHAnsi"/>
          <w:kern w:val="0"/>
          <w14:ligatures w14:val="none"/>
        </w:rPr>
        <w:t>income</w:t>
      </w:r>
      <w:r w:rsidRPr="006C049B">
        <w:rPr>
          <w:rFonts w:eastAsia="Times New Roman" w:cstheme="minorHAnsi"/>
          <w:kern w:val="0"/>
          <w14:ligatures w14:val="none"/>
        </w:rPr>
        <w:t xml:space="preserve"> </w:t>
      </w:r>
      <w:r w:rsidR="00962B65">
        <w:rPr>
          <w:rFonts w:eastAsia="Times New Roman" w:cstheme="minorHAnsi"/>
          <w:kern w:val="0"/>
          <w14:ligatures w14:val="none"/>
        </w:rPr>
        <w:t>to the</w:t>
      </w:r>
      <w:r w:rsidRPr="006C049B">
        <w:rPr>
          <w:rFonts w:eastAsia="Times New Roman" w:cstheme="minorHAnsi"/>
          <w:kern w:val="0"/>
          <w14:ligatures w14:val="none"/>
        </w:rPr>
        <w:t xml:space="preserve"> </w:t>
      </w:r>
      <w:r>
        <w:rPr>
          <w:rFonts w:eastAsia="Times New Roman" w:cstheme="minorHAnsi"/>
          <w:kern w:val="0"/>
          <w14:ligatures w14:val="none"/>
        </w:rPr>
        <w:t>household/</w:t>
      </w:r>
      <w:r w:rsidRPr="006C049B">
        <w:rPr>
          <w:rFonts w:eastAsia="Times New Roman" w:cstheme="minorHAnsi"/>
          <w:kern w:val="0"/>
          <w14:ligatures w14:val="none"/>
        </w:rPr>
        <w:t xml:space="preserve">family </w:t>
      </w:r>
      <w:r>
        <w:rPr>
          <w:rFonts w:eastAsia="Times New Roman" w:cstheme="minorHAnsi"/>
          <w:kern w:val="0"/>
          <w14:ligatures w14:val="none"/>
        </w:rPr>
        <w:t>size</w:t>
      </w:r>
      <w:r w:rsidRPr="006C049B">
        <w:rPr>
          <w:rFonts w:eastAsia="Times New Roman" w:cstheme="minorHAnsi"/>
          <w:kern w:val="0"/>
          <w14:ligatures w14:val="none"/>
        </w:rPr>
        <w:t xml:space="preserve"> in the appropriate column.</w:t>
      </w:r>
      <w:r w:rsidR="00963A9A">
        <w:rPr>
          <w:rFonts w:eastAsia="Times New Roman" w:cstheme="minorHAnsi"/>
          <w:kern w:val="0"/>
          <w14:ligatures w14:val="none"/>
        </w:rPr>
        <w:t xml:space="preserve"> If an </w:t>
      </w:r>
      <w:r w:rsidR="004E75D2">
        <w:t>individual’s</w:t>
      </w:r>
      <w:r w:rsidR="004E75D2" w:rsidRPr="006C049B">
        <w:t xml:space="preserve"> </w:t>
      </w:r>
      <w:r w:rsidR="004E75D2">
        <w:rPr>
          <w:rFonts w:eastAsia="Times New Roman" w:cstheme="minorHAnsi"/>
          <w:kern w:val="0"/>
          <w14:ligatures w14:val="none"/>
        </w:rPr>
        <w:t xml:space="preserve">total family income is below the </w:t>
      </w:r>
      <w:r w:rsidR="000747A0">
        <w:rPr>
          <w:rFonts w:eastAsia="Times New Roman" w:cstheme="minorHAnsi"/>
          <w:kern w:val="0"/>
          <w14:ligatures w14:val="none"/>
        </w:rPr>
        <w:t>amounts listed in Table One or Table Two</w:t>
      </w:r>
      <w:r w:rsidR="001A4A62">
        <w:rPr>
          <w:rFonts w:eastAsia="Times New Roman" w:cstheme="minorHAnsi"/>
          <w:kern w:val="0"/>
          <w14:ligatures w14:val="none"/>
        </w:rPr>
        <w:t>,</w:t>
      </w:r>
      <w:r w:rsidR="000747A0">
        <w:rPr>
          <w:rFonts w:eastAsia="Times New Roman" w:cstheme="minorHAnsi"/>
          <w:kern w:val="0"/>
          <w14:ligatures w14:val="none"/>
        </w:rPr>
        <w:t xml:space="preserve"> </w:t>
      </w:r>
      <w:r w:rsidR="00996E00">
        <w:rPr>
          <w:rFonts w:eastAsia="Times New Roman" w:cstheme="minorHAnsi"/>
          <w:kern w:val="0"/>
          <w14:ligatures w14:val="none"/>
        </w:rPr>
        <w:t xml:space="preserve">they are not </w:t>
      </w:r>
      <w:r w:rsidR="00996E00">
        <w:t>e</w:t>
      </w:r>
      <w:r w:rsidR="00996E00" w:rsidRPr="00B67034">
        <w:t>conomic</w:t>
      </w:r>
      <w:r w:rsidR="00996E00">
        <w:t>ally</w:t>
      </w:r>
      <w:r w:rsidR="00996E00" w:rsidRPr="00B67034">
        <w:t xml:space="preserve"> </w:t>
      </w:r>
      <w:r w:rsidR="00996E00">
        <w:t>s</w:t>
      </w:r>
      <w:r w:rsidR="00996E00" w:rsidRPr="00B67034">
        <w:t>elf-</w:t>
      </w:r>
      <w:r w:rsidR="00996E00">
        <w:t>s</w:t>
      </w:r>
      <w:r w:rsidR="00996E00" w:rsidRPr="00B67034">
        <w:t>ufficient</w:t>
      </w:r>
      <w:r w:rsidR="00996E00">
        <w:t>.</w:t>
      </w:r>
    </w:p>
    <w:p w14:paraId="5037342A" w14:textId="77777777" w:rsidR="00440706" w:rsidRPr="00987AB6" w:rsidRDefault="00440706" w:rsidP="00136DE8">
      <w:pPr>
        <w:pStyle w:val="NoSpacing"/>
        <w:rPr>
          <w:rFonts w:eastAsia="Times New Roman" w:cstheme="minorHAnsi"/>
          <w:kern w:val="0"/>
          <w:sz w:val="12"/>
          <w:szCs w:val="12"/>
          <w:u w:val="single"/>
          <w14:ligatures w14:val="none"/>
        </w:rPr>
      </w:pPr>
    </w:p>
    <w:p w14:paraId="20351545" w14:textId="6FFCCC51" w:rsidR="00136DE8" w:rsidRPr="000D55CC" w:rsidRDefault="00136DE8" w:rsidP="00136DE8">
      <w:pPr>
        <w:pStyle w:val="NoSpacing"/>
        <w:rPr>
          <w:rFonts w:eastAsia="Times New Roman" w:cstheme="minorHAnsi"/>
          <w:kern w:val="0"/>
          <w:u w:val="single"/>
          <w14:ligatures w14:val="none"/>
        </w:rPr>
      </w:pPr>
      <w:r w:rsidRPr="000D55CC">
        <w:rPr>
          <w:rFonts w:eastAsia="Times New Roman" w:cstheme="minorHAnsi"/>
          <w:kern w:val="0"/>
          <w:u w:val="single"/>
          <w14:ligatures w14:val="none"/>
        </w:rPr>
        <w:t>LLSIL Geographic Definitions</w:t>
      </w:r>
    </w:p>
    <w:p w14:paraId="2F7DBDD3" w14:textId="5C0E9C3B" w:rsidR="00136DE8" w:rsidRPr="005742A3" w:rsidRDefault="00136DE8" w:rsidP="00136DE8">
      <w:pPr>
        <w:pStyle w:val="NoSpacing"/>
        <w:rPr>
          <w:i/>
          <w:iCs/>
        </w:rPr>
      </w:pPr>
      <w:r>
        <w:t xml:space="preserve">The </w:t>
      </w:r>
      <w:r w:rsidRPr="006C049B">
        <w:t>Minneapolis-St. Paul</w:t>
      </w:r>
      <w:r>
        <w:t>-Bloomington</w:t>
      </w:r>
      <w:r w:rsidRPr="006C049B">
        <w:t xml:space="preserve"> </w:t>
      </w:r>
      <w:r>
        <w:t xml:space="preserve">(MSP) </w:t>
      </w:r>
      <w:r w:rsidRPr="00294B03">
        <w:t xml:space="preserve">Metropolitan Statistical Area </w:t>
      </w:r>
      <w:r>
        <w:t>(MSA)</w:t>
      </w:r>
      <w:r w:rsidRPr="006C049B">
        <w:t xml:space="preserve"> </w:t>
      </w:r>
      <w:r>
        <w:t>LLSIL Guidelines must be used for individuals</w:t>
      </w:r>
      <w:r w:rsidRPr="006C049B">
        <w:t xml:space="preserve"> residing in</w:t>
      </w:r>
      <w:r>
        <w:t xml:space="preserve">: </w:t>
      </w:r>
      <w:r w:rsidRPr="003A62EB">
        <w:rPr>
          <w:i/>
          <w:iCs/>
        </w:rPr>
        <w:t xml:space="preserve">Anoka County, Carver County, Chisago County, Dakota County, Hennepin County, Isanti County, Le Sueur County, Mille Lacs County, Ramsey County, Scott County, Sherburne County, Washington County, and Wright </w:t>
      </w:r>
      <w:r w:rsidR="00ED5379" w:rsidRPr="003A62EB">
        <w:rPr>
          <w:i/>
          <w:iCs/>
        </w:rPr>
        <w:t>Cou</w:t>
      </w:r>
      <w:r w:rsidR="00ED5379">
        <w:rPr>
          <w:i/>
          <w:iCs/>
        </w:rPr>
        <w:t>nty</w:t>
      </w:r>
      <w:r>
        <w:t>.</w:t>
      </w:r>
      <w:r w:rsidR="00ED5379">
        <w:rPr>
          <w:rStyle w:val="FootnoteReference"/>
        </w:rPr>
        <w:footnoteReference w:id="13"/>
      </w:r>
    </w:p>
    <w:p w14:paraId="05E8259E" w14:textId="77777777" w:rsidR="00136DE8" w:rsidRPr="00BF0896" w:rsidRDefault="00136DE8" w:rsidP="00136DE8">
      <w:pPr>
        <w:pStyle w:val="NoSpacing"/>
        <w:rPr>
          <w:sz w:val="12"/>
          <w:szCs w:val="12"/>
        </w:rPr>
      </w:pPr>
    </w:p>
    <w:p w14:paraId="4C97D57B" w14:textId="28A20A65" w:rsidR="004F76F4" w:rsidRDefault="00136DE8" w:rsidP="005E4117">
      <w:pPr>
        <w:pStyle w:val="NoSpacing"/>
        <w:rPr>
          <w:rFonts w:eastAsia="Times New Roman" w:cstheme="minorHAnsi"/>
          <w:kern w:val="0"/>
          <w14:ligatures w14:val="none"/>
        </w:rPr>
      </w:pPr>
      <w:r>
        <w:rPr>
          <w:rFonts w:eastAsia="Times New Roman" w:cstheme="minorHAnsi"/>
          <w:kern w:val="0"/>
          <w14:ligatures w14:val="none"/>
        </w:rPr>
        <w:t xml:space="preserve">The Midwest </w:t>
      </w:r>
      <w:r w:rsidRPr="006C049B">
        <w:rPr>
          <w:rFonts w:eastAsia="Times New Roman" w:cstheme="minorHAnsi"/>
          <w:kern w:val="0"/>
          <w14:ligatures w14:val="none"/>
        </w:rPr>
        <w:t xml:space="preserve">Metro </w:t>
      </w:r>
      <w:r>
        <w:t xml:space="preserve">LLSIL Guidelines </w:t>
      </w:r>
      <w:r w:rsidR="008662F4">
        <w:t>are</w:t>
      </w:r>
      <w:r>
        <w:t xml:space="preserve"> for individuals</w:t>
      </w:r>
      <w:r w:rsidRPr="006C049B">
        <w:t xml:space="preserve"> residing in</w:t>
      </w:r>
      <w:r>
        <w:rPr>
          <w:rFonts w:eastAsia="Times New Roman" w:cstheme="minorHAnsi"/>
          <w:kern w:val="0"/>
          <w14:ligatures w14:val="none"/>
        </w:rPr>
        <w:t>:</w:t>
      </w:r>
      <w:r w:rsidRPr="006C049B">
        <w:rPr>
          <w:rFonts w:eastAsia="Times New Roman" w:cstheme="minorHAnsi"/>
          <w:kern w:val="0"/>
          <w14:ligatures w14:val="none"/>
        </w:rPr>
        <w:t xml:space="preserve"> </w:t>
      </w:r>
      <w:r w:rsidRPr="00BF0896">
        <w:rPr>
          <w:rFonts w:eastAsia="Times New Roman" w:cstheme="minorHAnsi"/>
          <w:i/>
          <w:iCs/>
          <w:kern w:val="0"/>
          <w14:ligatures w14:val="none"/>
        </w:rPr>
        <w:t xml:space="preserve">Benton County, </w:t>
      </w:r>
      <w:r w:rsidR="009744FA">
        <w:rPr>
          <w:rFonts w:eastAsia="Times New Roman" w:cstheme="minorHAnsi"/>
          <w:i/>
          <w:iCs/>
          <w:kern w:val="0"/>
          <w14:ligatures w14:val="none"/>
        </w:rPr>
        <w:t>Clay County,</w:t>
      </w:r>
      <w:r w:rsidRPr="00BF0896">
        <w:rPr>
          <w:rFonts w:eastAsia="Times New Roman" w:cstheme="minorHAnsi"/>
          <w:i/>
          <w:iCs/>
          <w:kern w:val="0"/>
          <w14:ligatures w14:val="none"/>
        </w:rPr>
        <w:t xml:space="preserve"> Olmsted County, St. Louis County, and Stearns Count</w:t>
      </w:r>
      <w:r w:rsidR="00121702">
        <w:rPr>
          <w:rFonts w:eastAsia="Times New Roman" w:cstheme="minorHAnsi"/>
          <w:i/>
          <w:iCs/>
          <w:kern w:val="0"/>
          <w14:ligatures w14:val="none"/>
        </w:rPr>
        <w:t>y</w:t>
      </w:r>
      <w:r w:rsidR="00705862">
        <w:rPr>
          <w:rFonts w:eastAsia="Times New Roman" w:cstheme="minorHAnsi"/>
          <w:i/>
          <w:iCs/>
          <w:kern w:val="0"/>
          <w14:ligatures w14:val="none"/>
        </w:rPr>
        <w:t>.</w:t>
      </w:r>
      <w:r w:rsidR="00705862">
        <w:rPr>
          <w:rFonts w:eastAsia="Times New Roman" w:cstheme="minorHAnsi"/>
          <w:kern w:val="0"/>
          <w14:ligatures w14:val="none"/>
        </w:rPr>
        <w:t xml:space="preserve"> </w:t>
      </w:r>
      <w:r>
        <w:rPr>
          <w:rFonts w:eastAsia="Times New Roman" w:cstheme="minorHAnsi"/>
          <w:kern w:val="0"/>
          <w14:ligatures w14:val="none"/>
        </w:rPr>
        <w:t xml:space="preserve">All remaining </w:t>
      </w:r>
      <w:r w:rsidRPr="006C049B">
        <w:rPr>
          <w:rFonts w:eastAsia="Times New Roman" w:cstheme="minorHAnsi"/>
          <w:kern w:val="0"/>
          <w14:ligatures w14:val="none"/>
        </w:rPr>
        <w:t xml:space="preserve">Minnesota counties </w:t>
      </w:r>
      <w:r>
        <w:rPr>
          <w:rFonts w:eastAsia="Times New Roman" w:cstheme="minorHAnsi"/>
          <w:kern w:val="0"/>
          <w14:ligatures w14:val="none"/>
        </w:rPr>
        <w:t>must</w:t>
      </w:r>
      <w:r w:rsidRPr="006C049B">
        <w:rPr>
          <w:rFonts w:eastAsia="Times New Roman" w:cstheme="minorHAnsi"/>
          <w:kern w:val="0"/>
          <w14:ligatures w14:val="none"/>
        </w:rPr>
        <w:t xml:space="preserve"> use </w:t>
      </w:r>
      <w:r>
        <w:rPr>
          <w:rFonts w:eastAsia="Times New Roman" w:cstheme="minorHAnsi"/>
          <w:kern w:val="0"/>
          <w14:ligatures w14:val="none"/>
        </w:rPr>
        <w:t>Midwest N</w:t>
      </w:r>
      <w:r w:rsidRPr="006C049B">
        <w:rPr>
          <w:rFonts w:eastAsia="Times New Roman" w:cstheme="minorHAnsi"/>
          <w:kern w:val="0"/>
          <w14:ligatures w14:val="none"/>
        </w:rPr>
        <w:t xml:space="preserve">on-Metro </w:t>
      </w:r>
      <w:r>
        <w:t>LLSIL Guidelines</w:t>
      </w:r>
      <w:r w:rsidRPr="006C049B">
        <w:rPr>
          <w:rFonts w:eastAsia="Times New Roman" w:cstheme="minorHAnsi"/>
          <w:kern w:val="0"/>
          <w14:ligatures w14:val="none"/>
        </w:rPr>
        <w:t>.</w:t>
      </w:r>
    </w:p>
    <w:p w14:paraId="2E38A3C4" w14:textId="77777777" w:rsidR="00E133C1" w:rsidRPr="00002B53" w:rsidRDefault="00E133C1" w:rsidP="005E4117">
      <w:pPr>
        <w:pStyle w:val="NoSpacing"/>
        <w:rPr>
          <w:rFonts w:eastAsia="Times New Roman" w:cstheme="minorHAnsi"/>
          <w:kern w:val="0"/>
          <w:sz w:val="12"/>
          <w:szCs w:val="12"/>
          <w14:ligatures w14:val="none"/>
        </w:rPr>
      </w:pPr>
    </w:p>
    <w:p w14:paraId="453A9980" w14:textId="23B41FE2" w:rsidR="00386349" w:rsidRPr="00B94044" w:rsidRDefault="00B94044" w:rsidP="00B94044">
      <w:pPr>
        <w:pStyle w:val="NoSpacing"/>
        <w:jc w:val="center"/>
        <w:rPr>
          <w:rFonts w:cstheme="minorHAnsi"/>
          <w:b/>
          <w:bCs/>
        </w:rPr>
      </w:pPr>
      <w:r>
        <w:rPr>
          <w:rFonts w:eastAsia="Times New Roman" w:cstheme="minorHAnsi"/>
          <w:b/>
          <w:bCs/>
          <w:kern w:val="0"/>
          <w14:ligatures w14:val="none"/>
        </w:rPr>
        <w:t>Table</w:t>
      </w:r>
      <w:r w:rsidRPr="00B91E34">
        <w:rPr>
          <w:rFonts w:eastAsia="Times New Roman" w:cstheme="minorHAnsi"/>
          <w:b/>
          <w:bCs/>
          <w:kern w:val="0"/>
          <w14:ligatures w14:val="none"/>
        </w:rPr>
        <w:t xml:space="preserve"> One: </w:t>
      </w:r>
      <w:r w:rsidR="00E133C1">
        <w:rPr>
          <w:rFonts w:eastAsia="Times New Roman" w:cstheme="minorHAnsi"/>
          <w:b/>
          <w:bCs/>
          <w:kern w:val="0"/>
          <w14:ligatures w14:val="none"/>
        </w:rPr>
        <w:t xml:space="preserve">2025 </w:t>
      </w:r>
      <w:r w:rsidRPr="00B91E34">
        <w:rPr>
          <w:rFonts w:eastAsia="Times New Roman" w:cstheme="minorHAnsi"/>
          <w:b/>
          <w:bCs/>
          <w:kern w:val="0"/>
          <w14:ligatures w14:val="none"/>
        </w:rPr>
        <w:t xml:space="preserve">Economic Self-Sufficiency </w:t>
      </w:r>
      <w:r w:rsidR="00053D4F">
        <w:rPr>
          <w:rFonts w:cstheme="minorHAnsi"/>
          <w:b/>
          <w:bCs/>
        </w:rPr>
        <w:t>Incomes P</w:t>
      </w:r>
      <w:r w:rsidR="00D76B40">
        <w:rPr>
          <w:rFonts w:cstheme="minorHAnsi"/>
          <w:b/>
          <w:bCs/>
        </w:rPr>
        <w:t>e</w:t>
      </w:r>
      <w:r w:rsidR="00053D4F">
        <w:rPr>
          <w:rFonts w:cstheme="minorHAnsi"/>
          <w:b/>
          <w:bCs/>
        </w:rPr>
        <w:t>r</w:t>
      </w:r>
      <w:r w:rsidR="001A1EEE">
        <w:rPr>
          <w:rFonts w:cstheme="minorHAnsi"/>
          <w:b/>
          <w:bCs/>
        </w:rPr>
        <w:t xml:space="preserve"> </w:t>
      </w:r>
      <w:r w:rsidR="00D76B40">
        <w:rPr>
          <w:rFonts w:cstheme="minorHAnsi"/>
          <w:b/>
          <w:bCs/>
        </w:rPr>
        <w:t>Year</w:t>
      </w:r>
      <w:r w:rsidR="002D3EBE">
        <w:rPr>
          <w:rStyle w:val="FootnoteReference"/>
          <w:rFonts w:cstheme="minorHAnsi"/>
          <w:b/>
          <w:bCs/>
        </w:rPr>
        <w:footnoteReference w:id="14"/>
      </w:r>
    </w:p>
    <w:tbl>
      <w:tblPr>
        <w:tblStyle w:val="TableGrid"/>
        <w:tblW w:w="0" w:type="auto"/>
        <w:tblLook w:val="04A0" w:firstRow="1" w:lastRow="0" w:firstColumn="1" w:lastColumn="0" w:noHBand="0" w:noVBand="1"/>
      </w:tblPr>
      <w:tblGrid>
        <w:gridCol w:w="1345"/>
        <w:gridCol w:w="3150"/>
        <w:gridCol w:w="2430"/>
        <w:gridCol w:w="2425"/>
      </w:tblGrid>
      <w:tr w:rsidR="006F3DAA" w14:paraId="07A12EA6" w14:textId="77777777" w:rsidTr="001E1723">
        <w:tc>
          <w:tcPr>
            <w:tcW w:w="1345" w:type="dxa"/>
            <w:vAlign w:val="center"/>
          </w:tcPr>
          <w:p w14:paraId="341A593A" w14:textId="4495CA9C" w:rsidR="006F3DAA" w:rsidRPr="00E133C1" w:rsidRDefault="006F3DAA" w:rsidP="003B70B6">
            <w:pPr>
              <w:pStyle w:val="NoSpacing"/>
              <w:jc w:val="center"/>
              <w:rPr>
                <w:rFonts w:eastAsia="Times New Roman" w:cstheme="minorHAnsi"/>
                <w:b/>
                <w:bCs/>
                <w:kern w:val="0"/>
                <w14:ligatures w14:val="none"/>
              </w:rPr>
            </w:pPr>
            <w:bookmarkStart w:id="7" w:name="_Hlk187845435"/>
            <w:r w:rsidRPr="00E133C1">
              <w:rPr>
                <w:rFonts w:ascii="Calibri" w:eastAsia="Times New Roman" w:hAnsi="Calibri" w:cs="Calibri"/>
                <w:b/>
                <w:bCs/>
                <w:color w:val="000000"/>
                <w:kern w:val="0"/>
                <w14:ligatures w14:val="none"/>
              </w:rPr>
              <w:t>Family Size</w:t>
            </w:r>
          </w:p>
        </w:tc>
        <w:tc>
          <w:tcPr>
            <w:tcW w:w="3150" w:type="dxa"/>
            <w:vAlign w:val="center"/>
          </w:tcPr>
          <w:p w14:paraId="71DDE4ED" w14:textId="792E8AC7" w:rsidR="006F3DAA" w:rsidRPr="00E133C1" w:rsidRDefault="006F3DAA" w:rsidP="003B70B6">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 xml:space="preserve">100% </w:t>
            </w:r>
            <w:r w:rsidR="001E1723" w:rsidRPr="00E133C1">
              <w:rPr>
                <w:rFonts w:ascii="Calibri" w:eastAsia="Times New Roman" w:hAnsi="Calibri" w:cs="Calibri"/>
                <w:b/>
                <w:bCs/>
                <w:color w:val="000000"/>
                <w:kern w:val="0"/>
                <w14:ligatures w14:val="none"/>
              </w:rPr>
              <w:t>Minneapolis-St. Paul-Bloomington</w:t>
            </w:r>
            <w:r w:rsidRPr="00E133C1">
              <w:rPr>
                <w:rFonts w:ascii="Calibri" w:eastAsia="Times New Roman" w:hAnsi="Calibri" w:cs="Calibri"/>
                <w:b/>
                <w:bCs/>
                <w:color w:val="000000"/>
                <w:kern w:val="0"/>
                <w14:ligatures w14:val="none"/>
              </w:rPr>
              <w:t xml:space="preserve"> </w:t>
            </w:r>
            <w:r w:rsidR="007D5127" w:rsidRPr="00E133C1">
              <w:rPr>
                <w:rFonts w:ascii="Calibri" w:eastAsia="Times New Roman" w:hAnsi="Calibri" w:cs="Calibri"/>
                <w:b/>
                <w:bCs/>
                <w:color w:val="000000"/>
                <w:kern w:val="0"/>
                <w14:ligatures w14:val="none"/>
              </w:rPr>
              <w:t xml:space="preserve">MSA </w:t>
            </w:r>
            <w:r w:rsidRPr="00E133C1">
              <w:rPr>
                <w:rFonts w:ascii="Calibri" w:eastAsia="Times New Roman" w:hAnsi="Calibri" w:cs="Calibri"/>
                <w:b/>
                <w:bCs/>
                <w:color w:val="000000"/>
                <w:kern w:val="0"/>
                <w14:ligatures w14:val="none"/>
              </w:rPr>
              <w:t>LLSIL</w:t>
            </w:r>
          </w:p>
        </w:tc>
        <w:tc>
          <w:tcPr>
            <w:tcW w:w="2430" w:type="dxa"/>
            <w:vAlign w:val="center"/>
          </w:tcPr>
          <w:p w14:paraId="0225AE63" w14:textId="77777777" w:rsidR="00F4495C" w:rsidRPr="00E133C1" w:rsidRDefault="006F3DAA" w:rsidP="003B70B6">
            <w:pPr>
              <w:pStyle w:val="NoSpacing"/>
              <w:jc w:val="center"/>
              <w:rPr>
                <w:rFonts w:ascii="Calibri" w:eastAsia="Times New Roman" w:hAnsi="Calibri" w:cs="Calibri"/>
                <w:b/>
                <w:bCs/>
                <w:color w:val="000000"/>
                <w:kern w:val="0"/>
                <w14:ligatures w14:val="none"/>
              </w:rPr>
            </w:pPr>
            <w:r w:rsidRPr="00E133C1">
              <w:rPr>
                <w:rFonts w:ascii="Calibri" w:eastAsia="Times New Roman" w:hAnsi="Calibri" w:cs="Calibri"/>
                <w:b/>
                <w:bCs/>
                <w:color w:val="000000"/>
                <w:kern w:val="0"/>
                <w14:ligatures w14:val="none"/>
              </w:rPr>
              <w:t xml:space="preserve">100% Midwest </w:t>
            </w:r>
          </w:p>
          <w:p w14:paraId="68A456A6" w14:textId="4C1FFC7A" w:rsidR="006F3DAA" w:rsidRPr="00E133C1" w:rsidRDefault="006F3DAA" w:rsidP="003B70B6">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Metro LLSIL</w:t>
            </w:r>
          </w:p>
        </w:tc>
        <w:tc>
          <w:tcPr>
            <w:tcW w:w="2425" w:type="dxa"/>
            <w:vAlign w:val="center"/>
          </w:tcPr>
          <w:p w14:paraId="204C7864" w14:textId="77777777" w:rsidR="006F3DAA" w:rsidRPr="00E133C1" w:rsidRDefault="006F3DAA" w:rsidP="003B70B6">
            <w:pPr>
              <w:jc w:val="center"/>
              <w:rPr>
                <w:rFonts w:ascii="Calibri" w:eastAsia="Times New Roman" w:hAnsi="Calibri" w:cs="Calibri"/>
                <w:b/>
                <w:bCs/>
                <w:color w:val="000000"/>
                <w:kern w:val="0"/>
                <w14:ligatures w14:val="none"/>
              </w:rPr>
            </w:pPr>
            <w:r w:rsidRPr="00E133C1">
              <w:rPr>
                <w:rFonts w:ascii="Calibri" w:eastAsia="Times New Roman" w:hAnsi="Calibri" w:cs="Calibri"/>
                <w:b/>
                <w:bCs/>
                <w:color w:val="000000"/>
                <w:kern w:val="0"/>
                <w14:ligatures w14:val="none"/>
              </w:rPr>
              <w:t>100% Midwest</w:t>
            </w:r>
          </w:p>
          <w:p w14:paraId="4F8DA289" w14:textId="182CCDFB" w:rsidR="006F3DAA" w:rsidRPr="00E133C1" w:rsidRDefault="006F3DAA" w:rsidP="00B77DD9">
            <w:pPr>
              <w:pStyle w:val="NoSpacing"/>
              <w:jc w:val="center"/>
              <w:rPr>
                <w:b/>
                <w:bCs/>
              </w:rPr>
            </w:pPr>
            <w:r w:rsidRPr="00E133C1">
              <w:rPr>
                <w:rFonts w:ascii="Calibri" w:eastAsia="Times New Roman" w:hAnsi="Calibri" w:cs="Calibri"/>
                <w:b/>
                <w:bCs/>
                <w:color w:val="000000"/>
                <w:kern w:val="0"/>
                <w14:ligatures w14:val="none"/>
              </w:rPr>
              <w:t>Non-Metro LLSIL</w:t>
            </w:r>
          </w:p>
        </w:tc>
      </w:tr>
      <w:tr w:rsidR="006F3DAA" w14:paraId="4BF75981" w14:textId="77777777" w:rsidTr="001E1723">
        <w:tc>
          <w:tcPr>
            <w:tcW w:w="1345" w:type="dxa"/>
            <w:vAlign w:val="center"/>
          </w:tcPr>
          <w:p w14:paraId="4D8757B7" w14:textId="2F99243C" w:rsidR="006F3DAA" w:rsidRPr="00E133C1" w:rsidRDefault="006F3DAA" w:rsidP="00BD35F7">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1</w:t>
            </w:r>
          </w:p>
        </w:tc>
        <w:tc>
          <w:tcPr>
            <w:tcW w:w="3150" w:type="dxa"/>
            <w:vAlign w:val="center"/>
          </w:tcPr>
          <w:p w14:paraId="5C3CF746" w14:textId="210FDD8D" w:rsidR="006F3DAA" w:rsidRPr="00E133C1" w:rsidRDefault="006F3DAA" w:rsidP="00BD35F7">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$16,928</w:t>
            </w:r>
          </w:p>
        </w:tc>
        <w:tc>
          <w:tcPr>
            <w:tcW w:w="2430" w:type="dxa"/>
            <w:vAlign w:val="center"/>
          </w:tcPr>
          <w:p w14:paraId="29E71292" w14:textId="78B33632" w:rsidR="006F3DAA" w:rsidRPr="00E133C1" w:rsidRDefault="006F3DAA" w:rsidP="00BD35F7">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$16,885</w:t>
            </w:r>
          </w:p>
        </w:tc>
        <w:tc>
          <w:tcPr>
            <w:tcW w:w="2425" w:type="dxa"/>
            <w:vAlign w:val="center"/>
          </w:tcPr>
          <w:p w14:paraId="0606BFC3" w14:textId="362A7CDF" w:rsidR="006F3DAA" w:rsidRPr="00E133C1" w:rsidRDefault="006F3DAA" w:rsidP="00EB4CBB">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$16,250</w:t>
            </w:r>
          </w:p>
        </w:tc>
      </w:tr>
      <w:tr w:rsidR="006F3DAA" w14:paraId="6F2862F5" w14:textId="77777777" w:rsidTr="001E1723">
        <w:tc>
          <w:tcPr>
            <w:tcW w:w="1345" w:type="dxa"/>
            <w:vAlign w:val="center"/>
          </w:tcPr>
          <w:p w14:paraId="6B319682" w14:textId="35E6FA46" w:rsidR="006F3DAA" w:rsidRPr="00E133C1" w:rsidRDefault="006F3DAA" w:rsidP="00BD35F7">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2</w:t>
            </w:r>
          </w:p>
        </w:tc>
        <w:tc>
          <w:tcPr>
            <w:tcW w:w="3150" w:type="dxa"/>
            <w:vAlign w:val="center"/>
          </w:tcPr>
          <w:p w14:paraId="6867E199" w14:textId="791C1662" w:rsidR="006F3DAA" w:rsidRPr="00E133C1" w:rsidRDefault="006F3DAA" w:rsidP="00BD35F7">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$27,739</w:t>
            </w:r>
          </w:p>
        </w:tc>
        <w:tc>
          <w:tcPr>
            <w:tcW w:w="2430" w:type="dxa"/>
            <w:vAlign w:val="center"/>
          </w:tcPr>
          <w:p w14:paraId="7446ABD5" w14:textId="4593AE54" w:rsidR="006F3DAA" w:rsidRPr="00E133C1" w:rsidRDefault="006F3DAA" w:rsidP="00BD35F7">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$27,677</w:t>
            </w:r>
          </w:p>
        </w:tc>
        <w:tc>
          <w:tcPr>
            <w:tcW w:w="2425" w:type="dxa"/>
            <w:vAlign w:val="center"/>
          </w:tcPr>
          <w:p w14:paraId="2ED2FC5E" w14:textId="213F59BF" w:rsidR="006F3DAA" w:rsidRPr="00E133C1" w:rsidRDefault="006F3DAA" w:rsidP="00BD35F7">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$26,607</w:t>
            </w:r>
          </w:p>
        </w:tc>
      </w:tr>
      <w:tr w:rsidR="006F3DAA" w14:paraId="1232A737" w14:textId="77777777" w:rsidTr="001E1723">
        <w:tc>
          <w:tcPr>
            <w:tcW w:w="1345" w:type="dxa"/>
            <w:vAlign w:val="center"/>
          </w:tcPr>
          <w:p w14:paraId="7B6955C6" w14:textId="6E4595D2" w:rsidR="006F3DAA" w:rsidRPr="00E133C1" w:rsidRDefault="006F3DAA" w:rsidP="00BD35F7">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3</w:t>
            </w:r>
          </w:p>
        </w:tc>
        <w:tc>
          <w:tcPr>
            <w:tcW w:w="3150" w:type="dxa"/>
            <w:vAlign w:val="center"/>
          </w:tcPr>
          <w:p w14:paraId="130C880A" w14:textId="7E9199DD" w:rsidR="006F3DAA" w:rsidRPr="00E133C1" w:rsidRDefault="006F3DAA" w:rsidP="00BD35F7">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$38,082</w:t>
            </w:r>
          </w:p>
        </w:tc>
        <w:tc>
          <w:tcPr>
            <w:tcW w:w="2430" w:type="dxa"/>
            <w:vAlign w:val="center"/>
          </w:tcPr>
          <w:p w14:paraId="62CBABE4" w14:textId="32C8A7CD" w:rsidR="006F3DAA" w:rsidRPr="00E133C1" w:rsidRDefault="006F3DAA" w:rsidP="00BD35F7">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$37,987</w:t>
            </w:r>
          </w:p>
        </w:tc>
        <w:tc>
          <w:tcPr>
            <w:tcW w:w="2425" w:type="dxa"/>
            <w:vAlign w:val="center"/>
          </w:tcPr>
          <w:p w14:paraId="602F5091" w14:textId="458E9B13" w:rsidR="006F3DAA" w:rsidRPr="00E133C1" w:rsidRDefault="006F3DAA" w:rsidP="00BD35F7">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$36,531</w:t>
            </w:r>
          </w:p>
        </w:tc>
      </w:tr>
      <w:tr w:rsidR="006F3DAA" w14:paraId="6ECB659F" w14:textId="77777777" w:rsidTr="001E1723">
        <w:tc>
          <w:tcPr>
            <w:tcW w:w="1345" w:type="dxa"/>
            <w:vAlign w:val="center"/>
          </w:tcPr>
          <w:p w14:paraId="3C45A8F8" w14:textId="581EEF4D" w:rsidR="006F3DAA" w:rsidRPr="00E133C1" w:rsidRDefault="006F3DAA" w:rsidP="00BD35F7">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4</w:t>
            </w:r>
          </w:p>
        </w:tc>
        <w:tc>
          <w:tcPr>
            <w:tcW w:w="3150" w:type="dxa"/>
            <w:vAlign w:val="center"/>
          </w:tcPr>
          <w:p w14:paraId="57701094" w14:textId="35CF3564" w:rsidR="006F3DAA" w:rsidRPr="00E133C1" w:rsidRDefault="006F3DAA" w:rsidP="00BD35F7">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$47,003</w:t>
            </w:r>
          </w:p>
        </w:tc>
        <w:tc>
          <w:tcPr>
            <w:tcW w:w="2430" w:type="dxa"/>
            <w:vAlign w:val="center"/>
          </w:tcPr>
          <w:p w14:paraId="0138D97B" w14:textId="693FFDB0" w:rsidR="006F3DAA" w:rsidRPr="00E133C1" w:rsidRDefault="006F3DAA" w:rsidP="00BD35F7">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$46,895</w:t>
            </w:r>
          </w:p>
        </w:tc>
        <w:tc>
          <w:tcPr>
            <w:tcW w:w="2425" w:type="dxa"/>
            <w:vAlign w:val="center"/>
          </w:tcPr>
          <w:p w14:paraId="0FEF6A3D" w14:textId="6068FAF3" w:rsidR="006F3DAA" w:rsidRPr="00E133C1" w:rsidRDefault="006F3DAA" w:rsidP="00BD35F7">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$45,095</w:t>
            </w:r>
          </w:p>
        </w:tc>
      </w:tr>
      <w:tr w:rsidR="006F3DAA" w14:paraId="0D3F7896" w14:textId="77777777" w:rsidTr="00BA735B">
        <w:trPr>
          <w:trHeight w:val="70"/>
        </w:trPr>
        <w:tc>
          <w:tcPr>
            <w:tcW w:w="1345" w:type="dxa"/>
            <w:vAlign w:val="center"/>
          </w:tcPr>
          <w:p w14:paraId="0C067F33" w14:textId="319DC280" w:rsidR="006F3DAA" w:rsidRPr="00E133C1" w:rsidRDefault="006F3DAA" w:rsidP="00BD35F7">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5</w:t>
            </w:r>
          </w:p>
        </w:tc>
        <w:tc>
          <w:tcPr>
            <w:tcW w:w="3150" w:type="dxa"/>
            <w:vAlign w:val="center"/>
          </w:tcPr>
          <w:p w14:paraId="704A7382" w14:textId="0C3B7C59" w:rsidR="006F3DAA" w:rsidRPr="00E133C1" w:rsidRDefault="006F3DAA" w:rsidP="00BD35F7">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$55,475</w:t>
            </w:r>
          </w:p>
        </w:tc>
        <w:tc>
          <w:tcPr>
            <w:tcW w:w="2430" w:type="dxa"/>
            <w:vAlign w:val="center"/>
          </w:tcPr>
          <w:p w14:paraId="733E33F7" w14:textId="611E1F9F" w:rsidR="006F3DAA" w:rsidRPr="00E133C1" w:rsidRDefault="006F3DAA" w:rsidP="00BD35F7">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$55,339</w:t>
            </w:r>
          </w:p>
        </w:tc>
        <w:tc>
          <w:tcPr>
            <w:tcW w:w="2425" w:type="dxa"/>
            <w:vAlign w:val="center"/>
          </w:tcPr>
          <w:p w14:paraId="02FBB445" w14:textId="6532D3C9" w:rsidR="006F3DAA" w:rsidRPr="00E133C1" w:rsidRDefault="006F3DAA" w:rsidP="00BD35F7">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$53,228</w:t>
            </w:r>
          </w:p>
        </w:tc>
      </w:tr>
      <w:tr w:rsidR="006F3DAA" w14:paraId="089B13B5" w14:textId="77777777" w:rsidTr="001E1723">
        <w:tc>
          <w:tcPr>
            <w:tcW w:w="1345" w:type="dxa"/>
            <w:vAlign w:val="center"/>
          </w:tcPr>
          <w:p w14:paraId="3B5276BF" w14:textId="1A776B35" w:rsidR="006F3DAA" w:rsidRPr="00E133C1" w:rsidRDefault="006F3DAA" w:rsidP="00BD35F7">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6</w:t>
            </w:r>
          </w:p>
        </w:tc>
        <w:tc>
          <w:tcPr>
            <w:tcW w:w="3150" w:type="dxa"/>
            <w:vAlign w:val="center"/>
          </w:tcPr>
          <w:p w14:paraId="65A24E4F" w14:textId="72589B08" w:rsidR="006F3DAA" w:rsidRPr="00E133C1" w:rsidRDefault="006F3DAA" w:rsidP="00BD35F7">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$64,875</w:t>
            </w:r>
          </w:p>
        </w:tc>
        <w:tc>
          <w:tcPr>
            <w:tcW w:w="2430" w:type="dxa"/>
            <w:vAlign w:val="center"/>
          </w:tcPr>
          <w:p w14:paraId="1EA30D22" w14:textId="4C406662" w:rsidR="006F3DAA" w:rsidRPr="00E133C1" w:rsidRDefault="006F3DAA" w:rsidP="00BD35F7">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$64,730</w:t>
            </w:r>
          </w:p>
        </w:tc>
        <w:tc>
          <w:tcPr>
            <w:tcW w:w="2425" w:type="dxa"/>
            <w:vAlign w:val="center"/>
          </w:tcPr>
          <w:p w14:paraId="4A71BE37" w14:textId="43CD5D96" w:rsidR="006F3DAA" w:rsidRPr="00E133C1" w:rsidRDefault="006F3DAA" w:rsidP="00BD35F7">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$62,245</w:t>
            </w:r>
          </w:p>
        </w:tc>
      </w:tr>
      <w:bookmarkEnd w:id="7"/>
    </w:tbl>
    <w:p w14:paraId="533BD8FF" w14:textId="77777777" w:rsidR="00E133C1" w:rsidRDefault="00E133C1" w:rsidP="00E133C1">
      <w:pPr>
        <w:pStyle w:val="NoSpacing"/>
        <w:rPr>
          <w:rFonts w:eastAsia="Times New Roman" w:cstheme="minorHAnsi"/>
          <w:b/>
          <w:bCs/>
          <w:kern w:val="0"/>
          <w14:ligatures w14:val="none"/>
        </w:rPr>
      </w:pPr>
    </w:p>
    <w:p w14:paraId="32D4F245" w14:textId="5C70FB5F" w:rsidR="00D5365D" w:rsidRPr="00B94044" w:rsidRDefault="00D5365D" w:rsidP="00D5365D">
      <w:pPr>
        <w:pStyle w:val="NoSpacing"/>
        <w:jc w:val="center"/>
        <w:rPr>
          <w:rFonts w:cstheme="minorHAnsi"/>
          <w:b/>
          <w:bCs/>
        </w:rPr>
      </w:pPr>
      <w:r>
        <w:rPr>
          <w:rFonts w:eastAsia="Times New Roman" w:cstheme="minorHAnsi"/>
          <w:b/>
          <w:bCs/>
          <w:kern w:val="0"/>
          <w14:ligatures w14:val="none"/>
        </w:rPr>
        <w:t>Table</w:t>
      </w:r>
      <w:r w:rsidRPr="00B91E34">
        <w:rPr>
          <w:rFonts w:eastAsia="Times New Roman" w:cstheme="minorHAnsi"/>
          <w:b/>
          <w:bCs/>
          <w:kern w:val="0"/>
          <w14:ligatures w14:val="none"/>
        </w:rPr>
        <w:t xml:space="preserve"> </w:t>
      </w:r>
      <w:r>
        <w:rPr>
          <w:rFonts w:eastAsia="Times New Roman" w:cstheme="minorHAnsi"/>
          <w:b/>
          <w:bCs/>
          <w:kern w:val="0"/>
          <w14:ligatures w14:val="none"/>
        </w:rPr>
        <w:t>Two</w:t>
      </w:r>
      <w:r w:rsidRPr="00B91E34">
        <w:rPr>
          <w:rFonts w:eastAsia="Times New Roman" w:cstheme="minorHAnsi"/>
          <w:b/>
          <w:bCs/>
          <w:kern w:val="0"/>
          <w14:ligatures w14:val="none"/>
        </w:rPr>
        <w:t xml:space="preserve">: </w:t>
      </w:r>
      <w:r w:rsidR="00E133C1">
        <w:rPr>
          <w:rFonts w:eastAsia="Times New Roman" w:cstheme="minorHAnsi"/>
          <w:b/>
          <w:bCs/>
          <w:kern w:val="0"/>
          <w14:ligatures w14:val="none"/>
        </w:rPr>
        <w:t xml:space="preserve">2025 </w:t>
      </w:r>
      <w:r w:rsidRPr="00B91E34">
        <w:rPr>
          <w:rFonts w:eastAsia="Times New Roman" w:cstheme="minorHAnsi"/>
          <w:b/>
          <w:bCs/>
          <w:kern w:val="0"/>
          <w14:ligatures w14:val="none"/>
        </w:rPr>
        <w:t xml:space="preserve">Economic Self-Sufficiency </w:t>
      </w:r>
      <w:r>
        <w:rPr>
          <w:rFonts w:cstheme="minorHAnsi"/>
          <w:b/>
          <w:bCs/>
        </w:rPr>
        <w:t>Incomes Per Month</w:t>
      </w:r>
    </w:p>
    <w:tbl>
      <w:tblPr>
        <w:tblStyle w:val="TableGrid"/>
        <w:tblW w:w="0" w:type="auto"/>
        <w:tblLook w:val="04A0" w:firstRow="1" w:lastRow="0" w:firstColumn="1" w:lastColumn="0" w:noHBand="0" w:noVBand="1"/>
      </w:tblPr>
      <w:tblGrid>
        <w:gridCol w:w="1345"/>
        <w:gridCol w:w="3150"/>
        <w:gridCol w:w="2430"/>
        <w:gridCol w:w="2425"/>
      </w:tblGrid>
      <w:tr w:rsidR="00705862" w14:paraId="1A8D3BF2" w14:textId="77777777" w:rsidTr="00705862">
        <w:tc>
          <w:tcPr>
            <w:tcW w:w="1345" w:type="dxa"/>
            <w:vAlign w:val="center"/>
          </w:tcPr>
          <w:p w14:paraId="308DBBC2" w14:textId="77777777" w:rsidR="00705862" w:rsidRPr="00E133C1" w:rsidRDefault="00705862" w:rsidP="003E032F">
            <w:pPr>
              <w:jc w:val="center"/>
              <w:rPr>
                <w:rFonts w:ascii="Calibri" w:eastAsia="Times New Roman" w:hAnsi="Calibri" w:cs="Calibri"/>
                <w:b/>
                <w:bCs/>
                <w:color w:val="000000"/>
                <w:kern w:val="0"/>
                <w14:ligatures w14:val="none"/>
              </w:rPr>
            </w:pPr>
            <w:r w:rsidRPr="00E133C1">
              <w:rPr>
                <w:rFonts w:ascii="Calibri" w:eastAsia="Times New Roman" w:hAnsi="Calibri" w:cs="Calibri"/>
                <w:b/>
                <w:bCs/>
                <w:color w:val="000000"/>
                <w:kern w:val="0"/>
                <w14:ligatures w14:val="none"/>
              </w:rPr>
              <w:t>Household/</w:t>
            </w:r>
          </w:p>
          <w:p w14:paraId="0E92CABF" w14:textId="4868DBEA" w:rsidR="00705862" w:rsidRPr="00E133C1" w:rsidRDefault="00705862" w:rsidP="003E032F">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Family Size</w:t>
            </w:r>
          </w:p>
        </w:tc>
        <w:tc>
          <w:tcPr>
            <w:tcW w:w="3150" w:type="dxa"/>
            <w:vAlign w:val="center"/>
          </w:tcPr>
          <w:p w14:paraId="2115BB97" w14:textId="16C1AC0C" w:rsidR="00705862" w:rsidRPr="00E133C1" w:rsidRDefault="00705862" w:rsidP="00705862">
            <w:pPr>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 xml:space="preserve">100% Minneapolis-St. Paul-Bloomington </w:t>
            </w:r>
            <w:r w:rsidR="007D5127" w:rsidRPr="00E133C1">
              <w:rPr>
                <w:rFonts w:ascii="Calibri" w:eastAsia="Times New Roman" w:hAnsi="Calibri" w:cs="Calibri"/>
                <w:b/>
                <w:bCs/>
                <w:color w:val="000000"/>
                <w:kern w:val="0"/>
                <w14:ligatures w14:val="none"/>
              </w:rPr>
              <w:t xml:space="preserve">MSA </w:t>
            </w:r>
            <w:r w:rsidRPr="00E133C1">
              <w:rPr>
                <w:rFonts w:ascii="Calibri" w:eastAsia="Times New Roman" w:hAnsi="Calibri" w:cs="Calibri"/>
                <w:b/>
                <w:bCs/>
                <w:color w:val="000000"/>
                <w:kern w:val="0"/>
                <w14:ligatures w14:val="none"/>
              </w:rPr>
              <w:t>LLSIL</w:t>
            </w:r>
          </w:p>
        </w:tc>
        <w:tc>
          <w:tcPr>
            <w:tcW w:w="2430" w:type="dxa"/>
            <w:vAlign w:val="center"/>
          </w:tcPr>
          <w:p w14:paraId="2AFA14FC" w14:textId="5703D3F9" w:rsidR="00705862" w:rsidRPr="00E133C1" w:rsidRDefault="00705862" w:rsidP="00705862">
            <w:pPr>
              <w:pStyle w:val="NoSpacing"/>
              <w:jc w:val="center"/>
              <w:rPr>
                <w:rFonts w:ascii="Calibri" w:eastAsia="Times New Roman" w:hAnsi="Calibri" w:cs="Calibri"/>
                <w:b/>
                <w:bCs/>
                <w:color w:val="000000"/>
                <w:kern w:val="0"/>
                <w14:ligatures w14:val="none"/>
              </w:rPr>
            </w:pPr>
            <w:r w:rsidRPr="00E133C1">
              <w:rPr>
                <w:rFonts w:ascii="Calibri" w:eastAsia="Times New Roman" w:hAnsi="Calibri" w:cs="Calibri"/>
                <w:b/>
                <w:bCs/>
                <w:color w:val="000000"/>
                <w:kern w:val="0"/>
                <w14:ligatures w14:val="none"/>
              </w:rPr>
              <w:t>100% Midwest</w:t>
            </w:r>
          </w:p>
          <w:p w14:paraId="59CA4FD8" w14:textId="6725AA10" w:rsidR="00705862" w:rsidRPr="00E133C1" w:rsidRDefault="00705862" w:rsidP="00705862">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Metro LLSIL</w:t>
            </w:r>
          </w:p>
        </w:tc>
        <w:tc>
          <w:tcPr>
            <w:tcW w:w="2425" w:type="dxa"/>
            <w:vAlign w:val="center"/>
          </w:tcPr>
          <w:p w14:paraId="1C45D7AA" w14:textId="77777777" w:rsidR="00705862" w:rsidRPr="00E133C1" w:rsidRDefault="00705862" w:rsidP="00705862">
            <w:pPr>
              <w:jc w:val="center"/>
              <w:rPr>
                <w:rFonts w:ascii="Calibri" w:eastAsia="Times New Roman" w:hAnsi="Calibri" w:cs="Calibri"/>
                <w:b/>
                <w:bCs/>
                <w:color w:val="000000"/>
                <w:kern w:val="0"/>
                <w14:ligatures w14:val="none"/>
              </w:rPr>
            </w:pPr>
            <w:r w:rsidRPr="00E133C1">
              <w:rPr>
                <w:rFonts w:ascii="Calibri" w:eastAsia="Times New Roman" w:hAnsi="Calibri" w:cs="Calibri"/>
                <w:b/>
                <w:bCs/>
                <w:color w:val="000000"/>
                <w:kern w:val="0"/>
                <w14:ligatures w14:val="none"/>
              </w:rPr>
              <w:t>100% Midwest</w:t>
            </w:r>
          </w:p>
          <w:p w14:paraId="2F98F8CA" w14:textId="58EEAD09" w:rsidR="00705862" w:rsidRPr="00E133C1" w:rsidRDefault="00705862" w:rsidP="00705862">
            <w:pPr>
              <w:pStyle w:val="NoSpacing"/>
              <w:jc w:val="center"/>
            </w:pPr>
            <w:r w:rsidRPr="00E133C1">
              <w:rPr>
                <w:rFonts w:ascii="Calibri" w:eastAsia="Times New Roman" w:hAnsi="Calibri" w:cs="Calibri"/>
                <w:b/>
                <w:bCs/>
                <w:color w:val="000000"/>
                <w:kern w:val="0"/>
                <w14:ligatures w14:val="none"/>
              </w:rPr>
              <w:t>Non-Metro LLSIL</w:t>
            </w:r>
          </w:p>
        </w:tc>
      </w:tr>
      <w:tr w:rsidR="008A0E7C" w14:paraId="51EBDA3D" w14:textId="77777777" w:rsidTr="00AC728E">
        <w:tc>
          <w:tcPr>
            <w:tcW w:w="1345" w:type="dxa"/>
            <w:vAlign w:val="center"/>
          </w:tcPr>
          <w:p w14:paraId="37416F3B" w14:textId="67399936" w:rsidR="008A0E7C" w:rsidRPr="00E133C1" w:rsidRDefault="008A0E7C" w:rsidP="008A0E7C">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1</w:t>
            </w:r>
          </w:p>
        </w:tc>
        <w:tc>
          <w:tcPr>
            <w:tcW w:w="3150" w:type="dxa"/>
          </w:tcPr>
          <w:p w14:paraId="64550CBD" w14:textId="35ADC65B" w:rsidR="008A0E7C" w:rsidRPr="00E133C1" w:rsidRDefault="008A0E7C" w:rsidP="008A0E7C">
            <w:pPr>
              <w:pStyle w:val="NoSpacing"/>
              <w:jc w:val="center"/>
              <w:rPr>
                <w:rFonts w:eastAsia="Times New Roman" w:cstheme="minorHAnsi"/>
                <w:kern w:val="0"/>
                <w14:ligatures w14:val="none"/>
              </w:rPr>
            </w:pPr>
            <w:r w:rsidRPr="00E133C1">
              <w:t>$1,41</w:t>
            </w:r>
            <w:r w:rsidR="001B7377" w:rsidRPr="00E133C1">
              <w:t>1</w:t>
            </w:r>
          </w:p>
        </w:tc>
        <w:tc>
          <w:tcPr>
            <w:tcW w:w="2430" w:type="dxa"/>
          </w:tcPr>
          <w:p w14:paraId="2DD6947D" w14:textId="0AF4F4F0" w:rsidR="008A0E7C" w:rsidRPr="00E133C1" w:rsidRDefault="008A0E7C" w:rsidP="008A0E7C">
            <w:pPr>
              <w:pStyle w:val="NoSpacing"/>
              <w:jc w:val="center"/>
              <w:rPr>
                <w:rFonts w:eastAsia="Times New Roman" w:cstheme="minorHAnsi"/>
                <w:kern w:val="0"/>
                <w14:ligatures w14:val="none"/>
              </w:rPr>
            </w:pPr>
            <w:r w:rsidRPr="00E133C1">
              <w:t>$1,40</w:t>
            </w:r>
            <w:r w:rsidR="001B7377" w:rsidRPr="00E133C1">
              <w:t>8</w:t>
            </w:r>
          </w:p>
        </w:tc>
        <w:tc>
          <w:tcPr>
            <w:tcW w:w="2425" w:type="dxa"/>
          </w:tcPr>
          <w:p w14:paraId="6734068A" w14:textId="5C886E9E" w:rsidR="008A0E7C" w:rsidRPr="00E133C1" w:rsidRDefault="008A0E7C" w:rsidP="008A0E7C">
            <w:pPr>
              <w:pStyle w:val="NoSpacing"/>
              <w:jc w:val="center"/>
              <w:rPr>
                <w:rFonts w:eastAsia="Times New Roman" w:cstheme="minorHAnsi"/>
                <w:kern w:val="0"/>
                <w14:ligatures w14:val="none"/>
              </w:rPr>
            </w:pPr>
            <w:r w:rsidRPr="00E133C1">
              <w:t>$1,35</w:t>
            </w:r>
            <w:r w:rsidR="001B7377" w:rsidRPr="00E133C1">
              <w:t>5</w:t>
            </w:r>
          </w:p>
        </w:tc>
      </w:tr>
      <w:tr w:rsidR="008A0E7C" w14:paraId="04DA2A61" w14:textId="77777777" w:rsidTr="00AC728E">
        <w:tc>
          <w:tcPr>
            <w:tcW w:w="1345" w:type="dxa"/>
            <w:vAlign w:val="center"/>
          </w:tcPr>
          <w:p w14:paraId="60202489" w14:textId="11711F7F" w:rsidR="008A0E7C" w:rsidRPr="00E133C1" w:rsidRDefault="008A0E7C" w:rsidP="008A0E7C">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2</w:t>
            </w:r>
          </w:p>
        </w:tc>
        <w:tc>
          <w:tcPr>
            <w:tcW w:w="3150" w:type="dxa"/>
          </w:tcPr>
          <w:p w14:paraId="4C267575" w14:textId="667DDDE7" w:rsidR="008A0E7C" w:rsidRPr="00E133C1" w:rsidRDefault="008A0E7C" w:rsidP="008A0E7C">
            <w:pPr>
              <w:pStyle w:val="NoSpacing"/>
              <w:jc w:val="center"/>
              <w:rPr>
                <w:rFonts w:eastAsia="Times New Roman" w:cstheme="minorHAnsi"/>
                <w:kern w:val="0"/>
                <w14:ligatures w14:val="none"/>
              </w:rPr>
            </w:pPr>
            <w:r w:rsidRPr="00E133C1">
              <w:t>$2,31</w:t>
            </w:r>
            <w:r w:rsidR="001B7377" w:rsidRPr="00E133C1">
              <w:t>2</w:t>
            </w:r>
            <w:r w:rsidRPr="00E133C1">
              <w:t xml:space="preserve"> </w:t>
            </w:r>
          </w:p>
        </w:tc>
        <w:tc>
          <w:tcPr>
            <w:tcW w:w="2430" w:type="dxa"/>
          </w:tcPr>
          <w:p w14:paraId="7A74F399" w14:textId="69841285" w:rsidR="008A0E7C" w:rsidRPr="00E133C1" w:rsidRDefault="008A0E7C" w:rsidP="008A0E7C">
            <w:pPr>
              <w:pStyle w:val="NoSpacing"/>
              <w:jc w:val="center"/>
              <w:rPr>
                <w:rFonts w:eastAsia="Times New Roman" w:cstheme="minorHAnsi"/>
                <w:kern w:val="0"/>
                <w14:ligatures w14:val="none"/>
              </w:rPr>
            </w:pPr>
            <w:r w:rsidRPr="00E133C1">
              <w:t>$2,30</w:t>
            </w:r>
            <w:r w:rsidR="001B7377" w:rsidRPr="00E133C1">
              <w:t>7</w:t>
            </w:r>
          </w:p>
        </w:tc>
        <w:tc>
          <w:tcPr>
            <w:tcW w:w="2425" w:type="dxa"/>
          </w:tcPr>
          <w:p w14:paraId="594D4843" w14:textId="663099B0" w:rsidR="008A0E7C" w:rsidRPr="00E133C1" w:rsidRDefault="008A0E7C" w:rsidP="008A0E7C">
            <w:pPr>
              <w:pStyle w:val="NoSpacing"/>
              <w:jc w:val="center"/>
              <w:rPr>
                <w:rFonts w:eastAsia="Times New Roman" w:cstheme="minorHAnsi"/>
                <w:kern w:val="0"/>
                <w14:ligatures w14:val="none"/>
              </w:rPr>
            </w:pPr>
            <w:r w:rsidRPr="00E133C1">
              <w:t>$2,21</w:t>
            </w:r>
            <w:r w:rsidR="004D7D47" w:rsidRPr="00E133C1">
              <w:t>8</w:t>
            </w:r>
            <w:r w:rsidRPr="00E133C1">
              <w:t xml:space="preserve"> </w:t>
            </w:r>
          </w:p>
        </w:tc>
      </w:tr>
      <w:tr w:rsidR="008A0E7C" w14:paraId="28429731" w14:textId="77777777" w:rsidTr="00AC728E">
        <w:tc>
          <w:tcPr>
            <w:tcW w:w="1345" w:type="dxa"/>
            <w:vAlign w:val="center"/>
          </w:tcPr>
          <w:p w14:paraId="40987E44" w14:textId="3D39A6E2" w:rsidR="008A0E7C" w:rsidRPr="00E133C1" w:rsidRDefault="008A0E7C" w:rsidP="008A0E7C">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3</w:t>
            </w:r>
          </w:p>
        </w:tc>
        <w:tc>
          <w:tcPr>
            <w:tcW w:w="3150" w:type="dxa"/>
          </w:tcPr>
          <w:p w14:paraId="3530C4EE" w14:textId="452530B2" w:rsidR="008A0E7C" w:rsidRPr="00E133C1" w:rsidRDefault="008A0E7C" w:rsidP="008A0E7C">
            <w:pPr>
              <w:pStyle w:val="NoSpacing"/>
              <w:jc w:val="center"/>
              <w:rPr>
                <w:rFonts w:eastAsia="Times New Roman" w:cstheme="minorHAnsi"/>
                <w:kern w:val="0"/>
                <w14:ligatures w14:val="none"/>
              </w:rPr>
            </w:pPr>
            <w:r w:rsidRPr="00E133C1">
              <w:t>$3,17</w:t>
            </w:r>
            <w:r w:rsidR="001B7377" w:rsidRPr="00E133C1">
              <w:t>4</w:t>
            </w:r>
          </w:p>
        </w:tc>
        <w:tc>
          <w:tcPr>
            <w:tcW w:w="2430" w:type="dxa"/>
          </w:tcPr>
          <w:p w14:paraId="2AFFAA37" w14:textId="33F3BFF4" w:rsidR="008A0E7C" w:rsidRPr="00E133C1" w:rsidRDefault="008A0E7C" w:rsidP="008A0E7C">
            <w:pPr>
              <w:pStyle w:val="NoSpacing"/>
              <w:jc w:val="center"/>
              <w:rPr>
                <w:rFonts w:eastAsia="Times New Roman" w:cstheme="minorHAnsi"/>
                <w:kern w:val="0"/>
                <w14:ligatures w14:val="none"/>
              </w:rPr>
            </w:pPr>
            <w:r w:rsidRPr="00E133C1">
              <w:t>$3,16</w:t>
            </w:r>
            <w:r w:rsidR="001B7377" w:rsidRPr="00E133C1">
              <w:t>6</w:t>
            </w:r>
          </w:p>
        </w:tc>
        <w:tc>
          <w:tcPr>
            <w:tcW w:w="2425" w:type="dxa"/>
          </w:tcPr>
          <w:p w14:paraId="0C9416FD" w14:textId="46845692" w:rsidR="008A0E7C" w:rsidRPr="00E133C1" w:rsidRDefault="008A0E7C" w:rsidP="008A0E7C">
            <w:pPr>
              <w:pStyle w:val="NoSpacing"/>
              <w:jc w:val="center"/>
              <w:rPr>
                <w:rFonts w:eastAsia="Times New Roman" w:cstheme="minorHAnsi"/>
                <w:kern w:val="0"/>
                <w14:ligatures w14:val="none"/>
              </w:rPr>
            </w:pPr>
            <w:r w:rsidRPr="00E133C1">
              <w:t>$3,04</w:t>
            </w:r>
            <w:r w:rsidR="004D7D47" w:rsidRPr="00E133C1">
              <w:t>5</w:t>
            </w:r>
            <w:r w:rsidRPr="00E133C1">
              <w:t xml:space="preserve"> </w:t>
            </w:r>
          </w:p>
        </w:tc>
      </w:tr>
      <w:tr w:rsidR="008A0E7C" w14:paraId="566CA5E8" w14:textId="77777777" w:rsidTr="00AC728E">
        <w:tc>
          <w:tcPr>
            <w:tcW w:w="1345" w:type="dxa"/>
            <w:vAlign w:val="center"/>
          </w:tcPr>
          <w:p w14:paraId="1DAEFDE2" w14:textId="61786106" w:rsidR="008A0E7C" w:rsidRPr="00E133C1" w:rsidRDefault="008A0E7C" w:rsidP="008A0E7C">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4</w:t>
            </w:r>
          </w:p>
        </w:tc>
        <w:tc>
          <w:tcPr>
            <w:tcW w:w="3150" w:type="dxa"/>
          </w:tcPr>
          <w:p w14:paraId="5D4E7ABA" w14:textId="25423AE5" w:rsidR="008A0E7C" w:rsidRPr="00E133C1" w:rsidRDefault="008A0E7C" w:rsidP="008A0E7C">
            <w:pPr>
              <w:pStyle w:val="NoSpacing"/>
              <w:jc w:val="center"/>
              <w:rPr>
                <w:rFonts w:eastAsia="Times New Roman" w:cstheme="minorHAnsi"/>
                <w:kern w:val="0"/>
                <w14:ligatures w14:val="none"/>
              </w:rPr>
            </w:pPr>
            <w:r w:rsidRPr="00E133C1">
              <w:t>$3,91</w:t>
            </w:r>
            <w:r w:rsidR="001B7377" w:rsidRPr="00E133C1">
              <w:t>7</w:t>
            </w:r>
          </w:p>
        </w:tc>
        <w:tc>
          <w:tcPr>
            <w:tcW w:w="2430" w:type="dxa"/>
          </w:tcPr>
          <w:p w14:paraId="26C7112E" w14:textId="70D32A6A" w:rsidR="008A0E7C" w:rsidRPr="00E133C1" w:rsidRDefault="008A0E7C" w:rsidP="008A0E7C">
            <w:pPr>
              <w:pStyle w:val="NoSpacing"/>
              <w:jc w:val="center"/>
              <w:rPr>
                <w:rFonts w:eastAsia="Times New Roman" w:cstheme="minorHAnsi"/>
                <w:kern w:val="0"/>
                <w14:ligatures w14:val="none"/>
              </w:rPr>
            </w:pPr>
            <w:r w:rsidRPr="00E133C1">
              <w:t>$3,90</w:t>
            </w:r>
            <w:r w:rsidR="001B7377" w:rsidRPr="00E133C1">
              <w:t>8</w:t>
            </w:r>
            <w:r w:rsidRPr="00E133C1">
              <w:t xml:space="preserve"> </w:t>
            </w:r>
          </w:p>
        </w:tc>
        <w:tc>
          <w:tcPr>
            <w:tcW w:w="2425" w:type="dxa"/>
          </w:tcPr>
          <w:p w14:paraId="6A799C43" w14:textId="0A3D57CB" w:rsidR="008A0E7C" w:rsidRPr="00E133C1" w:rsidRDefault="008A0E7C" w:rsidP="008A0E7C">
            <w:pPr>
              <w:pStyle w:val="NoSpacing"/>
              <w:jc w:val="center"/>
              <w:rPr>
                <w:rFonts w:eastAsia="Times New Roman" w:cstheme="minorHAnsi"/>
                <w:kern w:val="0"/>
                <w14:ligatures w14:val="none"/>
              </w:rPr>
            </w:pPr>
            <w:r w:rsidRPr="00E133C1">
              <w:t>$3,75</w:t>
            </w:r>
            <w:r w:rsidR="004D7D47" w:rsidRPr="00E133C1">
              <w:t>8</w:t>
            </w:r>
            <w:r w:rsidRPr="00E133C1">
              <w:t xml:space="preserve"> </w:t>
            </w:r>
          </w:p>
        </w:tc>
      </w:tr>
      <w:tr w:rsidR="008A0E7C" w14:paraId="6E1816E0" w14:textId="77777777" w:rsidTr="00AC728E">
        <w:tc>
          <w:tcPr>
            <w:tcW w:w="1345" w:type="dxa"/>
            <w:vAlign w:val="center"/>
          </w:tcPr>
          <w:p w14:paraId="2125A0E1" w14:textId="46A99FA5" w:rsidR="008A0E7C" w:rsidRPr="00E133C1" w:rsidRDefault="008A0E7C" w:rsidP="008A0E7C">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5</w:t>
            </w:r>
          </w:p>
        </w:tc>
        <w:tc>
          <w:tcPr>
            <w:tcW w:w="3150" w:type="dxa"/>
          </w:tcPr>
          <w:p w14:paraId="3B99AB49" w14:textId="29E86569" w:rsidR="008A0E7C" w:rsidRPr="00E133C1" w:rsidRDefault="008A0E7C" w:rsidP="008A0E7C">
            <w:pPr>
              <w:pStyle w:val="NoSpacing"/>
              <w:jc w:val="center"/>
              <w:rPr>
                <w:rFonts w:eastAsia="Times New Roman" w:cstheme="minorHAnsi"/>
                <w:kern w:val="0"/>
                <w14:ligatures w14:val="none"/>
              </w:rPr>
            </w:pPr>
            <w:r w:rsidRPr="00E133C1">
              <w:t>$4,62</w:t>
            </w:r>
            <w:r w:rsidR="001B7377" w:rsidRPr="00E133C1">
              <w:t>3</w:t>
            </w:r>
            <w:r w:rsidRPr="00E133C1">
              <w:t xml:space="preserve"> </w:t>
            </w:r>
          </w:p>
        </w:tc>
        <w:tc>
          <w:tcPr>
            <w:tcW w:w="2430" w:type="dxa"/>
          </w:tcPr>
          <w:p w14:paraId="114CD74E" w14:textId="26E7A4BA" w:rsidR="008A0E7C" w:rsidRPr="00E133C1" w:rsidRDefault="008A0E7C" w:rsidP="008A0E7C">
            <w:pPr>
              <w:pStyle w:val="NoSpacing"/>
              <w:jc w:val="center"/>
              <w:rPr>
                <w:rFonts w:eastAsia="Times New Roman" w:cstheme="minorHAnsi"/>
                <w:kern w:val="0"/>
                <w14:ligatures w14:val="none"/>
              </w:rPr>
            </w:pPr>
            <w:r w:rsidRPr="00E133C1">
              <w:t>$4,61</w:t>
            </w:r>
            <w:r w:rsidR="001B7377" w:rsidRPr="00E133C1">
              <w:t>2</w:t>
            </w:r>
            <w:r w:rsidRPr="00E133C1">
              <w:t xml:space="preserve"> </w:t>
            </w:r>
          </w:p>
        </w:tc>
        <w:tc>
          <w:tcPr>
            <w:tcW w:w="2425" w:type="dxa"/>
          </w:tcPr>
          <w:p w14:paraId="4EFA2988" w14:textId="4C9F705D" w:rsidR="008A0E7C" w:rsidRPr="00E133C1" w:rsidRDefault="008A0E7C" w:rsidP="008A0E7C">
            <w:pPr>
              <w:pStyle w:val="NoSpacing"/>
              <w:jc w:val="center"/>
              <w:rPr>
                <w:rFonts w:eastAsia="Times New Roman" w:cstheme="minorHAnsi"/>
                <w:kern w:val="0"/>
                <w14:ligatures w14:val="none"/>
              </w:rPr>
            </w:pPr>
            <w:r w:rsidRPr="00E133C1">
              <w:t>$4,43</w:t>
            </w:r>
            <w:r w:rsidR="004D7D47" w:rsidRPr="00E133C1">
              <w:t>6</w:t>
            </w:r>
            <w:r w:rsidRPr="00E133C1">
              <w:t xml:space="preserve"> </w:t>
            </w:r>
          </w:p>
        </w:tc>
      </w:tr>
      <w:tr w:rsidR="00FD2DBE" w14:paraId="709048CA" w14:textId="77777777" w:rsidTr="00AC728E">
        <w:tc>
          <w:tcPr>
            <w:tcW w:w="1345" w:type="dxa"/>
            <w:vAlign w:val="center"/>
          </w:tcPr>
          <w:p w14:paraId="2C75F7AC" w14:textId="6A45729A" w:rsidR="00FD2DBE" w:rsidRPr="00E133C1" w:rsidRDefault="00FD2DBE" w:rsidP="00FD2DBE">
            <w:pPr>
              <w:pStyle w:val="NoSpacing"/>
              <w:jc w:val="center"/>
              <w:rPr>
                <w:rFonts w:ascii="Calibri" w:eastAsia="Times New Roman" w:hAnsi="Calibri" w:cs="Calibri"/>
                <w:b/>
                <w:bCs/>
                <w:color w:val="000000"/>
                <w:kern w:val="0"/>
                <w14:ligatures w14:val="none"/>
              </w:rPr>
            </w:pPr>
            <w:r w:rsidRPr="00E133C1">
              <w:rPr>
                <w:rFonts w:ascii="Calibri" w:eastAsia="Times New Roman" w:hAnsi="Calibri" w:cs="Calibri"/>
                <w:b/>
                <w:bCs/>
                <w:color w:val="000000"/>
                <w:kern w:val="0"/>
                <w14:ligatures w14:val="none"/>
              </w:rPr>
              <w:t>6</w:t>
            </w:r>
          </w:p>
        </w:tc>
        <w:tc>
          <w:tcPr>
            <w:tcW w:w="3150" w:type="dxa"/>
          </w:tcPr>
          <w:p w14:paraId="44AB484B" w14:textId="3EB92D27" w:rsidR="00FD2DBE" w:rsidRPr="00E133C1" w:rsidRDefault="00FD2DBE" w:rsidP="00FD2DBE">
            <w:pPr>
              <w:pStyle w:val="NoSpacing"/>
              <w:jc w:val="center"/>
            </w:pPr>
            <w:r w:rsidRPr="00E133C1">
              <w:t>$5,40</w:t>
            </w:r>
            <w:r w:rsidR="001B7377" w:rsidRPr="00E133C1">
              <w:t>7</w:t>
            </w:r>
            <w:r w:rsidRPr="00E133C1">
              <w:t xml:space="preserve"> </w:t>
            </w:r>
          </w:p>
        </w:tc>
        <w:tc>
          <w:tcPr>
            <w:tcW w:w="2430" w:type="dxa"/>
          </w:tcPr>
          <w:p w14:paraId="7A0131AB" w14:textId="3A41C301" w:rsidR="00FD2DBE" w:rsidRPr="00E133C1" w:rsidRDefault="00FD2DBE" w:rsidP="00FD2DBE">
            <w:pPr>
              <w:pStyle w:val="NoSpacing"/>
              <w:jc w:val="center"/>
            </w:pPr>
            <w:r w:rsidRPr="00E133C1">
              <w:t>$5,39</w:t>
            </w:r>
            <w:r w:rsidR="001B7377" w:rsidRPr="00E133C1">
              <w:t>5</w:t>
            </w:r>
            <w:r w:rsidRPr="00E133C1">
              <w:t xml:space="preserve"> </w:t>
            </w:r>
          </w:p>
        </w:tc>
        <w:tc>
          <w:tcPr>
            <w:tcW w:w="2425" w:type="dxa"/>
          </w:tcPr>
          <w:p w14:paraId="1ADB77D1" w14:textId="47AEB92B" w:rsidR="00FD2DBE" w:rsidRPr="00E133C1" w:rsidRDefault="00FD2DBE" w:rsidP="00FD2DBE">
            <w:pPr>
              <w:pStyle w:val="NoSpacing"/>
              <w:jc w:val="center"/>
            </w:pPr>
            <w:r w:rsidRPr="00E133C1">
              <w:t>$5,18</w:t>
            </w:r>
            <w:r w:rsidR="004D7D47" w:rsidRPr="00E133C1">
              <w:t>8</w:t>
            </w:r>
            <w:r w:rsidRPr="00E133C1">
              <w:t xml:space="preserve"> </w:t>
            </w:r>
          </w:p>
        </w:tc>
      </w:tr>
    </w:tbl>
    <w:p w14:paraId="7427821B" w14:textId="77777777" w:rsidR="00AA5076" w:rsidRPr="009C7AA2" w:rsidRDefault="00AA5076" w:rsidP="00AA5076">
      <w:pPr>
        <w:spacing w:after="0" w:line="240" w:lineRule="auto"/>
        <w:rPr>
          <w:rFonts w:eastAsia="Times New Roman" w:cstheme="minorHAnsi"/>
          <w:kern w:val="0"/>
          <w:sz w:val="12"/>
          <w:szCs w:val="12"/>
          <w14:ligatures w14:val="none"/>
        </w:rPr>
      </w:pPr>
    </w:p>
    <w:p w14:paraId="09F12AFF" w14:textId="30F5D9F8" w:rsidR="00AB2145" w:rsidRPr="00855068" w:rsidRDefault="00804461" w:rsidP="004E51FF">
      <w:pPr>
        <w:pStyle w:val="NoSpacing"/>
      </w:pPr>
      <w:r>
        <w:rPr>
          <w:b/>
          <w:bCs/>
        </w:rPr>
        <w:t xml:space="preserve">Note: </w:t>
      </w:r>
      <w:r>
        <w:t xml:space="preserve">All incomes listed in Table Two are </w:t>
      </w:r>
      <w:r w:rsidRPr="007130E6">
        <w:rPr>
          <w:u w:val="single"/>
        </w:rPr>
        <w:t>rounded up</w:t>
      </w:r>
      <w:r>
        <w:t xml:space="preserve"> to the </w:t>
      </w:r>
      <w:r w:rsidRPr="00366B28">
        <w:t>nearest whole dollar</w:t>
      </w:r>
      <w:r>
        <w:t xml:space="preserve"> for presentation purposes</w:t>
      </w:r>
      <w:r w:rsidRPr="00366B28">
        <w:t>.</w:t>
      </w:r>
    </w:p>
    <w:p w14:paraId="543457DB" w14:textId="77777777" w:rsidR="00A50B54" w:rsidRDefault="00A50B54" w:rsidP="00AE31F2">
      <w:pPr>
        <w:pStyle w:val="NoSpacing"/>
        <w:jc w:val="center"/>
        <w:rPr>
          <w:b/>
          <w:bCs/>
          <w:sz w:val="28"/>
          <w:szCs w:val="28"/>
          <w:u w:val="single"/>
        </w:rPr>
      </w:pPr>
    </w:p>
    <w:p w14:paraId="6F79456B" w14:textId="77777777" w:rsidR="00A50B54" w:rsidRDefault="00A50B54" w:rsidP="00AE31F2">
      <w:pPr>
        <w:pStyle w:val="NoSpacing"/>
        <w:jc w:val="center"/>
        <w:rPr>
          <w:b/>
          <w:bCs/>
          <w:sz w:val="28"/>
          <w:szCs w:val="28"/>
          <w:u w:val="single"/>
        </w:rPr>
      </w:pPr>
    </w:p>
    <w:p w14:paraId="4B2BB2E5" w14:textId="77777777" w:rsidR="00A50B54" w:rsidRDefault="00A50B54" w:rsidP="00AE31F2">
      <w:pPr>
        <w:pStyle w:val="NoSpacing"/>
        <w:jc w:val="center"/>
        <w:rPr>
          <w:b/>
          <w:bCs/>
          <w:sz w:val="28"/>
          <w:szCs w:val="28"/>
          <w:u w:val="single"/>
        </w:rPr>
      </w:pPr>
    </w:p>
    <w:p w14:paraId="0F431CFD" w14:textId="77777777" w:rsidR="00A50B54" w:rsidRDefault="00A50B54" w:rsidP="00AE31F2">
      <w:pPr>
        <w:pStyle w:val="NoSpacing"/>
        <w:jc w:val="center"/>
        <w:rPr>
          <w:b/>
          <w:bCs/>
          <w:sz w:val="28"/>
          <w:szCs w:val="28"/>
          <w:u w:val="single"/>
        </w:rPr>
      </w:pPr>
    </w:p>
    <w:p w14:paraId="6DA4F00E" w14:textId="77777777" w:rsidR="00A50B54" w:rsidRDefault="00A50B54" w:rsidP="00AE31F2">
      <w:pPr>
        <w:pStyle w:val="NoSpacing"/>
        <w:jc w:val="center"/>
        <w:rPr>
          <w:b/>
          <w:bCs/>
          <w:sz w:val="28"/>
          <w:szCs w:val="28"/>
          <w:u w:val="single"/>
        </w:rPr>
      </w:pPr>
    </w:p>
    <w:p w14:paraId="6D25A80E" w14:textId="77777777" w:rsidR="00A50B54" w:rsidRDefault="00A50B54" w:rsidP="00AE31F2">
      <w:pPr>
        <w:pStyle w:val="NoSpacing"/>
        <w:jc w:val="center"/>
        <w:rPr>
          <w:b/>
          <w:bCs/>
          <w:u w:val="single"/>
        </w:rPr>
      </w:pPr>
    </w:p>
    <w:p w14:paraId="42A261F1" w14:textId="487FE29E" w:rsidR="00AB2145" w:rsidRPr="00A50B54" w:rsidRDefault="00AB2145" w:rsidP="00AE31F2">
      <w:pPr>
        <w:pStyle w:val="NoSpacing"/>
        <w:jc w:val="center"/>
        <w:rPr>
          <w:rFonts w:eastAsia="Times New Roman" w:cstheme="minorHAnsi"/>
          <w:b/>
          <w:bCs/>
          <w:kern w:val="0"/>
          <w:sz w:val="24"/>
          <w:szCs w:val="24"/>
          <w:u w:val="single"/>
          <w14:ligatures w14:val="none"/>
        </w:rPr>
      </w:pPr>
      <w:r w:rsidRPr="00A50B54">
        <w:rPr>
          <w:b/>
          <w:bCs/>
          <w:sz w:val="24"/>
          <w:szCs w:val="24"/>
          <w:u w:val="single"/>
        </w:rPr>
        <w:lastRenderedPageBreak/>
        <w:t xml:space="preserve">Appendix </w:t>
      </w:r>
      <w:r w:rsidR="00C06DD6" w:rsidRPr="00A50B54">
        <w:rPr>
          <w:b/>
          <w:bCs/>
          <w:sz w:val="24"/>
          <w:szCs w:val="24"/>
          <w:u w:val="single"/>
        </w:rPr>
        <w:t>Two</w:t>
      </w:r>
      <w:r w:rsidRPr="00A50B54">
        <w:rPr>
          <w:rFonts w:eastAsia="Times New Roman" w:cstheme="minorHAnsi"/>
          <w:b/>
          <w:bCs/>
          <w:kern w:val="0"/>
          <w:sz w:val="24"/>
          <w:szCs w:val="24"/>
          <w:u w:val="single"/>
          <w14:ligatures w14:val="none"/>
        </w:rPr>
        <w:t>: Low-Income Guidelines</w:t>
      </w:r>
    </w:p>
    <w:p w14:paraId="219FE959" w14:textId="4B137C52" w:rsidR="00963A9A" w:rsidRDefault="00B67034" w:rsidP="00B67034">
      <w:pPr>
        <w:pStyle w:val="NoSpacing"/>
      </w:pPr>
      <w:r>
        <w:rPr>
          <w:rFonts w:eastAsia="Times New Roman" w:cstheme="minorHAnsi"/>
          <w:kern w:val="0"/>
          <w14:ligatures w14:val="none"/>
        </w:rPr>
        <w:t>U</w:t>
      </w:r>
      <w:r w:rsidRPr="006C049B">
        <w:rPr>
          <w:rFonts w:eastAsia="Times New Roman" w:cstheme="minorHAnsi"/>
          <w:kern w:val="0"/>
          <w14:ligatures w14:val="none"/>
        </w:rPr>
        <w:t xml:space="preserve">se </w:t>
      </w:r>
      <w:r>
        <w:rPr>
          <w:rFonts w:eastAsia="Times New Roman" w:cstheme="minorHAnsi"/>
          <w:kern w:val="0"/>
          <w14:ligatures w14:val="none"/>
        </w:rPr>
        <w:t xml:space="preserve">the </w:t>
      </w:r>
      <w:r w:rsidR="0021611D">
        <w:rPr>
          <w:rFonts w:eastAsia="Times New Roman" w:cstheme="minorHAnsi"/>
          <w:kern w:val="0"/>
          <w14:ligatures w14:val="none"/>
        </w:rPr>
        <w:t xml:space="preserve">100% </w:t>
      </w:r>
      <w:r w:rsidR="001A4A62">
        <w:rPr>
          <w:rFonts w:eastAsia="Times New Roman" w:cstheme="minorHAnsi"/>
          <w:kern w:val="0"/>
          <w14:ligatures w14:val="none"/>
        </w:rPr>
        <w:t>or</w:t>
      </w:r>
      <w:r w:rsidR="007A272E">
        <w:rPr>
          <w:rFonts w:eastAsia="Times New Roman" w:cstheme="minorHAnsi"/>
          <w:kern w:val="0"/>
          <w14:ligatures w14:val="none"/>
        </w:rPr>
        <w:t xml:space="preserve"> 200% </w:t>
      </w:r>
      <w:r w:rsidR="0021611D">
        <w:rPr>
          <w:rFonts w:eastAsia="Times New Roman" w:cstheme="minorHAnsi"/>
          <w:kern w:val="0"/>
          <w14:ligatures w14:val="none"/>
        </w:rPr>
        <w:t>level</w:t>
      </w:r>
      <w:r w:rsidR="007A272E">
        <w:rPr>
          <w:rFonts w:eastAsia="Times New Roman" w:cstheme="minorHAnsi"/>
          <w:kern w:val="0"/>
          <w14:ligatures w14:val="none"/>
        </w:rPr>
        <w:t>s</w:t>
      </w:r>
      <w:r w:rsidR="0021611D">
        <w:rPr>
          <w:rFonts w:eastAsia="Times New Roman" w:cstheme="minorHAnsi"/>
          <w:kern w:val="0"/>
          <w14:ligatures w14:val="none"/>
        </w:rPr>
        <w:t xml:space="preserve"> of the </w:t>
      </w:r>
      <w:r w:rsidR="00AE31F2" w:rsidRPr="00CF6C0C">
        <w:rPr>
          <w:rFonts w:eastAsia="Times New Roman" w:cstheme="minorHAnsi"/>
          <w:kern w:val="0"/>
          <w14:ligatures w14:val="none"/>
        </w:rPr>
        <w:t xml:space="preserve">FP Guidelines </w:t>
      </w:r>
      <w:r w:rsidR="0021611D">
        <w:rPr>
          <w:rFonts w:eastAsia="Times New Roman" w:cstheme="minorHAnsi"/>
          <w:kern w:val="0"/>
          <w14:ligatures w14:val="none"/>
        </w:rPr>
        <w:t xml:space="preserve">and the </w:t>
      </w:r>
      <w:r w:rsidR="007A272E">
        <w:rPr>
          <w:rFonts w:eastAsia="Times New Roman" w:cstheme="minorHAnsi"/>
          <w:kern w:val="0"/>
          <w14:ligatures w14:val="none"/>
        </w:rPr>
        <w:t>7</w:t>
      </w:r>
      <w:r w:rsidR="0021611D">
        <w:rPr>
          <w:rFonts w:eastAsia="Times New Roman" w:cstheme="minorHAnsi"/>
          <w:kern w:val="0"/>
          <w14:ligatures w14:val="none"/>
        </w:rPr>
        <w:t xml:space="preserve">0% level of the </w:t>
      </w:r>
      <w:r w:rsidR="0021611D">
        <w:t xml:space="preserve">LLSIL Guidelines </w:t>
      </w:r>
      <w:r w:rsidR="003362A3">
        <w:rPr>
          <w:rFonts w:eastAsia="Times New Roman" w:cstheme="minorHAnsi"/>
          <w:kern w:val="0"/>
          <w14:ligatures w14:val="none"/>
        </w:rPr>
        <w:t xml:space="preserve">below </w:t>
      </w:r>
      <w:r w:rsidR="003362A3" w:rsidRPr="006C049B">
        <w:rPr>
          <w:rFonts w:eastAsia="Times New Roman" w:cstheme="minorHAnsi"/>
          <w:kern w:val="0"/>
          <w14:ligatures w14:val="none"/>
        </w:rPr>
        <w:t xml:space="preserve">to determine </w:t>
      </w:r>
      <w:r w:rsidR="006E6858">
        <w:rPr>
          <w:rFonts w:eastAsia="Times New Roman" w:cstheme="minorHAnsi"/>
          <w:kern w:val="0"/>
          <w14:ligatures w14:val="none"/>
        </w:rPr>
        <w:t xml:space="preserve">if someone is considered </w:t>
      </w:r>
      <w:r w:rsidR="006E6858" w:rsidRPr="006E6858">
        <w:rPr>
          <w:rFonts w:eastAsia="Times New Roman" w:cstheme="minorHAnsi"/>
          <w:i/>
          <w:iCs/>
          <w:kern w:val="0"/>
          <w14:ligatures w14:val="none"/>
        </w:rPr>
        <w:t>Low-Income</w:t>
      </w:r>
      <w:r w:rsidR="001A4A62">
        <w:rPr>
          <w:rFonts w:eastAsia="Times New Roman" w:cstheme="minorHAnsi"/>
          <w:i/>
          <w:iCs/>
          <w:kern w:val="0"/>
          <w14:ligatures w14:val="none"/>
        </w:rPr>
        <w:t xml:space="preserve">. </w:t>
      </w:r>
      <w:r w:rsidR="001A4A62" w:rsidRPr="009744FA">
        <w:rPr>
          <w:rFonts w:eastAsia="Times New Roman" w:cstheme="minorHAnsi"/>
          <w:kern w:val="0"/>
          <w14:ligatures w14:val="none"/>
        </w:rPr>
        <w:t>You can</w:t>
      </w:r>
      <w:r w:rsidR="001A4A62">
        <w:rPr>
          <w:rFonts w:eastAsia="Times New Roman" w:cstheme="minorHAnsi"/>
          <w:kern w:val="0"/>
          <w14:ligatures w14:val="none"/>
        </w:rPr>
        <w:t xml:space="preserve"> </w:t>
      </w:r>
      <w:r w:rsidRPr="006C049B">
        <w:rPr>
          <w:rFonts w:eastAsia="Times New Roman" w:cstheme="minorHAnsi"/>
          <w:kern w:val="0"/>
          <w14:ligatures w14:val="none"/>
        </w:rPr>
        <w:t>locat</w:t>
      </w:r>
      <w:r w:rsidR="001A4A62">
        <w:rPr>
          <w:rFonts w:eastAsia="Times New Roman" w:cstheme="minorHAnsi"/>
          <w:kern w:val="0"/>
          <w14:ligatures w14:val="none"/>
        </w:rPr>
        <w:t>e</w:t>
      </w:r>
      <w:r w:rsidRPr="006C049B">
        <w:rPr>
          <w:rFonts w:eastAsia="Times New Roman" w:cstheme="minorHAnsi"/>
          <w:kern w:val="0"/>
          <w14:ligatures w14:val="none"/>
        </w:rPr>
        <w:t xml:space="preserve"> the </w:t>
      </w:r>
      <w:r w:rsidR="002C49D2" w:rsidRPr="0021611D">
        <w:rPr>
          <w:rFonts w:eastAsia="Times New Roman" w:cstheme="minorHAnsi"/>
          <w:kern w:val="0"/>
          <w:u w:val="single"/>
          <w14:ligatures w14:val="none"/>
        </w:rPr>
        <w:t>highest</w:t>
      </w:r>
      <w:r w:rsidR="002C49D2">
        <w:rPr>
          <w:rFonts w:eastAsia="Times New Roman" w:cstheme="minorHAnsi"/>
          <w:kern w:val="0"/>
          <w14:ligatures w14:val="none"/>
        </w:rPr>
        <w:t xml:space="preserve"> </w:t>
      </w:r>
      <w:r w:rsidRPr="006C049B">
        <w:rPr>
          <w:rFonts w:eastAsia="Times New Roman" w:cstheme="minorHAnsi"/>
          <w:kern w:val="0"/>
          <w14:ligatures w14:val="none"/>
        </w:rPr>
        <w:t xml:space="preserve">corresponding </w:t>
      </w:r>
      <w:r>
        <w:rPr>
          <w:rFonts w:eastAsia="Times New Roman" w:cstheme="minorHAnsi"/>
          <w:kern w:val="0"/>
          <w14:ligatures w14:val="none"/>
        </w:rPr>
        <w:t>income</w:t>
      </w:r>
      <w:r w:rsidRPr="006C049B">
        <w:rPr>
          <w:rFonts w:eastAsia="Times New Roman" w:cstheme="minorHAnsi"/>
          <w:kern w:val="0"/>
          <w14:ligatures w14:val="none"/>
        </w:rPr>
        <w:t xml:space="preserve"> </w:t>
      </w:r>
      <w:r>
        <w:rPr>
          <w:rFonts w:eastAsia="Times New Roman" w:cstheme="minorHAnsi"/>
          <w:kern w:val="0"/>
          <w14:ligatures w14:val="none"/>
        </w:rPr>
        <w:t>to the</w:t>
      </w:r>
      <w:r w:rsidRPr="006C049B">
        <w:rPr>
          <w:rFonts w:eastAsia="Times New Roman" w:cstheme="minorHAnsi"/>
          <w:kern w:val="0"/>
          <w14:ligatures w14:val="none"/>
        </w:rPr>
        <w:t xml:space="preserve"> </w:t>
      </w:r>
      <w:r>
        <w:rPr>
          <w:rFonts w:eastAsia="Times New Roman" w:cstheme="minorHAnsi"/>
          <w:kern w:val="0"/>
          <w14:ligatures w14:val="none"/>
        </w:rPr>
        <w:t>household/</w:t>
      </w:r>
      <w:r w:rsidRPr="006C049B">
        <w:rPr>
          <w:rFonts w:eastAsia="Times New Roman" w:cstheme="minorHAnsi"/>
          <w:kern w:val="0"/>
          <w14:ligatures w14:val="none"/>
        </w:rPr>
        <w:t xml:space="preserve">family </w:t>
      </w:r>
      <w:r>
        <w:rPr>
          <w:rFonts w:eastAsia="Times New Roman" w:cstheme="minorHAnsi"/>
          <w:kern w:val="0"/>
          <w14:ligatures w14:val="none"/>
        </w:rPr>
        <w:t>size</w:t>
      </w:r>
      <w:r w:rsidRPr="006C049B">
        <w:rPr>
          <w:rFonts w:eastAsia="Times New Roman" w:cstheme="minorHAnsi"/>
          <w:kern w:val="0"/>
          <w14:ligatures w14:val="none"/>
        </w:rPr>
        <w:t xml:space="preserve"> in the appropriate column.</w:t>
      </w:r>
      <w:r w:rsidR="000E47AE">
        <w:rPr>
          <w:rFonts w:eastAsia="Times New Roman" w:cstheme="minorHAnsi"/>
          <w:kern w:val="0"/>
          <w14:ligatures w14:val="none"/>
        </w:rPr>
        <w:t xml:space="preserve"> </w:t>
      </w:r>
      <w:r w:rsidR="00AF273D">
        <w:rPr>
          <w:rFonts w:eastAsia="Times New Roman" w:cstheme="minorHAnsi"/>
          <w:kern w:val="0"/>
          <w14:ligatures w14:val="none"/>
        </w:rPr>
        <w:t xml:space="preserve">If an </w:t>
      </w:r>
      <w:r w:rsidR="00AF273D">
        <w:t>individual’s</w:t>
      </w:r>
      <w:r w:rsidR="00AF273D" w:rsidRPr="006C049B">
        <w:t xml:space="preserve"> </w:t>
      </w:r>
      <w:r w:rsidR="00AF273D">
        <w:rPr>
          <w:rFonts w:eastAsia="Times New Roman" w:cstheme="minorHAnsi"/>
          <w:kern w:val="0"/>
          <w14:ligatures w14:val="none"/>
        </w:rPr>
        <w:t xml:space="preserve">total </w:t>
      </w:r>
      <w:r w:rsidR="00E133C1">
        <w:rPr>
          <w:rFonts w:eastAsia="Times New Roman" w:cstheme="minorHAnsi"/>
          <w:i/>
          <w:iCs/>
          <w:kern w:val="0"/>
          <w14:ligatures w14:val="none"/>
        </w:rPr>
        <w:t>F</w:t>
      </w:r>
      <w:r w:rsidR="00AF273D" w:rsidRPr="00E133C1">
        <w:rPr>
          <w:rFonts w:eastAsia="Times New Roman" w:cstheme="minorHAnsi"/>
          <w:i/>
          <w:iCs/>
          <w:kern w:val="0"/>
          <w14:ligatures w14:val="none"/>
        </w:rPr>
        <w:t>amily</w:t>
      </w:r>
      <w:r w:rsidR="00AF273D">
        <w:rPr>
          <w:rFonts w:eastAsia="Times New Roman" w:cstheme="minorHAnsi"/>
          <w:kern w:val="0"/>
          <w14:ligatures w14:val="none"/>
        </w:rPr>
        <w:t xml:space="preserve"> income is below </w:t>
      </w:r>
      <w:r w:rsidR="00B44B84">
        <w:rPr>
          <w:rFonts w:eastAsia="Times New Roman" w:cstheme="minorHAnsi"/>
          <w:kern w:val="0"/>
          <w14:ligatures w14:val="none"/>
        </w:rPr>
        <w:t xml:space="preserve">the </w:t>
      </w:r>
      <w:r w:rsidR="00B44B84" w:rsidRPr="0021611D">
        <w:rPr>
          <w:rFonts w:eastAsia="Times New Roman" w:cstheme="minorHAnsi"/>
          <w:kern w:val="0"/>
          <w:u w:val="single"/>
          <w14:ligatures w14:val="none"/>
        </w:rPr>
        <w:t>highest</w:t>
      </w:r>
      <w:r w:rsidR="00B44B84">
        <w:rPr>
          <w:rFonts w:eastAsia="Times New Roman" w:cstheme="minorHAnsi"/>
          <w:kern w:val="0"/>
          <w14:ligatures w14:val="none"/>
        </w:rPr>
        <w:t xml:space="preserve"> </w:t>
      </w:r>
      <w:r w:rsidR="004A6E19" w:rsidRPr="006C049B">
        <w:rPr>
          <w:rFonts w:eastAsia="Times New Roman" w:cstheme="minorHAnsi"/>
          <w:kern w:val="0"/>
          <w14:ligatures w14:val="none"/>
        </w:rPr>
        <w:t xml:space="preserve">corresponding </w:t>
      </w:r>
      <w:r w:rsidR="00B44B84">
        <w:rPr>
          <w:rFonts w:eastAsia="Times New Roman" w:cstheme="minorHAnsi"/>
          <w:kern w:val="0"/>
          <w14:ligatures w14:val="none"/>
        </w:rPr>
        <w:t>income</w:t>
      </w:r>
      <w:r w:rsidR="00B44B84" w:rsidRPr="006C049B">
        <w:rPr>
          <w:rFonts w:eastAsia="Times New Roman" w:cstheme="minorHAnsi"/>
          <w:kern w:val="0"/>
          <w14:ligatures w14:val="none"/>
        </w:rPr>
        <w:t xml:space="preserve"> </w:t>
      </w:r>
      <w:r w:rsidR="00AF273D">
        <w:rPr>
          <w:rFonts w:eastAsia="Times New Roman" w:cstheme="minorHAnsi"/>
          <w:kern w:val="0"/>
          <w14:ligatures w14:val="none"/>
        </w:rPr>
        <w:t xml:space="preserve">listed in Table </w:t>
      </w:r>
      <w:r w:rsidR="002830FD">
        <w:rPr>
          <w:rFonts w:eastAsia="Times New Roman" w:cstheme="minorHAnsi"/>
          <w:kern w:val="0"/>
          <w14:ligatures w14:val="none"/>
        </w:rPr>
        <w:t>Three</w:t>
      </w:r>
      <w:r w:rsidR="00AF273D">
        <w:rPr>
          <w:rFonts w:eastAsia="Times New Roman" w:cstheme="minorHAnsi"/>
          <w:kern w:val="0"/>
          <w14:ligatures w14:val="none"/>
        </w:rPr>
        <w:t xml:space="preserve"> or Table </w:t>
      </w:r>
      <w:r w:rsidR="002830FD">
        <w:rPr>
          <w:rFonts w:eastAsia="Times New Roman" w:cstheme="minorHAnsi"/>
          <w:kern w:val="0"/>
          <w14:ligatures w14:val="none"/>
        </w:rPr>
        <w:t>Four</w:t>
      </w:r>
      <w:r w:rsidR="001A4A62">
        <w:rPr>
          <w:rFonts w:eastAsia="Times New Roman" w:cstheme="minorHAnsi"/>
          <w:kern w:val="0"/>
          <w14:ligatures w14:val="none"/>
        </w:rPr>
        <w:t>,</w:t>
      </w:r>
      <w:r w:rsidR="00AF273D">
        <w:rPr>
          <w:rFonts w:eastAsia="Times New Roman" w:cstheme="minorHAnsi"/>
          <w:kern w:val="0"/>
          <w14:ligatures w14:val="none"/>
        </w:rPr>
        <w:t xml:space="preserve"> they are </w:t>
      </w:r>
      <w:r w:rsidR="002830FD">
        <w:rPr>
          <w:rFonts w:eastAsia="Times New Roman" w:cstheme="minorHAnsi"/>
          <w:kern w:val="0"/>
          <w14:ligatures w14:val="none"/>
        </w:rPr>
        <w:t xml:space="preserve">considered </w:t>
      </w:r>
      <w:r w:rsidR="002830FD">
        <w:rPr>
          <w:rFonts w:eastAsia="Times New Roman" w:cstheme="minorHAnsi"/>
          <w:i/>
          <w:iCs/>
          <w:kern w:val="0"/>
          <w14:ligatures w14:val="none"/>
        </w:rPr>
        <w:t>Low-Income</w:t>
      </w:r>
      <w:r w:rsidR="00AF273D">
        <w:t>.</w:t>
      </w:r>
    </w:p>
    <w:p w14:paraId="306F41A8" w14:textId="77777777" w:rsidR="00AE28A5" w:rsidRPr="00E819E1" w:rsidRDefault="00AE28A5" w:rsidP="00B67034">
      <w:pPr>
        <w:pStyle w:val="NoSpacing"/>
        <w:rPr>
          <w:sz w:val="12"/>
          <w:szCs w:val="12"/>
        </w:rPr>
      </w:pPr>
    </w:p>
    <w:p w14:paraId="650A7B30" w14:textId="697CC893" w:rsidR="008E0D76" w:rsidRPr="00E133C1" w:rsidRDefault="008E0D76" w:rsidP="00B67034">
      <w:pPr>
        <w:pStyle w:val="NoSpacing"/>
      </w:pPr>
      <w:r w:rsidRPr="009E09BC">
        <w:rPr>
          <w:b/>
          <w:bCs/>
        </w:rPr>
        <w:t>Note:</w:t>
      </w:r>
      <w:r>
        <w:t xml:space="preserve"> </w:t>
      </w:r>
      <w:r w:rsidR="00457880">
        <w:t xml:space="preserve">The </w:t>
      </w:r>
      <w:r>
        <w:t>200% FP Guidelines level is for</w:t>
      </w:r>
      <w:r w:rsidR="00457880">
        <w:t xml:space="preserve"> State Dislocated Worker Program</w:t>
      </w:r>
      <w:r>
        <w:t xml:space="preserve"> </w:t>
      </w:r>
      <w:r w:rsidR="00CA053A">
        <w:rPr>
          <w:rFonts w:eastAsia="Times New Roman" w:cstheme="minorHAnsi"/>
          <w:i/>
          <w:iCs/>
          <w:kern w:val="0"/>
          <w14:ligatures w14:val="none"/>
        </w:rPr>
        <w:t>Low-Income</w:t>
      </w:r>
      <w:r w:rsidR="00CA053A">
        <w:t xml:space="preserve"> eligibility </w:t>
      </w:r>
      <w:r w:rsidRPr="00E133C1">
        <w:rPr>
          <w:b/>
          <w:bCs/>
          <w:u w:val="single"/>
        </w:rPr>
        <w:t>only</w:t>
      </w:r>
      <w:r w:rsidR="00721F24">
        <w:rPr>
          <w:u w:val="single"/>
        </w:rPr>
        <w:t>.</w:t>
      </w:r>
    </w:p>
    <w:p w14:paraId="5524697D" w14:textId="77777777" w:rsidR="00BA735B" w:rsidRPr="00BA735B" w:rsidRDefault="00BA735B" w:rsidP="00B67034">
      <w:pPr>
        <w:pStyle w:val="NoSpacing"/>
        <w:rPr>
          <w:rFonts w:eastAsia="Times New Roman" w:cstheme="minorHAnsi"/>
          <w:kern w:val="0"/>
          <w:sz w:val="12"/>
          <w:szCs w:val="12"/>
          <w14:ligatures w14:val="none"/>
        </w:rPr>
      </w:pPr>
    </w:p>
    <w:p w14:paraId="0C91A05A" w14:textId="77777777" w:rsidR="00BA735B" w:rsidRPr="000D55CC" w:rsidRDefault="00BA735B" w:rsidP="00BA735B">
      <w:pPr>
        <w:pStyle w:val="NoSpacing"/>
        <w:rPr>
          <w:rFonts w:eastAsia="Times New Roman" w:cstheme="minorHAnsi"/>
          <w:kern w:val="0"/>
          <w:u w:val="single"/>
          <w14:ligatures w14:val="none"/>
        </w:rPr>
      </w:pPr>
      <w:r w:rsidRPr="000D55CC">
        <w:rPr>
          <w:rFonts w:eastAsia="Times New Roman" w:cstheme="minorHAnsi"/>
          <w:kern w:val="0"/>
          <w:u w:val="single"/>
          <w14:ligatures w14:val="none"/>
        </w:rPr>
        <w:t>LLSIL Geographic Definitions</w:t>
      </w:r>
    </w:p>
    <w:p w14:paraId="39D12F82" w14:textId="77777777" w:rsidR="00A50B54" w:rsidRPr="005742A3" w:rsidRDefault="00A50B54" w:rsidP="00A50B54">
      <w:pPr>
        <w:pStyle w:val="NoSpacing"/>
        <w:rPr>
          <w:i/>
          <w:iCs/>
        </w:rPr>
      </w:pPr>
      <w:r>
        <w:t xml:space="preserve">The </w:t>
      </w:r>
      <w:r w:rsidRPr="006C049B">
        <w:t>Minneapolis-St. Paul</w:t>
      </w:r>
      <w:r>
        <w:t>-Bloomington</w:t>
      </w:r>
      <w:r w:rsidRPr="006C049B">
        <w:t xml:space="preserve"> </w:t>
      </w:r>
      <w:r>
        <w:t xml:space="preserve">(MSP) </w:t>
      </w:r>
      <w:r w:rsidRPr="00294B03">
        <w:t xml:space="preserve">Metropolitan Statistical Area </w:t>
      </w:r>
      <w:r>
        <w:t>(MSA)</w:t>
      </w:r>
      <w:r w:rsidRPr="006C049B">
        <w:t xml:space="preserve"> </w:t>
      </w:r>
      <w:r>
        <w:t>LLSIL Guidelines must be used for individuals</w:t>
      </w:r>
      <w:r w:rsidRPr="006C049B">
        <w:t xml:space="preserve"> residing in</w:t>
      </w:r>
      <w:r>
        <w:t xml:space="preserve">: </w:t>
      </w:r>
      <w:r w:rsidRPr="003A62EB">
        <w:rPr>
          <w:i/>
          <w:iCs/>
        </w:rPr>
        <w:t>Anoka County, Carver County, Chisago County, Dakota County, Hennepin County, Isanti County, Le Sueur County, Mille Lacs County, Ramsey County, Scott County, Sherburne County, Washington County, and Wright Cou</w:t>
      </w:r>
      <w:r>
        <w:rPr>
          <w:i/>
          <w:iCs/>
        </w:rPr>
        <w:t>nty</w:t>
      </w:r>
      <w:r>
        <w:t>.</w:t>
      </w:r>
      <w:r>
        <w:rPr>
          <w:rStyle w:val="FootnoteReference"/>
        </w:rPr>
        <w:footnoteReference w:id="15"/>
      </w:r>
    </w:p>
    <w:p w14:paraId="29187362" w14:textId="77777777" w:rsidR="00A50B54" w:rsidRPr="00BF0896" w:rsidRDefault="00A50B54" w:rsidP="00A50B54">
      <w:pPr>
        <w:pStyle w:val="NoSpacing"/>
        <w:rPr>
          <w:sz w:val="12"/>
          <w:szCs w:val="12"/>
        </w:rPr>
      </w:pPr>
    </w:p>
    <w:p w14:paraId="2A0F3252" w14:textId="77777777" w:rsidR="00A50B54" w:rsidRDefault="00A50B54" w:rsidP="00A50B54">
      <w:pPr>
        <w:pStyle w:val="NoSpacing"/>
        <w:rPr>
          <w:rFonts w:eastAsia="Times New Roman" w:cstheme="minorHAnsi"/>
          <w:kern w:val="0"/>
          <w14:ligatures w14:val="none"/>
        </w:rPr>
      </w:pPr>
      <w:r>
        <w:rPr>
          <w:rFonts w:eastAsia="Times New Roman" w:cstheme="minorHAnsi"/>
          <w:kern w:val="0"/>
          <w14:ligatures w14:val="none"/>
        </w:rPr>
        <w:t xml:space="preserve">The Midwest </w:t>
      </w:r>
      <w:r w:rsidRPr="006C049B">
        <w:rPr>
          <w:rFonts w:eastAsia="Times New Roman" w:cstheme="minorHAnsi"/>
          <w:kern w:val="0"/>
          <w14:ligatures w14:val="none"/>
        </w:rPr>
        <w:t xml:space="preserve">Metro </w:t>
      </w:r>
      <w:r>
        <w:t>LLSIL Guidelines are for individuals</w:t>
      </w:r>
      <w:r w:rsidRPr="006C049B">
        <w:t xml:space="preserve"> residing in</w:t>
      </w:r>
      <w:r>
        <w:rPr>
          <w:rFonts w:eastAsia="Times New Roman" w:cstheme="minorHAnsi"/>
          <w:kern w:val="0"/>
          <w14:ligatures w14:val="none"/>
        </w:rPr>
        <w:t>:</w:t>
      </w:r>
      <w:r w:rsidRPr="006C049B">
        <w:rPr>
          <w:rFonts w:eastAsia="Times New Roman" w:cstheme="minorHAnsi"/>
          <w:kern w:val="0"/>
          <w14:ligatures w14:val="none"/>
        </w:rPr>
        <w:t xml:space="preserve"> </w:t>
      </w:r>
      <w:r w:rsidRPr="00BF0896">
        <w:rPr>
          <w:rFonts w:eastAsia="Times New Roman" w:cstheme="minorHAnsi"/>
          <w:i/>
          <w:iCs/>
          <w:kern w:val="0"/>
          <w14:ligatures w14:val="none"/>
        </w:rPr>
        <w:t xml:space="preserve">Benton County, </w:t>
      </w:r>
      <w:r>
        <w:rPr>
          <w:rFonts w:eastAsia="Times New Roman" w:cstheme="minorHAnsi"/>
          <w:i/>
          <w:iCs/>
          <w:kern w:val="0"/>
          <w14:ligatures w14:val="none"/>
        </w:rPr>
        <w:t>Clay County,</w:t>
      </w:r>
      <w:r w:rsidRPr="00BF0896">
        <w:rPr>
          <w:rFonts w:eastAsia="Times New Roman" w:cstheme="minorHAnsi"/>
          <w:i/>
          <w:iCs/>
          <w:kern w:val="0"/>
          <w14:ligatures w14:val="none"/>
        </w:rPr>
        <w:t xml:space="preserve"> Olmsted County, St. Louis County, and Stearns Count</w:t>
      </w:r>
      <w:r>
        <w:rPr>
          <w:rFonts w:eastAsia="Times New Roman" w:cstheme="minorHAnsi"/>
          <w:i/>
          <w:iCs/>
          <w:kern w:val="0"/>
          <w14:ligatures w14:val="none"/>
        </w:rPr>
        <w:t>y.</w:t>
      </w:r>
      <w:r>
        <w:rPr>
          <w:rFonts w:eastAsia="Times New Roman" w:cstheme="minorHAnsi"/>
          <w:kern w:val="0"/>
          <w14:ligatures w14:val="none"/>
        </w:rPr>
        <w:t xml:space="preserve"> All remaining </w:t>
      </w:r>
      <w:r w:rsidRPr="006C049B">
        <w:rPr>
          <w:rFonts w:eastAsia="Times New Roman" w:cstheme="minorHAnsi"/>
          <w:kern w:val="0"/>
          <w14:ligatures w14:val="none"/>
        </w:rPr>
        <w:t xml:space="preserve">Minnesota counties </w:t>
      </w:r>
      <w:r>
        <w:rPr>
          <w:rFonts w:eastAsia="Times New Roman" w:cstheme="minorHAnsi"/>
          <w:kern w:val="0"/>
          <w14:ligatures w14:val="none"/>
        </w:rPr>
        <w:t>must</w:t>
      </w:r>
      <w:r w:rsidRPr="006C049B">
        <w:rPr>
          <w:rFonts w:eastAsia="Times New Roman" w:cstheme="minorHAnsi"/>
          <w:kern w:val="0"/>
          <w14:ligatures w14:val="none"/>
        </w:rPr>
        <w:t xml:space="preserve"> use </w:t>
      </w:r>
      <w:r>
        <w:rPr>
          <w:rFonts w:eastAsia="Times New Roman" w:cstheme="minorHAnsi"/>
          <w:kern w:val="0"/>
          <w14:ligatures w14:val="none"/>
        </w:rPr>
        <w:t>Midwest N</w:t>
      </w:r>
      <w:r w:rsidRPr="006C049B">
        <w:rPr>
          <w:rFonts w:eastAsia="Times New Roman" w:cstheme="minorHAnsi"/>
          <w:kern w:val="0"/>
          <w14:ligatures w14:val="none"/>
        </w:rPr>
        <w:t xml:space="preserve">on-Metro </w:t>
      </w:r>
      <w:r>
        <w:t>LLSIL Guidelines</w:t>
      </w:r>
      <w:r w:rsidRPr="006C049B">
        <w:rPr>
          <w:rFonts w:eastAsia="Times New Roman" w:cstheme="minorHAnsi"/>
          <w:kern w:val="0"/>
          <w14:ligatures w14:val="none"/>
        </w:rPr>
        <w:t>.</w:t>
      </w:r>
    </w:p>
    <w:p w14:paraId="3C23C0A6" w14:textId="77777777" w:rsidR="00AB2145" w:rsidRPr="00BA735B" w:rsidRDefault="00AB2145" w:rsidP="00BA735B">
      <w:pPr>
        <w:pStyle w:val="NoSpacing"/>
        <w:rPr>
          <w:b/>
          <w:bCs/>
          <w:sz w:val="12"/>
          <w:szCs w:val="12"/>
          <w:u w:val="single"/>
        </w:rPr>
      </w:pPr>
    </w:p>
    <w:p w14:paraId="62042737" w14:textId="41799DAE" w:rsidR="00447421" w:rsidRPr="00BF7813" w:rsidRDefault="00447421" w:rsidP="00447421">
      <w:pPr>
        <w:pStyle w:val="NoSpacing"/>
        <w:jc w:val="center"/>
        <w:rPr>
          <w:rFonts w:cstheme="minorHAnsi"/>
          <w:b/>
          <w:bCs/>
        </w:rPr>
      </w:pPr>
      <w:r w:rsidRPr="00BF7813">
        <w:rPr>
          <w:rFonts w:eastAsia="Times New Roman" w:cstheme="minorHAnsi"/>
          <w:b/>
          <w:bCs/>
          <w:kern w:val="0"/>
          <w14:ligatures w14:val="none"/>
        </w:rPr>
        <w:t>Table Three</w:t>
      </w:r>
      <w:r w:rsidR="00675E56" w:rsidRPr="00BF7813">
        <w:rPr>
          <w:rFonts w:eastAsia="Times New Roman" w:cstheme="minorHAnsi"/>
          <w:b/>
          <w:bCs/>
          <w:kern w:val="0"/>
          <w14:ligatures w14:val="none"/>
        </w:rPr>
        <w:t xml:space="preserve">: </w:t>
      </w:r>
      <w:r w:rsidR="00E133C1">
        <w:rPr>
          <w:rFonts w:eastAsia="Times New Roman" w:cstheme="minorHAnsi"/>
          <w:b/>
          <w:bCs/>
          <w:kern w:val="0"/>
          <w14:ligatures w14:val="none"/>
        </w:rPr>
        <w:t xml:space="preserve">2025 </w:t>
      </w:r>
      <w:r w:rsidR="00675E56" w:rsidRPr="00BF7813">
        <w:rPr>
          <w:rFonts w:eastAsia="Times New Roman" w:cstheme="minorHAnsi"/>
          <w:b/>
          <w:bCs/>
          <w:kern w:val="0"/>
          <w14:ligatures w14:val="none"/>
        </w:rPr>
        <w:t xml:space="preserve">FP and LLSIL </w:t>
      </w:r>
      <w:r w:rsidR="00F0191F" w:rsidRPr="00BF7813">
        <w:rPr>
          <w:rFonts w:eastAsia="Times New Roman" w:cstheme="minorHAnsi"/>
          <w:b/>
          <w:bCs/>
          <w:kern w:val="0"/>
          <w14:ligatures w14:val="none"/>
        </w:rPr>
        <w:t>Guideline</w:t>
      </w:r>
      <w:r w:rsidR="00F0191F">
        <w:rPr>
          <w:rFonts w:eastAsia="Times New Roman" w:cstheme="minorHAnsi"/>
          <w:b/>
          <w:bCs/>
          <w:kern w:val="0"/>
          <w14:ligatures w14:val="none"/>
        </w:rPr>
        <w:t xml:space="preserve"> Incomes </w:t>
      </w:r>
      <w:r w:rsidRPr="00BF7813">
        <w:rPr>
          <w:rFonts w:cstheme="minorHAnsi"/>
          <w:b/>
          <w:bCs/>
        </w:rPr>
        <w:t>Per Year</w:t>
      </w:r>
      <w:r w:rsidRPr="00BF7813">
        <w:rPr>
          <w:rStyle w:val="FootnoteReference"/>
          <w:rFonts w:cstheme="minorHAnsi"/>
          <w:b/>
          <w:bCs/>
        </w:rPr>
        <w:footnoteReference w:id="16"/>
      </w:r>
    </w:p>
    <w:tbl>
      <w:tblPr>
        <w:tblStyle w:val="TableGrid"/>
        <w:tblW w:w="0" w:type="auto"/>
        <w:tblLook w:val="04A0" w:firstRow="1" w:lastRow="0" w:firstColumn="1" w:lastColumn="0" w:noHBand="0" w:noVBand="1"/>
      </w:tblPr>
      <w:tblGrid>
        <w:gridCol w:w="895"/>
        <w:gridCol w:w="2160"/>
        <w:gridCol w:w="1530"/>
        <w:gridCol w:w="1530"/>
        <w:gridCol w:w="1350"/>
        <w:gridCol w:w="1885"/>
      </w:tblGrid>
      <w:tr w:rsidR="00BA735B" w14:paraId="0829FF6A" w14:textId="1FAC2A73" w:rsidTr="00E133C1">
        <w:tc>
          <w:tcPr>
            <w:tcW w:w="895" w:type="dxa"/>
            <w:vAlign w:val="center"/>
          </w:tcPr>
          <w:p w14:paraId="4823EBF8" w14:textId="27B6DFD3" w:rsidR="00BA735B" w:rsidRPr="00E133C1" w:rsidRDefault="008D13F9" w:rsidP="00AC728E">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F</w:t>
            </w:r>
            <w:r w:rsidR="00BA735B" w:rsidRPr="00E133C1">
              <w:rPr>
                <w:rFonts w:ascii="Calibri" w:eastAsia="Times New Roman" w:hAnsi="Calibri" w:cs="Calibri"/>
                <w:b/>
                <w:bCs/>
                <w:color w:val="000000"/>
                <w:kern w:val="0"/>
                <w14:ligatures w14:val="none"/>
              </w:rPr>
              <w:t>amily Size</w:t>
            </w:r>
          </w:p>
        </w:tc>
        <w:tc>
          <w:tcPr>
            <w:tcW w:w="2160" w:type="dxa"/>
            <w:vAlign w:val="center"/>
          </w:tcPr>
          <w:p w14:paraId="5EAA670F" w14:textId="77777777" w:rsidR="00E133C1" w:rsidRDefault="00BA735B" w:rsidP="00AC728E">
            <w:pPr>
              <w:pStyle w:val="NoSpacing"/>
              <w:jc w:val="center"/>
              <w:rPr>
                <w:rFonts w:ascii="Calibri" w:eastAsia="Times New Roman" w:hAnsi="Calibri" w:cs="Calibri"/>
                <w:b/>
                <w:bCs/>
                <w:color w:val="000000"/>
                <w:kern w:val="0"/>
                <w14:ligatures w14:val="none"/>
              </w:rPr>
            </w:pPr>
            <w:r w:rsidRPr="00E133C1">
              <w:rPr>
                <w:rFonts w:ascii="Calibri" w:eastAsia="Times New Roman" w:hAnsi="Calibri" w:cs="Calibri"/>
                <w:b/>
                <w:bCs/>
                <w:color w:val="000000"/>
                <w:kern w:val="0"/>
                <w14:ligatures w14:val="none"/>
              </w:rPr>
              <w:t>70% Minneapolis-</w:t>
            </w:r>
          </w:p>
          <w:p w14:paraId="25205200" w14:textId="1C03F3BD" w:rsidR="00BA735B" w:rsidRPr="00E133C1" w:rsidRDefault="00BA735B" w:rsidP="00AC728E">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St. Paul-Bloomington MSA LLSIL</w:t>
            </w:r>
          </w:p>
        </w:tc>
        <w:tc>
          <w:tcPr>
            <w:tcW w:w="1530" w:type="dxa"/>
            <w:vAlign w:val="center"/>
          </w:tcPr>
          <w:p w14:paraId="63F699B9" w14:textId="70498278" w:rsidR="00BA735B" w:rsidRPr="00E133C1" w:rsidRDefault="00BA735B" w:rsidP="00AC728E">
            <w:pPr>
              <w:pStyle w:val="NoSpacing"/>
              <w:jc w:val="center"/>
              <w:rPr>
                <w:rFonts w:ascii="Calibri" w:eastAsia="Times New Roman" w:hAnsi="Calibri" w:cs="Calibri"/>
                <w:b/>
                <w:bCs/>
                <w:color w:val="000000"/>
                <w:kern w:val="0"/>
                <w14:ligatures w14:val="none"/>
              </w:rPr>
            </w:pPr>
            <w:r w:rsidRPr="00E133C1">
              <w:rPr>
                <w:rFonts w:ascii="Calibri" w:eastAsia="Times New Roman" w:hAnsi="Calibri" w:cs="Calibri"/>
                <w:b/>
                <w:bCs/>
                <w:color w:val="000000"/>
                <w:kern w:val="0"/>
                <w14:ligatures w14:val="none"/>
              </w:rPr>
              <w:t xml:space="preserve">70% Midwest </w:t>
            </w:r>
          </w:p>
          <w:p w14:paraId="0674323D" w14:textId="77777777" w:rsidR="00BA735B" w:rsidRPr="00E133C1" w:rsidRDefault="00BA735B" w:rsidP="00AC728E">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Metro LLSIL</w:t>
            </w:r>
          </w:p>
        </w:tc>
        <w:tc>
          <w:tcPr>
            <w:tcW w:w="1530" w:type="dxa"/>
            <w:vAlign w:val="center"/>
          </w:tcPr>
          <w:p w14:paraId="32B81472" w14:textId="38828D03" w:rsidR="00BA735B" w:rsidRPr="00E133C1" w:rsidRDefault="00BA735B" w:rsidP="00AC728E">
            <w:pPr>
              <w:jc w:val="center"/>
              <w:rPr>
                <w:rFonts w:ascii="Calibri" w:eastAsia="Times New Roman" w:hAnsi="Calibri" w:cs="Calibri"/>
                <w:b/>
                <w:bCs/>
                <w:color w:val="000000"/>
                <w:kern w:val="0"/>
                <w14:ligatures w14:val="none"/>
              </w:rPr>
            </w:pPr>
            <w:r w:rsidRPr="00E133C1">
              <w:rPr>
                <w:rFonts w:ascii="Calibri" w:eastAsia="Times New Roman" w:hAnsi="Calibri" w:cs="Calibri"/>
                <w:b/>
                <w:bCs/>
                <w:color w:val="000000"/>
                <w:kern w:val="0"/>
                <w14:ligatures w14:val="none"/>
              </w:rPr>
              <w:t>70% Midwest</w:t>
            </w:r>
          </w:p>
          <w:p w14:paraId="5AF51B6D" w14:textId="77777777" w:rsidR="00BA735B" w:rsidRPr="00E133C1" w:rsidRDefault="00BA735B" w:rsidP="00AC728E">
            <w:pPr>
              <w:pStyle w:val="NoSpacing"/>
              <w:jc w:val="center"/>
              <w:rPr>
                <w:b/>
                <w:bCs/>
              </w:rPr>
            </w:pPr>
            <w:r w:rsidRPr="00E133C1">
              <w:rPr>
                <w:rFonts w:ascii="Calibri" w:eastAsia="Times New Roman" w:hAnsi="Calibri" w:cs="Calibri"/>
                <w:b/>
                <w:bCs/>
                <w:color w:val="000000"/>
                <w:kern w:val="0"/>
                <w14:ligatures w14:val="none"/>
              </w:rPr>
              <w:t>Non-Metro LLSIL</w:t>
            </w:r>
          </w:p>
        </w:tc>
        <w:tc>
          <w:tcPr>
            <w:tcW w:w="1350" w:type="dxa"/>
          </w:tcPr>
          <w:p w14:paraId="37F0C866" w14:textId="77777777" w:rsidR="00E133C1" w:rsidRDefault="00E133C1" w:rsidP="00E133C1">
            <w:pPr>
              <w:rPr>
                <w:rFonts w:ascii="Calibri" w:eastAsia="Times New Roman" w:hAnsi="Calibri" w:cs="Calibri"/>
                <w:b/>
                <w:bCs/>
                <w:color w:val="000000"/>
                <w:kern w:val="0"/>
                <w14:ligatures w14:val="none"/>
              </w:rPr>
            </w:pPr>
          </w:p>
          <w:p w14:paraId="1AEF8BF3" w14:textId="1DCC0BE3" w:rsidR="00BA735B" w:rsidRPr="00E133C1" w:rsidRDefault="00BA735B" w:rsidP="00AC728E">
            <w:pPr>
              <w:jc w:val="center"/>
              <w:rPr>
                <w:rFonts w:ascii="Calibri" w:eastAsia="Times New Roman" w:hAnsi="Calibri" w:cs="Calibri"/>
                <w:b/>
                <w:bCs/>
                <w:color w:val="000000"/>
                <w:kern w:val="0"/>
                <w14:ligatures w14:val="none"/>
              </w:rPr>
            </w:pPr>
            <w:r w:rsidRPr="00E133C1">
              <w:rPr>
                <w:rFonts w:ascii="Calibri" w:eastAsia="Times New Roman" w:hAnsi="Calibri" w:cs="Calibri"/>
                <w:b/>
                <w:bCs/>
                <w:color w:val="000000"/>
                <w:kern w:val="0"/>
                <w14:ligatures w14:val="none"/>
              </w:rPr>
              <w:t>100% FP Guidelines</w:t>
            </w:r>
          </w:p>
        </w:tc>
        <w:tc>
          <w:tcPr>
            <w:tcW w:w="1885" w:type="dxa"/>
          </w:tcPr>
          <w:p w14:paraId="7727CA47" w14:textId="77777777" w:rsidR="00BA735B" w:rsidRDefault="00BA735B" w:rsidP="00AC728E">
            <w:pPr>
              <w:jc w:val="center"/>
              <w:rPr>
                <w:rFonts w:ascii="Calibri" w:eastAsia="Times New Roman" w:hAnsi="Calibri" w:cs="Calibri"/>
                <w:b/>
                <w:bCs/>
                <w:color w:val="000000"/>
                <w:kern w:val="0"/>
                <w14:ligatures w14:val="none"/>
              </w:rPr>
            </w:pPr>
            <w:r w:rsidRPr="00E133C1">
              <w:rPr>
                <w:rFonts w:ascii="Calibri" w:eastAsia="Times New Roman" w:hAnsi="Calibri" w:cs="Calibri"/>
                <w:b/>
                <w:bCs/>
                <w:color w:val="000000"/>
                <w:kern w:val="0"/>
                <w14:ligatures w14:val="none"/>
              </w:rPr>
              <w:t>200% FP Guidelines</w:t>
            </w:r>
          </w:p>
          <w:p w14:paraId="2AE52EA2" w14:textId="5B047427" w:rsidR="00E133C1" w:rsidRPr="00E133C1" w:rsidRDefault="00E133C1" w:rsidP="00AC728E">
            <w:pPr>
              <w:jc w:val="center"/>
              <w:rPr>
                <w:rFonts w:ascii="Calibri" w:eastAsia="Times New Roman" w:hAnsi="Calibri" w:cs="Calibri"/>
                <w:color w:val="000000"/>
                <w:kern w:val="0"/>
                <w14:ligatures w14:val="none"/>
              </w:rPr>
            </w:pPr>
            <w:r w:rsidRPr="00E133C1">
              <w:rPr>
                <w:color w:val="C00000"/>
              </w:rPr>
              <w:t>State Dislocated Worker ONLY</w:t>
            </w:r>
          </w:p>
        </w:tc>
      </w:tr>
      <w:tr w:rsidR="00CF5829" w14:paraId="5068287A" w14:textId="6C4602C5" w:rsidTr="00E133C1">
        <w:tc>
          <w:tcPr>
            <w:tcW w:w="895" w:type="dxa"/>
            <w:vAlign w:val="center"/>
          </w:tcPr>
          <w:p w14:paraId="4E383EAD" w14:textId="77777777" w:rsidR="00CF5829" w:rsidRPr="00E133C1" w:rsidRDefault="00CF5829" w:rsidP="00CF5829">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1</w:t>
            </w:r>
          </w:p>
        </w:tc>
        <w:tc>
          <w:tcPr>
            <w:tcW w:w="2160" w:type="dxa"/>
            <w:shd w:val="clear" w:color="auto" w:fill="auto"/>
            <w:vAlign w:val="bottom"/>
          </w:tcPr>
          <w:p w14:paraId="5EC96363" w14:textId="491041AB" w:rsidR="00CF5829" w:rsidRPr="00E133C1" w:rsidRDefault="00E133C1" w:rsidP="00CF5829">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w:t>
            </w:r>
            <w:r w:rsidR="00CF5829" w:rsidRPr="00E133C1">
              <w:rPr>
                <w:rFonts w:eastAsia="Times New Roman" w:cstheme="minorHAnsi"/>
                <w:color w:val="000000"/>
                <w:kern w:val="0"/>
                <w14:ligatures w14:val="none"/>
              </w:rPr>
              <w:t>11,850</w:t>
            </w:r>
          </w:p>
        </w:tc>
        <w:tc>
          <w:tcPr>
            <w:tcW w:w="1530" w:type="dxa"/>
            <w:shd w:val="clear" w:color="auto" w:fill="auto"/>
            <w:vAlign w:val="center"/>
          </w:tcPr>
          <w:p w14:paraId="6EF6C66C" w14:textId="77777777" w:rsidR="00CF5829" w:rsidRPr="00E133C1" w:rsidRDefault="00CF5829" w:rsidP="00CF5829">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$16,885</w:t>
            </w:r>
          </w:p>
        </w:tc>
        <w:tc>
          <w:tcPr>
            <w:tcW w:w="1530" w:type="dxa"/>
            <w:shd w:val="clear" w:color="auto" w:fill="auto"/>
            <w:vAlign w:val="center"/>
          </w:tcPr>
          <w:p w14:paraId="0C2707F0" w14:textId="4664C562" w:rsidR="00CF5829" w:rsidRPr="00E133C1" w:rsidRDefault="00CF5829" w:rsidP="00CF5829">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$11,375</w:t>
            </w:r>
          </w:p>
        </w:tc>
        <w:tc>
          <w:tcPr>
            <w:tcW w:w="1350" w:type="dxa"/>
          </w:tcPr>
          <w:p w14:paraId="0AA8A31E" w14:textId="05878666" w:rsidR="00CF5829" w:rsidRPr="00E133C1" w:rsidRDefault="00CF5829" w:rsidP="00CF5829">
            <w:pPr>
              <w:pStyle w:val="NoSpacing"/>
              <w:jc w:val="center"/>
              <w:rPr>
                <w:rFonts w:eastAsia="Times New Roman" w:cstheme="minorHAnsi"/>
                <w:color w:val="000000"/>
                <w:kern w:val="0"/>
                <w14:ligatures w14:val="none"/>
              </w:rPr>
            </w:pPr>
            <w:r w:rsidRPr="00E133C1">
              <w:rPr>
                <w:rFonts w:cstheme="minorHAnsi"/>
              </w:rPr>
              <w:t>$15,650</w:t>
            </w:r>
          </w:p>
        </w:tc>
        <w:tc>
          <w:tcPr>
            <w:tcW w:w="1885" w:type="dxa"/>
          </w:tcPr>
          <w:p w14:paraId="54E539D9" w14:textId="52B3A806" w:rsidR="00CF5829" w:rsidRPr="00E133C1" w:rsidRDefault="00CF5829" w:rsidP="00CF5829">
            <w:pPr>
              <w:pStyle w:val="NoSpacing"/>
              <w:jc w:val="center"/>
              <w:rPr>
                <w:rFonts w:eastAsia="Times New Roman" w:cstheme="minorHAnsi"/>
                <w:color w:val="000000"/>
                <w:kern w:val="0"/>
                <w14:ligatures w14:val="none"/>
              </w:rPr>
            </w:pPr>
            <w:r w:rsidRPr="00E133C1">
              <w:rPr>
                <w:rFonts w:cstheme="minorHAnsi"/>
              </w:rPr>
              <w:t>$31,300</w:t>
            </w:r>
          </w:p>
        </w:tc>
      </w:tr>
      <w:tr w:rsidR="00CF5829" w14:paraId="327C7BDB" w14:textId="5F4BA294" w:rsidTr="00E133C1">
        <w:tc>
          <w:tcPr>
            <w:tcW w:w="895" w:type="dxa"/>
            <w:vAlign w:val="center"/>
          </w:tcPr>
          <w:p w14:paraId="46E5A331" w14:textId="77777777" w:rsidR="00CF5829" w:rsidRPr="00E133C1" w:rsidRDefault="00CF5829" w:rsidP="00CF5829">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2</w:t>
            </w:r>
          </w:p>
        </w:tc>
        <w:tc>
          <w:tcPr>
            <w:tcW w:w="2160" w:type="dxa"/>
            <w:shd w:val="clear" w:color="auto" w:fill="auto"/>
            <w:vAlign w:val="center"/>
          </w:tcPr>
          <w:p w14:paraId="72B26497" w14:textId="0FB4231A" w:rsidR="00CF5829" w:rsidRPr="00E133C1" w:rsidRDefault="00E133C1" w:rsidP="00CF5829">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w:t>
            </w:r>
            <w:r w:rsidR="00CF5829" w:rsidRPr="00E133C1">
              <w:rPr>
                <w:rFonts w:eastAsia="Times New Roman" w:cstheme="minorHAnsi"/>
                <w:color w:val="000000"/>
                <w:kern w:val="0"/>
                <w14:ligatures w14:val="none"/>
              </w:rPr>
              <w:t>19,417</w:t>
            </w:r>
          </w:p>
        </w:tc>
        <w:tc>
          <w:tcPr>
            <w:tcW w:w="1530" w:type="dxa"/>
            <w:shd w:val="clear" w:color="auto" w:fill="auto"/>
            <w:vAlign w:val="center"/>
          </w:tcPr>
          <w:p w14:paraId="40C9F43C" w14:textId="77777777" w:rsidR="00CF5829" w:rsidRPr="00E133C1" w:rsidRDefault="00CF5829" w:rsidP="00CF5829">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$27,677</w:t>
            </w:r>
          </w:p>
        </w:tc>
        <w:tc>
          <w:tcPr>
            <w:tcW w:w="1530" w:type="dxa"/>
            <w:shd w:val="clear" w:color="auto" w:fill="auto"/>
            <w:vAlign w:val="bottom"/>
          </w:tcPr>
          <w:p w14:paraId="1EAB738C" w14:textId="7E636D09" w:rsidR="00CF5829" w:rsidRPr="00E133C1" w:rsidRDefault="00CF5829" w:rsidP="00CF5829">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$18,625</w:t>
            </w:r>
          </w:p>
        </w:tc>
        <w:tc>
          <w:tcPr>
            <w:tcW w:w="1350" w:type="dxa"/>
          </w:tcPr>
          <w:p w14:paraId="6B8C1CAA" w14:textId="3B3BBCAA" w:rsidR="00CF5829" w:rsidRPr="00E133C1" w:rsidRDefault="00CF5829" w:rsidP="00CF5829">
            <w:pPr>
              <w:pStyle w:val="NoSpacing"/>
              <w:jc w:val="center"/>
              <w:rPr>
                <w:rFonts w:eastAsia="Times New Roman" w:cstheme="minorHAnsi"/>
                <w:color w:val="000000"/>
                <w:kern w:val="0"/>
                <w14:ligatures w14:val="none"/>
              </w:rPr>
            </w:pPr>
            <w:r w:rsidRPr="00E133C1">
              <w:rPr>
                <w:rFonts w:cstheme="minorHAnsi"/>
              </w:rPr>
              <w:t>$21,150</w:t>
            </w:r>
          </w:p>
        </w:tc>
        <w:tc>
          <w:tcPr>
            <w:tcW w:w="1885" w:type="dxa"/>
          </w:tcPr>
          <w:p w14:paraId="73A8EB1E" w14:textId="1FACE36C" w:rsidR="00CF5829" w:rsidRPr="00E133C1" w:rsidRDefault="00CF5829" w:rsidP="00CF5829">
            <w:pPr>
              <w:pStyle w:val="NoSpacing"/>
              <w:jc w:val="center"/>
              <w:rPr>
                <w:rFonts w:eastAsia="Times New Roman" w:cstheme="minorHAnsi"/>
                <w:color w:val="000000"/>
                <w:kern w:val="0"/>
                <w14:ligatures w14:val="none"/>
              </w:rPr>
            </w:pPr>
            <w:r w:rsidRPr="00E133C1">
              <w:rPr>
                <w:rFonts w:cstheme="minorHAnsi"/>
              </w:rPr>
              <w:t>$42,300</w:t>
            </w:r>
          </w:p>
        </w:tc>
      </w:tr>
      <w:tr w:rsidR="00CF5829" w14:paraId="31F47AA2" w14:textId="625A653F" w:rsidTr="00E133C1">
        <w:tc>
          <w:tcPr>
            <w:tcW w:w="895" w:type="dxa"/>
            <w:vAlign w:val="center"/>
          </w:tcPr>
          <w:p w14:paraId="6CA84AA9" w14:textId="77777777" w:rsidR="00CF5829" w:rsidRPr="00E133C1" w:rsidRDefault="00CF5829" w:rsidP="00CF5829">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3</w:t>
            </w:r>
          </w:p>
        </w:tc>
        <w:tc>
          <w:tcPr>
            <w:tcW w:w="2160" w:type="dxa"/>
            <w:vAlign w:val="center"/>
          </w:tcPr>
          <w:p w14:paraId="0F4527E3" w14:textId="0CB35817" w:rsidR="00CF5829" w:rsidRPr="00E133C1" w:rsidRDefault="00E133C1" w:rsidP="00CF5829">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w:t>
            </w:r>
            <w:r w:rsidR="00CF5829" w:rsidRPr="00E133C1">
              <w:rPr>
                <w:rFonts w:eastAsia="Times New Roman" w:cstheme="minorHAnsi"/>
                <w:color w:val="000000"/>
                <w:kern w:val="0"/>
                <w14:ligatures w14:val="none"/>
              </w:rPr>
              <w:t>26,658</w:t>
            </w:r>
          </w:p>
        </w:tc>
        <w:tc>
          <w:tcPr>
            <w:tcW w:w="1530" w:type="dxa"/>
            <w:vAlign w:val="center"/>
          </w:tcPr>
          <w:p w14:paraId="6B17F7EB" w14:textId="77777777" w:rsidR="00CF5829" w:rsidRPr="00E133C1" w:rsidRDefault="00CF5829" w:rsidP="00CF5829">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$37,987</w:t>
            </w:r>
          </w:p>
        </w:tc>
        <w:tc>
          <w:tcPr>
            <w:tcW w:w="1530" w:type="dxa"/>
            <w:shd w:val="clear" w:color="auto" w:fill="auto"/>
            <w:vAlign w:val="center"/>
          </w:tcPr>
          <w:p w14:paraId="118EE504" w14:textId="475AF0AC" w:rsidR="00CF5829" w:rsidRPr="00E133C1" w:rsidRDefault="00CF5829" w:rsidP="00CF5829">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$25,572</w:t>
            </w:r>
          </w:p>
        </w:tc>
        <w:tc>
          <w:tcPr>
            <w:tcW w:w="1350" w:type="dxa"/>
          </w:tcPr>
          <w:p w14:paraId="5FB2DCCC" w14:textId="7DC195C7" w:rsidR="00CF5829" w:rsidRPr="00E133C1" w:rsidRDefault="00CF5829" w:rsidP="00CF5829">
            <w:pPr>
              <w:pStyle w:val="NoSpacing"/>
              <w:jc w:val="center"/>
              <w:rPr>
                <w:rFonts w:eastAsia="Times New Roman" w:cstheme="minorHAnsi"/>
                <w:color w:val="000000"/>
                <w:kern w:val="0"/>
                <w14:ligatures w14:val="none"/>
              </w:rPr>
            </w:pPr>
            <w:r w:rsidRPr="00E133C1">
              <w:rPr>
                <w:rFonts w:cstheme="minorHAnsi"/>
              </w:rPr>
              <w:t>$26,650</w:t>
            </w:r>
          </w:p>
        </w:tc>
        <w:tc>
          <w:tcPr>
            <w:tcW w:w="1885" w:type="dxa"/>
          </w:tcPr>
          <w:p w14:paraId="40EB1CFF" w14:textId="3B64CDDE" w:rsidR="00CF5829" w:rsidRPr="00E133C1" w:rsidRDefault="00CF5829" w:rsidP="00CF5829">
            <w:pPr>
              <w:pStyle w:val="NoSpacing"/>
              <w:jc w:val="center"/>
              <w:rPr>
                <w:rFonts w:eastAsia="Times New Roman" w:cstheme="minorHAnsi"/>
                <w:color w:val="000000"/>
                <w:kern w:val="0"/>
                <w14:ligatures w14:val="none"/>
              </w:rPr>
            </w:pPr>
            <w:r w:rsidRPr="00E133C1">
              <w:rPr>
                <w:rFonts w:cstheme="minorHAnsi"/>
              </w:rPr>
              <w:t>$53,300</w:t>
            </w:r>
          </w:p>
        </w:tc>
      </w:tr>
      <w:tr w:rsidR="00CF5829" w14:paraId="3D5FD275" w14:textId="1A169044" w:rsidTr="00E133C1">
        <w:tc>
          <w:tcPr>
            <w:tcW w:w="895" w:type="dxa"/>
            <w:vAlign w:val="center"/>
          </w:tcPr>
          <w:p w14:paraId="0B116AD4" w14:textId="77777777" w:rsidR="00CF5829" w:rsidRPr="00E133C1" w:rsidRDefault="00CF5829" w:rsidP="00CF5829">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4</w:t>
            </w:r>
          </w:p>
        </w:tc>
        <w:tc>
          <w:tcPr>
            <w:tcW w:w="2160" w:type="dxa"/>
            <w:vAlign w:val="bottom"/>
          </w:tcPr>
          <w:p w14:paraId="363BEF8E" w14:textId="5747344F" w:rsidR="00CF5829" w:rsidRPr="00E133C1" w:rsidRDefault="00E133C1" w:rsidP="00CF5829">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w:t>
            </w:r>
            <w:r w:rsidR="00CF5829" w:rsidRPr="00E133C1">
              <w:rPr>
                <w:rFonts w:eastAsia="Times New Roman" w:cstheme="minorHAnsi"/>
                <w:color w:val="000000"/>
                <w:kern w:val="0"/>
                <w14:ligatures w14:val="none"/>
              </w:rPr>
              <w:t>32,902</w:t>
            </w:r>
          </w:p>
        </w:tc>
        <w:tc>
          <w:tcPr>
            <w:tcW w:w="1530" w:type="dxa"/>
            <w:vAlign w:val="center"/>
          </w:tcPr>
          <w:p w14:paraId="3461D854" w14:textId="77777777" w:rsidR="00CF5829" w:rsidRPr="00E133C1" w:rsidRDefault="00CF5829" w:rsidP="00CF5829">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$46,895</w:t>
            </w:r>
          </w:p>
        </w:tc>
        <w:tc>
          <w:tcPr>
            <w:tcW w:w="1530" w:type="dxa"/>
            <w:vAlign w:val="center"/>
          </w:tcPr>
          <w:p w14:paraId="28B4DBC5" w14:textId="09DC3598" w:rsidR="00CF5829" w:rsidRPr="00E133C1" w:rsidRDefault="00E133C1" w:rsidP="00CF5829">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w:t>
            </w:r>
            <w:r w:rsidR="00CF5829" w:rsidRPr="00E133C1">
              <w:rPr>
                <w:rFonts w:eastAsia="Times New Roman" w:cstheme="minorHAnsi"/>
                <w:color w:val="000000"/>
                <w:kern w:val="0"/>
                <w14:ligatures w14:val="none"/>
              </w:rPr>
              <w:t>31,566</w:t>
            </w:r>
          </w:p>
        </w:tc>
        <w:tc>
          <w:tcPr>
            <w:tcW w:w="1350" w:type="dxa"/>
          </w:tcPr>
          <w:p w14:paraId="368D2A6D" w14:textId="069BF333" w:rsidR="00CF5829" w:rsidRPr="00E133C1" w:rsidRDefault="00CF5829" w:rsidP="00CF5829">
            <w:pPr>
              <w:pStyle w:val="NoSpacing"/>
              <w:jc w:val="center"/>
              <w:rPr>
                <w:rFonts w:eastAsia="Times New Roman" w:cstheme="minorHAnsi"/>
                <w:color w:val="000000"/>
                <w:kern w:val="0"/>
                <w14:ligatures w14:val="none"/>
              </w:rPr>
            </w:pPr>
            <w:r w:rsidRPr="00E133C1">
              <w:rPr>
                <w:rFonts w:cstheme="minorHAnsi"/>
              </w:rPr>
              <w:t>$32,150</w:t>
            </w:r>
          </w:p>
        </w:tc>
        <w:tc>
          <w:tcPr>
            <w:tcW w:w="1885" w:type="dxa"/>
          </w:tcPr>
          <w:p w14:paraId="6EA92F62" w14:textId="4DFBC95C" w:rsidR="00CF5829" w:rsidRPr="00E133C1" w:rsidRDefault="00CF5829" w:rsidP="00CF5829">
            <w:pPr>
              <w:pStyle w:val="NoSpacing"/>
              <w:jc w:val="center"/>
              <w:rPr>
                <w:rFonts w:eastAsia="Times New Roman" w:cstheme="minorHAnsi"/>
                <w:color w:val="000000"/>
                <w:kern w:val="0"/>
                <w14:ligatures w14:val="none"/>
              </w:rPr>
            </w:pPr>
            <w:r w:rsidRPr="00E133C1">
              <w:rPr>
                <w:rFonts w:cstheme="minorHAnsi"/>
              </w:rPr>
              <w:t>$64,300</w:t>
            </w:r>
          </w:p>
        </w:tc>
      </w:tr>
      <w:tr w:rsidR="00CF5829" w14:paraId="17F08F30" w14:textId="071AE357" w:rsidTr="00E133C1">
        <w:trPr>
          <w:trHeight w:val="70"/>
        </w:trPr>
        <w:tc>
          <w:tcPr>
            <w:tcW w:w="895" w:type="dxa"/>
            <w:vAlign w:val="center"/>
          </w:tcPr>
          <w:p w14:paraId="2019ADB2" w14:textId="77777777" w:rsidR="00CF5829" w:rsidRPr="00E133C1" w:rsidRDefault="00CF5829" w:rsidP="00CF5829">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5</w:t>
            </w:r>
          </w:p>
        </w:tc>
        <w:tc>
          <w:tcPr>
            <w:tcW w:w="2160" w:type="dxa"/>
            <w:vAlign w:val="center"/>
          </w:tcPr>
          <w:p w14:paraId="14293B51" w14:textId="61AE9F40" w:rsidR="00CF5829" w:rsidRPr="00E133C1" w:rsidRDefault="00E133C1" w:rsidP="00CF5829">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w:t>
            </w:r>
            <w:r w:rsidR="00CF5829" w:rsidRPr="00E133C1">
              <w:rPr>
                <w:rFonts w:eastAsia="Times New Roman" w:cstheme="minorHAnsi"/>
                <w:color w:val="000000"/>
                <w:kern w:val="0"/>
                <w14:ligatures w14:val="none"/>
              </w:rPr>
              <w:t>38,833</w:t>
            </w:r>
          </w:p>
        </w:tc>
        <w:tc>
          <w:tcPr>
            <w:tcW w:w="1530" w:type="dxa"/>
            <w:vAlign w:val="center"/>
          </w:tcPr>
          <w:p w14:paraId="0CD54801" w14:textId="77777777" w:rsidR="00CF5829" w:rsidRPr="00E133C1" w:rsidRDefault="00CF5829" w:rsidP="00CF5829">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$55,339</w:t>
            </w:r>
          </w:p>
        </w:tc>
        <w:tc>
          <w:tcPr>
            <w:tcW w:w="1530" w:type="dxa"/>
            <w:vAlign w:val="center"/>
          </w:tcPr>
          <w:p w14:paraId="6D37FCF7" w14:textId="6000BF4B" w:rsidR="00CF5829" w:rsidRPr="00E133C1" w:rsidRDefault="00E133C1" w:rsidP="00CF5829">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w:t>
            </w:r>
            <w:r w:rsidR="00CF5829" w:rsidRPr="00E133C1">
              <w:rPr>
                <w:rFonts w:eastAsia="Times New Roman" w:cstheme="minorHAnsi"/>
                <w:color w:val="000000"/>
                <w:kern w:val="0"/>
                <w14:ligatures w14:val="none"/>
              </w:rPr>
              <w:t>37,259</w:t>
            </w:r>
          </w:p>
        </w:tc>
        <w:tc>
          <w:tcPr>
            <w:tcW w:w="1350" w:type="dxa"/>
          </w:tcPr>
          <w:p w14:paraId="3A6A4D7B" w14:textId="27CDA167" w:rsidR="00CF5829" w:rsidRPr="00E133C1" w:rsidRDefault="00CF5829" w:rsidP="00CF5829">
            <w:pPr>
              <w:pStyle w:val="NoSpacing"/>
              <w:jc w:val="center"/>
              <w:rPr>
                <w:rFonts w:eastAsia="Times New Roman" w:cstheme="minorHAnsi"/>
                <w:color w:val="000000"/>
                <w:kern w:val="0"/>
                <w14:ligatures w14:val="none"/>
              </w:rPr>
            </w:pPr>
            <w:r w:rsidRPr="00E133C1">
              <w:rPr>
                <w:rFonts w:cstheme="minorHAnsi"/>
              </w:rPr>
              <w:t>$37,650</w:t>
            </w:r>
          </w:p>
        </w:tc>
        <w:tc>
          <w:tcPr>
            <w:tcW w:w="1885" w:type="dxa"/>
          </w:tcPr>
          <w:p w14:paraId="2D90464A" w14:textId="28A4D728" w:rsidR="00CF5829" w:rsidRPr="00E133C1" w:rsidRDefault="00CF5829" w:rsidP="00CF5829">
            <w:pPr>
              <w:pStyle w:val="NoSpacing"/>
              <w:jc w:val="center"/>
              <w:rPr>
                <w:rFonts w:eastAsia="Times New Roman" w:cstheme="minorHAnsi"/>
                <w:color w:val="000000"/>
                <w:kern w:val="0"/>
                <w14:ligatures w14:val="none"/>
              </w:rPr>
            </w:pPr>
            <w:r w:rsidRPr="00E133C1">
              <w:rPr>
                <w:rFonts w:cstheme="minorHAnsi"/>
              </w:rPr>
              <w:t>$75,300</w:t>
            </w:r>
          </w:p>
        </w:tc>
      </w:tr>
      <w:tr w:rsidR="00CF5829" w14:paraId="6A4B6BDE" w14:textId="6D6DC948" w:rsidTr="00E133C1">
        <w:tc>
          <w:tcPr>
            <w:tcW w:w="895" w:type="dxa"/>
            <w:vAlign w:val="center"/>
          </w:tcPr>
          <w:p w14:paraId="02B1D6DE" w14:textId="77777777" w:rsidR="00CF5829" w:rsidRPr="00E133C1" w:rsidRDefault="00CF5829" w:rsidP="00CF5829">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6</w:t>
            </w:r>
          </w:p>
        </w:tc>
        <w:tc>
          <w:tcPr>
            <w:tcW w:w="2160" w:type="dxa"/>
            <w:vAlign w:val="center"/>
          </w:tcPr>
          <w:p w14:paraId="7B8CBF7D" w14:textId="03205151" w:rsidR="00CF5829" w:rsidRPr="00E133C1" w:rsidRDefault="00E133C1" w:rsidP="00CF5829">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w:t>
            </w:r>
            <w:r w:rsidR="00CF5829" w:rsidRPr="00E133C1">
              <w:rPr>
                <w:rFonts w:eastAsia="Times New Roman" w:cstheme="minorHAnsi"/>
                <w:color w:val="000000"/>
                <w:kern w:val="0"/>
                <w14:ligatures w14:val="none"/>
              </w:rPr>
              <w:t>45,412</w:t>
            </w:r>
          </w:p>
        </w:tc>
        <w:tc>
          <w:tcPr>
            <w:tcW w:w="1530" w:type="dxa"/>
            <w:vAlign w:val="center"/>
          </w:tcPr>
          <w:p w14:paraId="619B0B22" w14:textId="77777777" w:rsidR="00CF5829" w:rsidRPr="00E133C1" w:rsidRDefault="00CF5829" w:rsidP="00CF5829">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$64,730</w:t>
            </w:r>
          </w:p>
        </w:tc>
        <w:tc>
          <w:tcPr>
            <w:tcW w:w="1530" w:type="dxa"/>
            <w:vAlign w:val="center"/>
          </w:tcPr>
          <w:p w14:paraId="1406F756" w14:textId="17B77E20" w:rsidR="00CF5829" w:rsidRPr="00E133C1" w:rsidRDefault="00E133C1" w:rsidP="00CF5829">
            <w:pPr>
              <w:pStyle w:val="NoSpacing"/>
              <w:jc w:val="center"/>
              <w:rPr>
                <w:rFonts w:eastAsia="Times New Roman" w:cstheme="minorHAnsi"/>
                <w:kern w:val="0"/>
                <w14:ligatures w14:val="none"/>
              </w:rPr>
            </w:pPr>
            <w:r w:rsidRPr="00E133C1">
              <w:rPr>
                <w:rFonts w:eastAsia="Times New Roman" w:cstheme="minorHAnsi"/>
                <w:color w:val="000000"/>
                <w:kern w:val="0"/>
                <w14:ligatures w14:val="none"/>
              </w:rPr>
              <w:t>$</w:t>
            </w:r>
            <w:r w:rsidR="00CF5829" w:rsidRPr="00E133C1">
              <w:rPr>
                <w:rFonts w:eastAsia="Times New Roman" w:cstheme="minorHAnsi"/>
                <w:color w:val="000000"/>
                <w:kern w:val="0"/>
                <w14:ligatures w14:val="none"/>
              </w:rPr>
              <w:t>43,572</w:t>
            </w:r>
          </w:p>
        </w:tc>
        <w:tc>
          <w:tcPr>
            <w:tcW w:w="1350" w:type="dxa"/>
          </w:tcPr>
          <w:p w14:paraId="4DEBC1BE" w14:textId="16B5B6E6" w:rsidR="00CF5829" w:rsidRPr="00E133C1" w:rsidRDefault="00CF5829" w:rsidP="00CF5829">
            <w:pPr>
              <w:pStyle w:val="NoSpacing"/>
              <w:jc w:val="center"/>
              <w:rPr>
                <w:rFonts w:eastAsia="Times New Roman" w:cstheme="minorHAnsi"/>
                <w:color w:val="000000"/>
                <w:kern w:val="0"/>
                <w14:ligatures w14:val="none"/>
              </w:rPr>
            </w:pPr>
            <w:r w:rsidRPr="00E133C1">
              <w:rPr>
                <w:rFonts w:cstheme="minorHAnsi"/>
              </w:rPr>
              <w:t>$43,150</w:t>
            </w:r>
          </w:p>
        </w:tc>
        <w:tc>
          <w:tcPr>
            <w:tcW w:w="1885" w:type="dxa"/>
          </w:tcPr>
          <w:p w14:paraId="27CFB583" w14:textId="101E71C4" w:rsidR="00CF5829" w:rsidRPr="00E133C1" w:rsidRDefault="00CF5829" w:rsidP="00CF5829">
            <w:pPr>
              <w:pStyle w:val="NoSpacing"/>
              <w:jc w:val="center"/>
              <w:rPr>
                <w:rFonts w:eastAsia="Times New Roman" w:cstheme="minorHAnsi"/>
                <w:color w:val="000000"/>
                <w:kern w:val="0"/>
                <w14:ligatures w14:val="none"/>
              </w:rPr>
            </w:pPr>
            <w:r w:rsidRPr="00E133C1">
              <w:rPr>
                <w:rFonts w:cstheme="minorHAnsi"/>
              </w:rPr>
              <w:t>$86,300</w:t>
            </w:r>
          </w:p>
        </w:tc>
      </w:tr>
    </w:tbl>
    <w:p w14:paraId="15C654D8" w14:textId="77777777" w:rsidR="00E133C1" w:rsidRPr="00E133C1" w:rsidRDefault="00E133C1" w:rsidP="00E133C1">
      <w:pPr>
        <w:pStyle w:val="NoSpacing"/>
        <w:rPr>
          <w:rFonts w:eastAsia="Times New Roman" w:cstheme="minorHAnsi"/>
          <w:kern w:val="0"/>
          <w:sz w:val="12"/>
          <w:szCs w:val="12"/>
          <w14:ligatures w14:val="none"/>
        </w:rPr>
      </w:pPr>
    </w:p>
    <w:p w14:paraId="168559DA" w14:textId="0CD56372" w:rsidR="00E133C1" w:rsidRPr="00E133C1" w:rsidRDefault="00E133C1" w:rsidP="00E133C1">
      <w:pPr>
        <w:pStyle w:val="NoSpacing"/>
      </w:pPr>
      <w:r>
        <w:rPr>
          <w:b/>
          <w:bCs/>
        </w:rPr>
        <w:t xml:space="preserve">Note: </w:t>
      </w:r>
      <w:r>
        <w:t xml:space="preserve">All incomes listed in Table Three are </w:t>
      </w:r>
      <w:r w:rsidRPr="007130E6">
        <w:rPr>
          <w:u w:val="single"/>
        </w:rPr>
        <w:t>rounded up</w:t>
      </w:r>
      <w:r>
        <w:t xml:space="preserve"> to the </w:t>
      </w:r>
      <w:r w:rsidRPr="00366B28">
        <w:t>nearest whole dollar</w:t>
      </w:r>
      <w:r>
        <w:t xml:space="preserve"> for presentation purposes</w:t>
      </w:r>
      <w:r w:rsidRPr="00366B28">
        <w:t>.</w:t>
      </w:r>
    </w:p>
    <w:p w14:paraId="0C10CFEA" w14:textId="5FBECF50" w:rsidR="007123FB" w:rsidRPr="00BF7813" w:rsidRDefault="007123FB" w:rsidP="007123FB">
      <w:pPr>
        <w:pStyle w:val="NoSpacing"/>
        <w:jc w:val="center"/>
        <w:rPr>
          <w:rFonts w:cstheme="minorHAnsi"/>
          <w:b/>
          <w:bCs/>
        </w:rPr>
      </w:pPr>
      <w:r w:rsidRPr="00BF7813">
        <w:rPr>
          <w:rFonts w:eastAsia="Times New Roman" w:cstheme="minorHAnsi"/>
          <w:b/>
          <w:bCs/>
          <w:kern w:val="0"/>
          <w14:ligatures w14:val="none"/>
        </w:rPr>
        <w:t xml:space="preserve">Table </w:t>
      </w:r>
      <w:r>
        <w:rPr>
          <w:rFonts w:eastAsia="Times New Roman" w:cstheme="minorHAnsi"/>
          <w:b/>
          <w:bCs/>
          <w:kern w:val="0"/>
          <w14:ligatures w14:val="none"/>
        </w:rPr>
        <w:t>Four</w:t>
      </w:r>
      <w:r w:rsidRPr="00BF7813">
        <w:rPr>
          <w:rFonts w:eastAsia="Times New Roman" w:cstheme="minorHAnsi"/>
          <w:b/>
          <w:bCs/>
          <w:kern w:val="0"/>
          <w14:ligatures w14:val="none"/>
        </w:rPr>
        <w:t xml:space="preserve">: </w:t>
      </w:r>
      <w:r w:rsidR="00E133C1">
        <w:rPr>
          <w:rFonts w:eastAsia="Times New Roman" w:cstheme="minorHAnsi"/>
          <w:b/>
          <w:bCs/>
          <w:kern w:val="0"/>
          <w14:ligatures w14:val="none"/>
        </w:rPr>
        <w:t xml:space="preserve">2025 </w:t>
      </w:r>
      <w:r w:rsidRPr="00BF7813">
        <w:rPr>
          <w:rFonts w:eastAsia="Times New Roman" w:cstheme="minorHAnsi"/>
          <w:b/>
          <w:bCs/>
          <w:kern w:val="0"/>
          <w14:ligatures w14:val="none"/>
        </w:rPr>
        <w:t>FP and LLSIL Guideline</w:t>
      </w:r>
      <w:r>
        <w:rPr>
          <w:rFonts w:eastAsia="Times New Roman" w:cstheme="minorHAnsi"/>
          <w:b/>
          <w:bCs/>
          <w:kern w:val="0"/>
          <w14:ligatures w14:val="none"/>
        </w:rPr>
        <w:t xml:space="preserve"> Incomes </w:t>
      </w:r>
      <w:r w:rsidRPr="00BF7813">
        <w:rPr>
          <w:rFonts w:cstheme="minorHAnsi"/>
          <w:b/>
          <w:bCs/>
        </w:rPr>
        <w:t xml:space="preserve">Per </w:t>
      </w:r>
      <w:r>
        <w:rPr>
          <w:rFonts w:cstheme="minorHAnsi"/>
          <w:b/>
          <w:bCs/>
        </w:rPr>
        <w:t>Month</w:t>
      </w:r>
      <w:r w:rsidRPr="00BF7813">
        <w:rPr>
          <w:rStyle w:val="FootnoteReference"/>
          <w:rFonts w:cstheme="minorHAnsi"/>
          <w:b/>
          <w:bCs/>
        </w:rPr>
        <w:footnoteReference w:id="17"/>
      </w:r>
    </w:p>
    <w:tbl>
      <w:tblPr>
        <w:tblStyle w:val="TableGrid"/>
        <w:tblW w:w="0" w:type="auto"/>
        <w:tblLook w:val="04A0" w:firstRow="1" w:lastRow="0" w:firstColumn="1" w:lastColumn="0" w:noHBand="0" w:noVBand="1"/>
      </w:tblPr>
      <w:tblGrid>
        <w:gridCol w:w="895"/>
        <w:gridCol w:w="2160"/>
        <w:gridCol w:w="1530"/>
        <w:gridCol w:w="1530"/>
        <w:gridCol w:w="1350"/>
        <w:gridCol w:w="1885"/>
      </w:tblGrid>
      <w:tr w:rsidR="00E133C1" w14:paraId="27BC1ABA" w14:textId="77777777" w:rsidTr="00E133C1">
        <w:tc>
          <w:tcPr>
            <w:tcW w:w="895" w:type="dxa"/>
            <w:vAlign w:val="center"/>
          </w:tcPr>
          <w:p w14:paraId="7C050737" w14:textId="77777777" w:rsidR="00E133C1" w:rsidRPr="00E133C1" w:rsidRDefault="00E133C1" w:rsidP="00E133C1">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Family Size</w:t>
            </w:r>
          </w:p>
        </w:tc>
        <w:tc>
          <w:tcPr>
            <w:tcW w:w="2160" w:type="dxa"/>
            <w:vAlign w:val="center"/>
          </w:tcPr>
          <w:p w14:paraId="1C59FEFF" w14:textId="77777777" w:rsidR="00E133C1" w:rsidRDefault="00E133C1" w:rsidP="00E133C1">
            <w:pPr>
              <w:pStyle w:val="NoSpacing"/>
              <w:jc w:val="center"/>
              <w:rPr>
                <w:rFonts w:ascii="Calibri" w:eastAsia="Times New Roman" w:hAnsi="Calibri" w:cs="Calibri"/>
                <w:b/>
                <w:bCs/>
                <w:color w:val="000000"/>
                <w:kern w:val="0"/>
                <w14:ligatures w14:val="none"/>
              </w:rPr>
            </w:pPr>
            <w:r w:rsidRPr="00E133C1">
              <w:rPr>
                <w:rFonts w:ascii="Calibri" w:eastAsia="Times New Roman" w:hAnsi="Calibri" w:cs="Calibri"/>
                <w:b/>
                <w:bCs/>
                <w:color w:val="000000"/>
                <w:kern w:val="0"/>
                <w14:ligatures w14:val="none"/>
              </w:rPr>
              <w:t>70% Minneapolis-</w:t>
            </w:r>
          </w:p>
          <w:p w14:paraId="67F2D20F" w14:textId="1CAC62E0" w:rsidR="00E133C1" w:rsidRPr="00E133C1" w:rsidRDefault="00E133C1" w:rsidP="00E133C1">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St. Paul-Bloomington MSA LLSIL</w:t>
            </w:r>
          </w:p>
        </w:tc>
        <w:tc>
          <w:tcPr>
            <w:tcW w:w="1530" w:type="dxa"/>
            <w:vAlign w:val="center"/>
          </w:tcPr>
          <w:p w14:paraId="3B614289" w14:textId="77777777" w:rsidR="00E133C1" w:rsidRPr="00E133C1" w:rsidRDefault="00E133C1" w:rsidP="00E133C1">
            <w:pPr>
              <w:pStyle w:val="NoSpacing"/>
              <w:jc w:val="center"/>
              <w:rPr>
                <w:rFonts w:ascii="Calibri" w:eastAsia="Times New Roman" w:hAnsi="Calibri" w:cs="Calibri"/>
                <w:b/>
                <w:bCs/>
                <w:color w:val="000000"/>
                <w:kern w:val="0"/>
                <w14:ligatures w14:val="none"/>
              </w:rPr>
            </w:pPr>
            <w:r w:rsidRPr="00E133C1">
              <w:rPr>
                <w:rFonts w:ascii="Calibri" w:eastAsia="Times New Roman" w:hAnsi="Calibri" w:cs="Calibri"/>
                <w:b/>
                <w:bCs/>
                <w:color w:val="000000"/>
                <w:kern w:val="0"/>
                <w14:ligatures w14:val="none"/>
              </w:rPr>
              <w:t xml:space="preserve">70% Midwest </w:t>
            </w:r>
          </w:p>
          <w:p w14:paraId="42A6A9C1" w14:textId="1D42546B" w:rsidR="00E133C1" w:rsidRPr="00E133C1" w:rsidRDefault="00E133C1" w:rsidP="00E133C1">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Metro LLSIL</w:t>
            </w:r>
          </w:p>
        </w:tc>
        <w:tc>
          <w:tcPr>
            <w:tcW w:w="1530" w:type="dxa"/>
            <w:vAlign w:val="center"/>
          </w:tcPr>
          <w:p w14:paraId="578CF0DA" w14:textId="77777777" w:rsidR="00E133C1" w:rsidRPr="00E133C1" w:rsidRDefault="00E133C1" w:rsidP="00E133C1">
            <w:pPr>
              <w:jc w:val="center"/>
              <w:rPr>
                <w:rFonts w:ascii="Calibri" w:eastAsia="Times New Roman" w:hAnsi="Calibri" w:cs="Calibri"/>
                <w:b/>
                <w:bCs/>
                <w:color w:val="000000"/>
                <w:kern w:val="0"/>
                <w14:ligatures w14:val="none"/>
              </w:rPr>
            </w:pPr>
            <w:r w:rsidRPr="00E133C1">
              <w:rPr>
                <w:rFonts w:ascii="Calibri" w:eastAsia="Times New Roman" w:hAnsi="Calibri" w:cs="Calibri"/>
                <w:b/>
                <w:bCs/>
                <w:color w:val="000000"/>
                <w:kern w:val="0"/>
                <w14:ligatures w14:val="none"/>
              </w:rPr>
              <w:t>70% Midwest</w:t>
            </w:r>
          </w:p>
          <w:p w14:paraId="24F65066" w14:textId="5500D22E" w:rsidR="00E133C1" w:rsidRPr="00E133C1" w:rsidRDefault="00E133C1" w:rsidP="00E133C1">
            <w:pPr>
              <w:pStyle w:val="NoSpacing"/>
              <w:jc w:val="center"/>
              <w:rPr>
                <w:b/>
                <w:bCs/>
              </w:rPr>
            </w:pPr>
            <w:r w:rsidRPr="00E133C1">
              <w:rPr>
                <w:rFonts w:ascii="Calibri" w:eastAsia="Times New Roman" w:hAnsi="Calibri" w:cs="Calibri"/>
                <w:b/>
                <w:bCs/>
                <w:color w:val="000000"/>
                <w:kern w:val="0"/>
                <w14:ligatures w14:val="none"/>
              </w:rPr>
              <w:t>Non-Metro LLSIL</w:t>
            </w:r>
          </w:p>
        </w:tc>
        <w:tc>
          <w:tcPr>
            <w:tcW w:w="1350" w:type="dxa"/>
          </w:tcPr>
          <w:p w14:paraId="68C03D68" w14:textId="77777777" w:rsidR="00E133C1" w:rsidRDefault="00E133C1" w:rsidP="00E133C1">
            <w:pPr>
              <w:rPr>
                <w:rFonts w:ascii="Calibri" w:eastAsia="Times New Roman" w:hAnsi="Calibri" w:cs="Calibri"/>
                <w:b/>
                <w:bCs/>
                <w:color w:val="000000"/>
                <w:kern w:val="0"/>
                <w14:ligatures w14:val="none"/>
              </w:rPr>
            </w:pPr>
          </w:p>
          <w:p w14:paraId="18771D9E" w14:textId="3200ABA7" w:rsidR="00E133C1" w:rsidRPr="00E133C1" w:rsidRDefault="00E133C1" w:rsidP="00E133C1">
            <w:pPr>
              <w:jc w:val="center"/>
              <w:rPr>
                <w:rFonts w:ascii="Calibri" w:eastAsia="Times New Roman" w:hAnsi="Calibri" w:cs="Calibri"/>
                <w:b/>
                <w:bCs/>
                <w:color w:val="000000"/>
                <w:kern w:val="0"/>
                <w14:ligatures w14:val="none"/>
              </w:rPr>
            </w:pPr>
            <w:r w:rsidRPr="00E133C1">
              <w:rPr>
                <w:rFonts w:ascii="Calibri" w:eastAsia="Times New Roman" w:hAnsi="Calibri" w:cs="Calibri"/>
                <w:b/>
                <w:bCs/>
                <w:color w:val="000000"/>
                <w:kern w:val="0"/>
                <w14:ligatures w14:val="none"/>
              </w:rPr>
              <w:t>100% FP Guidelines</w:t>
            </w:r>
          </w:p>
        </w:tc>
        <w:tc>
          <w:tcPr>
            <w:tcW w:w="1885" w:type="dxa"/>
          </w:tcPr>
          <w:p w14:paraId="6C77D4F1" w14:textId="77777777" w:rsidR="00E133C1" w:rsidRDefault="00E133C1" w:rsidP="00E133C1">
            <w:pPr>
              <w:jc w:val="center"/>
              <w:rPr>
                <w:rFonts w:ascii="Calibri" w:eastAsia="Times New Roman" w:hAnsi="Calibri" w:cs="Calibri"/>
                <w:b/>
                <w:bCs/>
                <w:color w:val="000000"/>
                <w:kern w:val="0"/>
                <w14:ligatures w14:val="none"/>
              </w:rPr>
            </w:pPr>
            <w:r w:rsidRPr="00E133C1">
              <w:rPr>
                <w:rFonts w:ascii="Calibri" w:eastAsia="Times New Roman" w:hAnsi="Calibri" w:cs="Calibri"/>
                <w:b/>
                <w:bCs/>
                <w:color w:val="000000"/>
                <w:kern w:val="0"/>
                <w14:ligatures w14:val="none"/>
              </w:rPr>
              <w:t>200% FP Guidelines</w:t>
            </w:r>
          </w:p>
          <w:p w14:paraId="2CB7F198" w14:textId="4C310235" w:rsidR="00E133C1" w:rsidRPr="00E133C1" w:rsidRDefault="00E133C1" w:rsidP="00E133C1">
            <w:pPr>
              <w:jc w:val="center"/>
              <w:rPr>
                <w:rFonts w:ascii="Calibri" w:eastAsia="Times New Roman" w:hAnsi="Calibri" w:cs="Calibri"/>
                <w:b/>
                <w:bCs/>
                <w:color w:val="000000"/>
                <w:kern w:val="0"/>
                <w14:ligatures w14:val="none"/>
              </w:rPr>
            </w:pPr>
            <w:r w:rsidRPr="00E133C1">
              <w:rPr>
                <w:color w:val="C00000"/>
              </w:rPr>
              <w:t>State Dislocated Worker ONLY</w:t>
            </w:r>
          </w:p>
        </w:tc>
      </w:tr>
      <w:tr w:rsidR="0004396B" w14:paraId="6F7DE116" w14:textId="77777777" w:rsidTr="00E133C1">
        <w:tc>
          <w:tcPr>
            <w:tcW w:w="895" w:type="dxa"/>
            <w:vAlign w:val="center"/>
          </w:tcPr>
          <w:p w14:paraId="765A287C" w14:textId="77777777" w:rsidR="0004396B" w:rsidRPr="00E133C1" w:rsidRDefault="0004396B" w:rsidP="0004396B">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1</w:t>
            </w:r>
          </w:p>
        </w:tc>
        <w:tc>
          <w:tcPr>
            <w:tcW w:w="2160" w:type="dxa"/>
            <w:shd w:val="clear" w:color="auto" w:fill="auto"/>
          </w:tcPr>
          <w:p w14:paraId="7BD011DB" w14:textId="70C33357" w:rsidR="0004396B" w:rsidRPr="00E133C1" w:rsidRDefault="0004396B" w:rsidP="0004396B">
            <w:pPr>
              <w:pStyle w:val="NoSpacing"/>
              <w:jc w:val="center"/>
              <w:rPr>
                <w:rFonts w:eastAsia="Times New Roman" w:cstheme="minorHAnsi"/>
                <w:kern w:val="0"/>
                <w14:ligatures w14:val="none"/>
              </w:rPr>
            </w:pPr>
            <w:r w:rsidRPr="00E133C1">
              <w:rPr>
                <w:rFonts w:cstheme="minorHAnsi"/>
              </w:rPr>
              <w:t xml:space="preserve"> $988</w:t>
            </w:r>
          </w:p>
        </w:tc>
        <w:tc>
          <w:tcPr>
            <w:tcW w:w="1530" w:type="dxa"/>
            <w:shd w:val="clear" w:color="auto" w:fill="auto"/>
          </w:tcPr>
          <w:p w14:paraId="784A05A7" w14:textId="61E07005" w:rsidR="0004396B" w:rsidRPr="00E133C1" w:rsidRDefault="0004396B" w:rsidP="0004396B">
            <w:pPr>
              <w:pStyle w:val="NoSpacing"/>
              <w:jc w:val="center"/>
              <w:rPr>
                <w:rFonts w:eastAsia="Times New Roman" w:cstheme="minorHAnsi"/>
                <w:kern w:val="0"/>
                <w14:ligatures w14:val="none"/>
              </w:rPr>
            </w:pPr>
            <w:r w:rsidRPr="00E133C1">
              <w:rPr>
                <w:rFonts w:cstheme="minorHAnsi"/>
              </w:rPr>
              <w:t xml:space="preserve"> $1,408 </w:t>
            </w:r>
          </w:p>
        </w:tc>
        <w:tc>
          <w:tcPr>
            <w:tcW w:w="1530" w:type="dxa"/>
            <w:shd w:val="clear" w:color="auto" w:fill="auto"/>
          </w:tcPr>
          <w:p w14:paraId="4AC7C4B0" w14:textId="3E78B3CE" w:rsidR="0004396B" w:rsidRPr="00E133C1" w:rsidRDefault="0004396B" w:rsidP="0004396B">
            <w:pPr>
              <w:pStyle w:val="NoSpacing"/>
              <w:jc w:val="center"/>
              <w:rPr>
                <w:rFonts w:eastAsia="Times New Roman" w:cstheme="minorHAnsi"/>
                <w:kern w:val="0"/>
                <w14:ligatures w14:val="none"/>
              </w:rPr>
            </w:pPr>
            <w:r w:rsidRPr="00E133C1">
              <w:rPr>
                <w:rFonts w:cstheme="minorHAnsi"/>
              </w:rPr>
              <w:t xml:space="preserve"> $948 </w:t>
            </w:r>
          </w:p>
        </w:tc>
        <w:tc>
          <w:tcPr>
            <w:tcW w:w="1350" w:type="dxa"/>
            <w:vAlign w:val="bottom"/>
          </w:tcPr>
          <w:p w14:paraId="6CD178DD" w14:textId="402FC5E8" w:rsidR="0004396B" w:rsidRPr="00E133C1" w:rsidRDefault="0004396B" w:rsidP="0004396B">
            <w:pPr>
              <w:pStyle w:val="NoSpacing"/>
              <w:jc w:val="center"/>
              <w:rPr>
                <w:rFonts w:eastAsia="Times New Roman" w:cstheme="minorHAnsi"/>
                <w:color w:val="000000"/>
                <w:kern w:val="0"/>
                <w14:ligatures w14:val="none"/>
              </w:rPr>
            </w:pPr>
            <w:r w:rsidRPr="00E133C1">
              <w:rPr>
                <w:rFonts w:cstheme="minorHAnsi"/>
              </w:rPr>
              <w:t>1,305</w:t>
            </w:r>
          </w:p>
        </w:tc>
        <w:tc>
          <w:tcPr>
            <w:tcW w:w="1885" w:type="dxa"/>
            <w:vAlign w:val="bottom"/>
          </w:tcPr>
          <w:p w14:paraId="3B16A9D3" w14:textId="655D160A" w:rsidR="0004396B" w:rsidRPr="00E133C1" w:rsidRDefault="0004396B" w:rsidP="0004396B">
            <w:pPr>
              <w:pStyle w:val="NoSpacing"/>
              <w:jc w:val="center"/>
              <w:rPr>
                <w:rFonts w:eastAsia="Times New Roman" w:cstheme="minorHAnsi"/>
                <w:color w:val="000000"/>
                <w:kern w:val="0"/>
                <w14:ligatures w14:val="none"/>
              </w:rPr>
            </w:pPr>
            <w:r w:rsidRPr="00E133C1">
              <w:rPr>
                <w:rFonts w:cstheme="minorHAnsi"/>
              </w:rPr>
              <w:t>2,93</w:t>
            </w:r>
            <w:r w:rsidR="0079197A" w:rsidRPr="00E133C1">
              <w:rPr>
                <w:rFonts w:cstheme="minorHAnsi"/>
              </w:rPr>
              <w:t>5</w:t>
            </w:r>
          </w:p>
        </w:tc>
      </w:tr>
      <w:tr w:rsidR="0004396B" w14:paraId="55A096C1" w14:textId="77777777" w:rsidTr="00E133C1">
        <w:tc>
          <w:tcPr>
            <w:tcW w:w="895" w:type="dxa"/>
            <w:vAlign w:val="center"/>
          </w:tcPr>
          <w:p w14:paraId="4B30F63D" w14:textId="77777777" w:rsidR="0004396B" w:rsidRPr="00E133C1" w:rsidRDefault="0004396B" w:rsidP="0004396B">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2</w:t>
            </w:r>
          </w:p>
        </w:tc>
        <w:tc>
          <w:tcPr>
            <w:tcW w:w="2160" w:type="dxa"/>
            <w:shd w:val="clear" w:color="auto" w:fill="auto"/>
          </w:tcPr>
          <w:p w14:paraId="306355B5" w14:textId="24098F84" w:rsidR="0004396B" w:rsidRPr="00E133C1" w:rsidRDefault="0004396B" w:rsidP="0004396B">
            <w:pPr>
              <w:pStyle w:val="NoSpacing"/>
              <w:jc w:val="center"/>
              <w:rPr>
                <w:rFonts w:eastAsia="Times New Roman" w:cstheme="minorHAnsi"/>
                <w:kern w:val="0"/>
                <w14:ligatures w14:val="none"/>
              </w:rPr>
            </w:pPr>
            <w:r w:rsidRPr="00E133C1">
              <w:rPr>
                <w:rFonts w:cstheme="minorHAnsi"/>
              </w:rPr>
              <w:t xml:space="preserve"> $1,619 </w:t>
            </w:r>
          </w:p>
        </w:tc>
        <w:tc>
          <w:tcPr>
            <w:tcW w:w="1530" w:type="dxa"/>
            <w:shd w:val="clear" w:color="auto" w:fill="auto"/>
          </w:tcPr>
          <w:p w14:paraId="6DDBC888" w14:textId="3E0A42EF" w:rsidR="0004396B" w:rsidRPr="00E133C1" w:rsidRDefault="0004396B" w:rsidP="0004396B">
            <w:pPr>
              <w:pStyle w:val="NoSpacing"/>
              <w:jc w:val="center"/>
              <w:rPr>
                <w:rFonts w:eastAsia="Times New Roman" w:cstheme="minorHAnsi"/>
                <w:kern w:val="0"/>
                <w14:ligatures w14:val="none"/>
              </w:rPr>
            </w:pPr>
            <w:r w:rsidRPr="00E133C1">
              <w:rPr>
                <w:rFonts w:cstheme="minorHAnsi"/>
              </w:rPr>
              <w:t xml:space="preserve"> $2,307 </w:t>
            </w:r>
          </w:p>
        </w:tc>
        <w:tc>
          <w:tcPr>
            <w:tcW w:w="1530" w:type="dxa"/>
            <w:shd w:val="clear" w:color="auto" w:fill="auto"/>
          </w:tcPr>
          <w:p w14:paraId="23A90A0F" w14:textId="3C1581DC" w:rsidR="0004396B" w:rsidRPr="00E133C1" w:rsidRDefault="0004396B" w:rsidP="0004396B">
            <w:pPr>
              <w:pStyle w:val="NoSpacing"/>
              <w:jc w:val="center"/>
              <w:rPr>
                <w:rFonts w:eastAsia="Times New Roman" w:cstheme="minorHAnsi"/>
                <w:kern w:val="0"/>
                <w14:ligatures w14:val="none"/>
              </w:rPr>
            </w:pPr>
            <w:r w:rsidRPr="00E133C1">
              <w:rPr>
                <w:rFonts w:cstheme="minorHAnsi"/>
              </w:rPr>
              <w:t xml:space="preserve"> $1,553 </w:t>
            </w:r>
          </w:p>
        </w:tc>
        <w:tc>
          <w:tcPr>
            <w:tcW w:w="1350" w:type="dxa"/>
            <w:vAlign w:val="bottom"/>
          </w:tcPr>
          <w:p w14:paraId="26F3B6A5" w14:textId="51615940" w:rsidR="0004396B" w:rsidRPr="00E133C1" w:rsidRDefault="0004396B" w:rsidP="0004396B">
            <w:pPr>
              <w:pStyle w:val="NoSpacing"/>
              <w:jc w:val="center"/>
              <w:rPr>
                <w:rFonts w:eastAsia="Times New Roman" w:cstheme="minorHAnsi"/>
                <w:color w:val="000000"/>
                <w:kern w:val="0"/>
                <w14:ligatures w14:val="none"/>
              </w:rPr>
            </w:pPr>
            <w:r w:rsidRPr="00E133C1">
              <w:rPr>
                <w:rFonts w:cstheme="minorHAnsi"/>
              </w:rPr>
              <w:t>1,763</w:t>
            </w:r>
          </w:p>
        </w:tc>
        <w:tc>
          <w:tcPr>
            <w:tcW w:w="1885" w:type="dxa"/>
            <w:vAlign w:val="bottom"/>
          </w:tcPr>
          <w:p w14:paraId="6EB29F92" w14:textId="0B589557" w:rsidR="0004396B" w:rsidRPr="00E133C1" w:rsidRDefault="0004396B" w:rsidP="0004396B">
            <w:pPr>
              <w:pStyle w:val="NoSpacing"/>
              <w:jc w:val="center"/>
              <w:rPr>
                <w:rFonts w:eastAsia="Times New Roman" w:cstheme="minorHAnsi"/>
                <w:color w:val="000000"/>
                <w:kern w:val="0"/>
                <w14:ligatures w14:val="none"/>
              </w:rPr>
            </w:pPr>
            <w:r w:rsidRPr="00E133C1">
              <w:rPr>
                <w:rFonts w:cstheme="minorHAnsi"/>
              </w:rPr>
              <w:t>3,96</w:t>
            </w:r>
            <w:r w:rsidR="0079197A" w:rsidRPr="00E133C1">
              <w:rPr>
                <w:rFonts w:cstheme="minorHAnsi"/>
              </w:rPr>
              <w:t>6</w:t>
            </w:r>
          </w:p>
        </w:tc>
      </w:tr>
      <w:tr w:rsidR="0004396B" w14:paraId="33DED25C" w14:textId="77777777" w:rsidTr="00E133C1">
        <w:tc>
          <w:tcPr>
            <w:tcW w:w="895" w:type="dxa"/>
            <w:vAlign w:val="center"/>
          </w:tcPr>
          <w:p w14:paraId="0CC4478D" w14:textId="77777777" w:rsidR="0004396B" w:rsidRPr="00E133C1" w:rsidRDefault="0004396B" w:rsidP="0004396B">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3</w:t>
            </w:r>
          </w:p>
        </w:tc>
        <w:tc>
          <w:tcPr>
            <w:tcW w:w="2160" w:type="dxa"/>
          </w:tcPr>
          <w:p w14:paraId="60F9B31A" w14:textId="3AFF70B3" w:rsidR="0004396B" w:rsidRPr="00E133C1" w:rsidRDefault="0004396B" w:rsidP="0004396B">
            <w:pPr>
              <w:pStyle w:val="NoSpacing"/>
              <w:jc w:val="center"/>
              <w:rPr>
                <w:rFonts w:eastAsia="Times New Roman" w:cstheme="minorHAnsi"/>
                <w:kern w:val="0"/>
                <w14:ligatures w14:val="none"/>
              </w:rPr>
            </w:pPr>
            <w:r w:rsidRPr="00E133C1">
              <w:rPr>
                <w:rFonts w:cstheme="minorHAnsi"/>
              </w:rPr>
              <w:t xml:space="preserve"> $2,222 </w:t>
            </w:r>
          </w:p>
        </w:tc>
        <w:tc>
          <w:tcPr>
            <w:tcW w:w="1530" w:type="dxa"/>
          </w:tcPr>
          <w:p w14:paraId="6658E634" w14:textId="4770F5A9" w:rsidR="0004396B" w:rsidRPr="00E133C1" w:rsidRDefault="0004396B" w:rsidP="0004396B">
            <w:pPr>
              <w:pStyle w:val="NoSpacing"/>
              <w:jc w:val="center"/>
              <w:rPr>
                <w:rFonts w:eastAsia="Times New Roman" w:cstheme="minorHAnsi"/>
                <w:kern w:val="0"/>
                <w14:ligatures w14:val="none"/>
              </w:rPr>
            </w:pPr>
            <w:r w:rsidRPr="00E133C1">
              <w:rPr>
                <w:rFonts w:cstheme="minorHAnsi"/>
              </w:rPr>
              <w:t xml:space="preserve"> $3,166 </w:t>
            </w:r>
          </w:p>
        </w:tc>
        <w:tc>
          <w:tcPr>
            <w:tcW w:w="1530" w:type="dxa"/>
            <w:shd w:val="clear" w:color="auto" w:fill="auto"/>
          </w:tcPr>
          <w:p w14:paraId="7B843918" w14:textId="11A0E9E2" w:rsidR="0004396B" w:rsidRPr="00E133C1" w:rsidRDefault="0004396B" w:rsidP="0004396B">
            <w:pPr>
              <w:pStyle w:val="NoSpacing"/>
              <w:jc w:val="center"/>
              <w:rPr>
                <w:rFonts w:eastAsia="Times New Roman" w:cstheme="minorHAnsi"/>
                <w:kern w:val="0"/>
                <w14:ligatures w14:val="none"/>
              </w:rPr>
            </w:pPr>
            <w:r w:rsidRPr="00E133C1">
              <w:rPr>
                <w:rFonts w:cstheme="minorHAnsi"/>
              </w:rPr>
              <w:t xml:space="preserve"> $2,131 </w:t>
            </w:r>
          </w:p>
        </w:tc>
        <w:tc>
          <w:tcPr>
            <w:tcW w:w="1350" w:type="dxa"/>
            <w:vAlign w:val="bottom"/>
          </w:tcPr>
          <w:p w14:paraId="1A8F569E" w14:textId="176C4D05" w:rsidR="0004396B" w:rsidRPr="00E133C1" w:rsidRDefault="0004396B" w:rsidP="0004396B">
            <w:pPr>
              <w:pStyle w:val="NoSpacing"/>
              <w:jc w:val="center"/>
              <w:rPr>
                <w:rFonts w:eastAsia="Times New Roman" w:cstheme="minorHAnsi"/>
                <w:color w:val="000000"/>
                <w:kern w:val="0"/>
                <w14:ligatures w14:val="none"/>
              </w:rPr>
            </w:pPr>
            <w:r w:rsidRPr="00E133C1">
              <w:rPr>
                <w:rFonts w:cstheme="minorHAnsi"/>
              </w:rPr>
              <w:t>2,221</w:t>
            </w:r>
          </w:p>
        </w:tc>
        <w:tc>
          <w:tcPr>
            <w:tcW w:w="1885" w:type="dxa"/>
            <w:vAlign w:val="bottom"/>
          </w:tcPr>
          <w:p w14:paraId="07FA997C" w14:textId="1E8B8302" w:rsidR="0004396B" w:rsidRPr="00E133C1" w:rsidRDefault="0004396B" w:rsidP="0004396B">
            <w:pPr>
              <w:pStyle w:val="NoSpacing"/>
              <w:jc w:val="center"/>
              <w:rPr>
                <w:rFonts w:eastAsia="Times New Roman" w:cstheme="minorHAnsi"/>
                <w:color w:val="000000"/>
                <w:kern w:val="0"/>
                <w14:ligatures w14:val="none"/>
              </w:rPr>
            </w:pPr>
            <w:r w:rsidRPr="00E133C1">
              <w:rPr>
                <w:rFonts w:cstheme="minorHAnsi"/>
              </w:rPr>
              <w:t>4,99</w:t>
            </w:r>
            <w:r w:rsidR="0079197A" w:rsidRPr="00E133C1">
              <w:rPr>
                <w:rFonts w:cstheme="minorHAnsi"/>
              </w:rPr>
              <w:t>7</w:t>
            </w:r>
          </w:p>
        </w:tc>
      </w:tr>
      <w:tr w:rsidR="0004396B" w14:paraId="6A750DDB" w14:textId="77777777" w:rsidTr="00E133C1">
        <w:tc>
          <w:tcPr>
            <w:tcW w:w="895" w:type="dxa"/>
            <w:vAlign w:val="center"/>
          </w:tcPr>
          <w:p w14:paraId="0638E2A0" w14:textId="77777777" w:rsidR="0004396B" w:rsidRPr="00E133C1" w:rsidRDefault="0004396B" w:rsidP="0004396B">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4</w:t>
            </w:r>
          </w:p>
        </w:tc>
        <w:tc>
          <w:tcPr>
            <w:tcW w:w="2160" w:type="dxa"/>
          </w:tcPr>
          <w:p w14:paraId="4F5AC760" w14:textId="7C720D1F" w:rsidR="0004396B" w:rsidRPr="00E133C1" w:rsidRDefault="0004396B" w:rsidP="0004396B">
            <w:pPr>
              <w:pStyle w:val="NoSpacing"/>
              <w:jc w:val="center"/>
              <w:rPr>
                <w:rFonts w:eastAsia="Times New Roman" w:cstheme="minorHAnsi"/>
                <w:kern w:val="0"/>
                <w14:ligatures w14:val="none"/>
              </w:rPr>
            </w:pPr>
            <w:r w:rsidRPr="00E133C1">
              <w:rPr>
                <w:rFonts w:cstheme="minorHAnsi"/>
              </w:rPr>
              <w:t xml:space="preserve"> $2,742 </w:t>
            </w:r>
          </w:p>
        </w:tc>
        <w:tc>
          <w:tcPr>
            <w:tcW w:w="1530" w:type="dxa"/>
          </w:tcPr>
          <w:p w14:paraId="689F9101" w14:textId="61FB00CC" w:rsidR="0004396B" w:rsidRPr="00E133C1" w:rsidRDefault="0004396B" w:rsidP="0004396B">
            <w:pPr>
              <w:pStyle w:val="NoSpacing"/>
              <w:jc w:val="center"/>
              <w:rPr>
                <w:rFonts w:eastAsia="Times New Roman" w:cstheme="minorHAnsi"/>
                <w:kern w:val="0"/>
                <w14:ligatures w14:val="none"/>
              </w:rPr>
            </w:pPr>
            <w:r w:rsidRPr="00E133C1">
              <w:rPr>
                <w:rFonts w:cstheme="minorHAnsi"/>
              </w:rPr>
              <w:t xml:space="preserve"> $3,908 </w:t>
            </w:r>
          </w:p>
        </w:tc>
        <w:tc>
          <w:tcPr>
            <w:tcW w:w="1530" w:type="dxa"/>
          </w:tcPr>
          <w:p w14:paraId="4C8AB91E" w14:textId="4BB45824" w:rsidR="0004396B" w:rsidRPr="00E133C1" w:rsidRDefault="0004396B" w:rsidP="0004396B">
            <w:pPr>
              <w:pStyle w:val="NoSpacing"/>
              <w:jc w:val="center"/>
              <w:rPr>
                <w:rFonts w:eastAsia="Times New Roman" w:cstheme="minorHAnsi"/>
                <w:kern w:val="0"/>
                <w14:ligatures w14:val="none"/>
              </w:rPr>
            </w:pPr>
            <w:r w:rsidRPr="00E133C1">
              <w:rPr>
                <w:rFonts w:cstheme="minorHAnsi"/>
              </w:rPr>
              <w:t xml:space="preserve"> $2,631 </w:t>
            </w:r>
          </w:p>
        </w:tc>
        <w:tc>
          <w:tcPr>
            <w:tcW w:w="1350" w:type="dxa"/>
            <w:vAlign w:val="bottom"/>
          </w:tcPr>
          <w:p w14:paraId="00EC8101" w14:textId="6B927DFB" w:rsidR="0004396B" w:rsidRPr="00E133C1" w:rsidRDefault="0004396B" w:rsidP="0004396B">
            <w:pPr>
              <w:pStyle w:val="NoSpacing"/>
              <w:jc w:val="center"/>
              <w:rPr>
                <w:rFonts w:eastAsia="Times New Roman" w:cstheme="minorHAnsi"/>
                <w:color w:val="000000"/>
                <w:kern w:val="0"/>
                <w14:ligatures w14:val="none"/>
              </w:rPr>
            </w:pPr>
            <w:r w:rsidRPr="00E133C1">
              <w:rPr>
                <w:rFonts w:cstheme="minorHAnsi"/>
              </w:rPr>
              <w:t>2,680</w:t>
            </w:r>
          </w:p>
        </w:tc>
        <w:tc>
          <w:tcPr>
            <w:tcW w:w="1885" w:type="dxa"/>
            <w:vAlign w:val="bottom"/>
          </w:tcPr>
          <w:p w14:paraId="0C1DB352" w14:textId="3D838385" w:rsidR="0004396B" w:rsidRPr="00E133C1" w:rsidRDefault="0004396B" w:rsidP="0004396B">
            <w:pPr>
              <w:pStyle w:val="NoSpacing"/>
              <w:jc w:val="center"/>
              <w:rPr>
                <w:rFonts w:eastAsia="Times New Roman" w:cstheme="minorHAnsi"/>
                <w:color w:val="000000"/>
                <w:kern w:val="0"/>
                <w14:ligatures w14:val="none"/>
              </w:rPr>
            </w:pPr>
            <w:r w:rsidRPr="00E133C1">
              <w:rPr>
                <w:rFonts w:cstheme="minorHAnsi"/>
              </w:rPr>
              <w:t>6,02</w:t>
            </w:r>
            <w:r w:rsidR="0079197A" w:rsidRPr="00E133C1">
              <w:rPr>
                <w:rFonts w:cstheme="minorHAnsi"/>
              </w:rPr>
              <w:t>9</w:t>
            </w:r>
          </w:p>
        </w:tc>
      </w:tr>
      <w:tr w:rsidR="0004396B" w14:paraId="6BC11F6A" w14:textId="77777777" w:rsidTr="00E133C1">
        <w:trPr>
          <w:trHeight w:val="70"/>
        </w:trPr>
        <w:tc>
          <w:tcPr>
            <w:tcW w:w="895" w:type="dxa"/>
            <w:vAlign w:val="center"/>
          </w:tcPr>
          <w:p w14:paraId="27A17153" w14:textId="77777777" w:rsidR="0004396B" w:rsidRPr="00E133C1" w:rsidRDefault="0004396B" w:rsidP="0004396B">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5</w:t>
            </w:r>
          </w:p>
        </w:tc>
        <w:tc>
          <w:tcPr>
            <w:tcW w:w="2160" w:type="dxa"/>
          </w:tcPr>
          <w:p w14:paraId="77854861" w14:textId="784FF2C0" w:rsidR="0004396B" w:rsidRPr="00E133C1" w:rsidRDefault="0004396B" w:rsidP="0004396B">
            <w:pPr>
              <w:pStyle w:val="NoSpacing"/>
              <w:jc w:val="center"/>
              <w:rPr>
                <w:rFonts w:eastAsia="Times New Roman" w:cstheme="minorHAnsi"/>
                <w:kern w:val="0"/>
                <w14:ligatures w14:val="none"/>
              </w:rPr>
            </w:pPr>
            <w:r w:rsidRPr="00E133C1">
              <w:rPr>
                <w:rFonts w:cstheme="minorHAnsi"/>
              </w:rPr>
              <w:t xml:space="preserve"> $3,237 </w:t>
            </w:r>
          </w:p>
        </w:tc>
        <w:tc>
          <w:tcPr>
            <w:tcW w:w="1530" w:type="dxa"/>
          </w:tcPr>
          <w:p w14:paraId="4F36992A" w14:textId="7C0E26FC" w:rsidR="0004396B" w:rsidRPr="00E133C1" w:rsidRDefault="0004396B" w:rsidP="0004396B">
            <w:pPr>
              <w:pStyle w:val="NoSpacing"/>
              <w:jc w:val="center"/>
              <w:rPr>
                <w:rFonts w:eastAsia="Times New Roman" w:cstheme="minorHAnsi"/>
                <w:kern w:val="0"/>
                <w14:ligatures w14:val="none"/>
              </w:rPr>
            </w:pPr>
            <w:r w:rsidRPr="00E133C1">
              <w:rPr>
                <w:rFonts w:cstheme="minorHAnsi"/>
              </w:rPr>
              <w:t xml:space="preserve"> $4,612 </w:t>
            </w:r>
          </w:p>
        </w:tc>
        <w:tc>
          <w:tcPr>
            <w:tcW w:w="1530" w:type="dxa"/>
          </w:tcPr>
          <w:p w14:paraId="7C9EB7B2" w14:textId="40A2D72F" w:rsidR="0004396B" w:rsidRPr="00E133C1" w:rsidRDefault="0004396B" w:rsidP="0004396B">
            <w:pPr>
              <w:pStyle w:val="NoSpacing"/>
              <w:jc w:val="center"/>
              <w:rPr>
                <w:rFonts w:eastAsia="Times New Roman" w:cstheme="minorHAnsi"/>
                <w:kern w:val="0"/>
                <w14:ligatures w14:val="none"/>
              </w:rPr>
            </w:pPr>
            <w:r w:rsidRPr="00E133C1">
              <w:rPr>
                <w:rFonts w:cstheme="minorHAnsi"/>
              </w:rPr>
              <w:t xml:space="preserve"> $3,105 </w:t>
            </w:r>
          </w:p>
        </w:tc>
        <w:tc>
          <w:tcPr>
            <w:tcW w:w="1350" w:type="dxa"/>
            <w:vAlign w:val="bottom"/>
          </w:tcPr>
          <w:p w14:paraId="6FFA26E4" w14:textId="65280C57" w:rsidR="0004396B" w:rsidRPr="00E133C1" w:rsidRDefault="0004396B" w:rsidP="0004396B">
            <w:pPr>
              <w:pStyle w:val="NoSpacing"/>
              <w:jc w:val="center"/>
              <w:rPr>
                <w:rFonts w:eastAsia="Times New Roman" w:cstheme="minorHAnsi"/>
                <w:color w:val="000000"/>
                <w:kern w:val="0"/>
                <w14:ligatures w14:val="none"/>
              </w:rPr>
            </w:pPr>
            <w:r w:rsidRPr="00E133C1">
              <w:rPr>
                <w:rFonts w:cstheme="minorHAnsi"/>
              </w:rPr>
              <w:t>3,138</w:t>
            </w:r>
          </w:p>
        </w:tc>
        <w:tc>
          <w:tcPr>
            <w:tcW w:w="1885" w:type="dxa"/>
            <w:vAlign w:val="bottom"/>
          </w:tcPr>
          <w:p w14:paraId="6AB2E326" w14:textId="036AE5A1" w:rsidR="0004396B" w:rsidRPr="00E133C1" w:rsidRDefault="0004396B" w:rsidP="0004396B">
            <w:pPr>
              <w:pStyle w:val="NoSpacing"/>
              <w:jc w:val="center"/>
              <w:rPr>
                <w:rFonts w:eastAsia="Times New Roman" w:cstheme="minorHAnsi"/>
                <w:color w:val="000000"/>
                <w:kern w:val="0"/>
                <w14:ligatures w14:val="none"/>
              </w:rPr>
            </w:pPr>
            <w:r w:rsidRPr="00E133C1">
              <w:rPr>
                <w:rFonts w:cstheme="minorHAnsi"/>
              </w:rPr>
              <w:t>7,0</w:t>
            </w:r>
            <w:r w:rsidR="0079197A" w:rsidRPr="00E133C1">
              <w:rPr>
                <w:rFonts w:cstheme="minorHAnsi"/>
              </w:rPr>
              <w:t>60</w:t>
            </w:r>
          </w:p>
        </w:tc>
      </w:tr>
      <w:tr w:rsidR="0004396B" w14:paraId="2F070F99" w14:textId="77777777" w:rsidTr="00E133C1">
        <w:tc>
          <w:tcPr>
            <w:tcW w:w="895" w:type="dxa"/>
            <w:vAlign w:val="center"/>
          </w:tcPr>
          <w:p w14:paraId="6ADF13F3" w14:textId="77777777" w:rsidR="0004396B" w:rsidRPr="00E133C1" w:rsidRDefault="0004396B" w:rsidP="0004396B">
            <w:pPr>
              <w:pStyle w:val="NoSpacing"/>
              <w:jc w:val="center"/>
              <w:rPr>
                <w:rFonts w:eastAsia="Times New Roman" w:cstheme="minorHAnsi"/>
                <w:b/>
                <w:bCs/>
                <w:kern w:val="0"/>
                <w14:ligatures w14:val="none"/>
              </w:rPr>
            </w:pPr>
            <w:r w:rsidRPr="00E133C1">
              <w:rPr>
                <w:rFonts w:ascii="Calibri" w:eastAsia="Times New Roman" w:hAnsi="Calibri" w:cs="Calibri"/>
                <w:b/>
                <w:bCs/>
                <w:color w:val="000000"/>
                <w:kern w:val="0"/>
                <w14:ligatures w14:val="none"/>
              </w:rPr>
              <w:t>6</w:t>
            </w:r>
          </w:p>
        </w:tc>
        <w:tc>
          <w:tcPr>
            <w:tcW w:w="2160" w:type="dxa"/>
          </w:tcPr>
          <w:p w14:paraId="0B0D4798" w14:textId="7DFD67A4" w:rsidR="0004396B" w:rsidRPr="00E133C1" w:rsidRDefault="0004396B" w:rsidP="0004396B">
            <w:pPr>
              <w:pStyle w:val="NoSpacing"/>
              <w:jc w:val="center"/>
              <w:rPr>
                <w:rFonts w:eastAsia="Times New Roman" w:cstheme="minorHAnsi"/>
                <w:kern w:val="0"/>
                <w14:ligatures w14:val="none"/>
              </w:rPr>
            </w:pPr>
            <w:r w:rsidRPr="00E133C1">
              <w:rPr>
                <w:rFonts w:cstheme="minorHAnsi"/>
              </w:rPr>
              <w:t xml:space="preserve"> $3,785 </w:t>
            </w:r>
          </w:p>
        </w:tc>
        <w:tc>
          <w:tcPr>
            <w:tcW w:w="1530" w:type="dxa"/>
          </w:tcPr>
          <w:p w14:paraId="17803E81" w14:textId="610D2D11" w:rsidR="0004396B" w:rsidRPr="00E133C1" w:rsidRDefault="0004396B" w:rsidP="0004396B">
            <w:pPr>
              <w:pStyle w:val="NoSpacing"/>
              <w:jc w:val="center"/>
              <w:rPr>
                <w:rFonts w:eastAsia="Times New Roman" w:cstheme="minorHAnsi"/>
                <w:kern w:val="0"/>
                <w14:ligatures w14:val="none"/>
              </w:rPr>
            </w:pPr>
            <w:r w:rsidRPr="00E133C1">
              <w:rPr>
                <w:rFonts w:cstheme="minorHAnsi"/>
              </w:rPr>
              <w:t xml:space="preserve"> $5,395 </w:t>
            </w:r>
          </w:p>
        </w:tc>
        <w:tc>
          <w:tcPr>
            <w:tcW w:w="1530" w:type="dxa"/>
          </w:tcPr>
          <w:p w14:paraId="2DEA9BC1" w14:textId="558D94EC" w:rsidR="0004396B" w:rsidRPr="00E133C1" w:rsidRDefault="0004396B" w:rsidP="0004396B">
            <w:pPr>
              <w:pStyle w:val="NoSpacing"/>
              <w:jc w:val="center"/>
              <w:rPr>
                <w:rFonts w:eastAsia="Times New Roman" w:cstheme="minorHAnsi"/>
                <w:kern w:val="0"/>
                <w14:ligatures w14:val="none"/>
              </w:rPr>
            </w:pPr>
            <w:r w:rsidRPr="00E133C1">
              <w:rPr>
                <w:rFonts w:cstheme="minorHAnsi"/>
              </w:rPr>
              <w:t xml:space="preserve"> $3,631 </w:t>
            </w:r>
          </w:p>
        </w:tc>
        <w:tc>
          <w:tcPr>
            <w:tcW w:w="1350" w:type="dxa"/>
            <w:vAlign w:val="bottom"/>
          </w:tcPr>
          <w:p w14:paraId="1C65FA21" w14:textId="2E800E71" w:rsidR="0004396B" w:rsidRPr="00E133C1" w:rsidRDefault="0004396B" w:rsidP="0004396B">
            <w:pPr>
              <w:pStyle w:val="NoSpacing"/>
              <w:jc w:val="center"/>
              <w:rPr>
                <w:rFonts w:eastAsia="Times New Roman" w:cstheme="minorHAnsi"/>
                <w:color w:val="000000"/>
                <w:kern w:val="0"/>
                <w14:ligatures w14:val="none"/>
              </w:rPr>
            </w:pPr>
            <w:r w:rsidRPr="00E133C1">
              <w:rPr>
                <w:rFonts w:cstheme="minorHAnsi"/>
              </w:rPr>
              <w:t>3,596</w:t>
            </w:r>
          </w:p>
        </w:tc>
        <w:tc>
          <w:tcPr>
            <w:tcW w:w="1885" w:type="dxa"/>
            <w:vAlign w:val="bottom"/>
          </w:tcPr>
          <w:p w14:paraId="0F39949D" w14:textId="5269C1D5" w:rsidR="0004396B" w:rsidRPr="00E133C1" w:rsidRDefault="0004396B" w:rsidP="0004396B">
            <w:pPr>
              <w:pStyle w:val="NoSpacing"/>
              <w:jc w:val="center"/>
              <w:rPr>
                <w:rFonts w:eastAsia="Times New Roman" w:cstheme="minorHAnsi"/>
                <w:color w:val="000000"/>
                <w:kern w:val="0"/>
                <w14:ligatures w14:val="none"/>
              </w:rPr>
            </w:pPr>
            <w:r w:rsidRPr="00E133C1">
              <w:rPr>
                <w:rFonts w:cstheme="minorHAnsi"/>
              </w:rPr>
              <w:t>8,09</w:t>
            </w:r>
            <w:r w:rsidR="0079197A" w:rsidRPr="00E133C1">
              <w:rPr>
                <w:rFonts w:cstheme="minorHAnsi"/>
              </w:rPr>
              <w:t>1</w:t>
            </w:r>
          </w:p>
        </w:tc>
      </w:tr>
    </w:tbl>
    <w:p w14:paraId="313B59B7" w14:textId="77777777" w:rsidR="007123FB" w:rsidRPr="00DD10C0" w:rsidRDefault="007123FB" w:rsidP="001E3433">
      <w:pPr>
        <w:pStyle w:val="NoSpacing"/>
        <w:jc w:val="center"/>
        <w:rPr>
          <w:sz w:val="12"/>
          <w:szCs w:val="12"/>
        </w:rPr>
      </w:pPr>
    </w:p>
    <w:p w14:paraId="35826A46" w14:textId="45953EC3" w:rsidR="009744FA" w:rsidRPr="00A50B54" w:rsidRDefault="00F94DF0" w:rsidP="00A50B54">
      <w:pPr>
        <w:pStyle w:val="NoSpacing"/>
      </w:pPr>
      <w:r>
        <w:rPr>
          <w:b/>
          <w:bCs/>
        </w:rPr>
        <w:t xml:space="preserve">Note: </w:t>
      </w:r>
      <w:r w:rsidR="00804461">
        <w:t xml:space="preserve">All incomes listed in Table Four are </w:t>
      </w:r>
      <w:r w:rsidR="00804461" w:rsidRPr="007130E6">
        <w:rPr>
          <w:u w:val="single"/>
        </w:rPr>
        <w:t>rounded up</w:t>
      </w:r>
      <w:r w:rsidR="00804461">
        <w:t xml:space="preserve"> to the </w:t>
      </w:r>
      <w:r w:rsidR="00804461" w:rsidRPr="00366B28">
        <w:t>nearest whole dollar</w:t>
      </w:r>
      <w:r w:rsidR="00804461">
        <w:t xml:space="preserve"> for presentation purposes</w:t>
      </w:r>
      <w:r w:rsidR="00804461" w:rsidRPr="00366B28">
        <w:t>.</w:t>
      </w:r>
    </w:p>
    <w:p w14:paraId="18665246" w14:textId="4DCF5D33" w:rsidR="001E3433" w:rsidRPr="00A50B54" w:rsidRDefault="001C6D6E" w:rsidP="00A50B54">
      <w:pPr>
        <w:pStyle w:val="NoSpacing"/>
        <w:jc w:val="center"/>
        <w:rPr>
          <w:rFonts w:eastAsia="Times New Roman" w:cstheme="minorHAnsi"/>
          <w:b/>
          <w:bCs/>
          <w:kern w:val="0"/>
          <w:sz w:val="24"/>
          <w:szCs w:val="24"/>
          <w:u w:val="single"/>
          <w14:ligatures w14:val="none"/>
        </w:rPr>
      </w:pPr>
      <w:r w:rsidRPr="00A50B54">
        <w:rPr>
          <w:b/>
          <w:bCs/>
          <w:sz w:val="24"/>
          <w:szCs w:val="24"/>
          <w:u w:val="single"/>
        </w:rPr>
        <w:lastRenderedPageBreak/>
        <w:t>A</w:t>
      </w:r>
      <w:r w:rsidR="006C5EBD" w:rsidRPr="00A50B54">
        <w:rPr>
          <w:b/>
          <w:bCs/>
          <w:sz w:val="24"/>
          <w:szCs w:val="24"/>
          <w:u w:val="single"/>
        </w:rPr>
        <w:t xml:space="preserve">ppendix </w:t>
      </w:r>
      <w:r w:rsidR="00B445AD" w:rsidRPr="00A50B54">
        <w:rPr>
          <w:b/>
          <w:bCs/>
          <w:sz w:val="24"/>
          <w:szCs w:val="24"/>
          <w:u w:val="single"/>
        </w:rPr>
        <w:t>Three</w:t>
      </w:r>
      <w:r w:rsidR="006C5EBD" w:rsidRPr="00A50B54">
        <w:rPr>
          <w:b/>
          <w:bCs/>
          <w:sz w:val="24"/>
          <w:szCs w:val="24"/>
          <w:u w:val="single"/>
        </w:rPr>
        <w:t xml:space="preserve">: </w:t>
      </w:r>
      <w:r w:rsidR="00971BD5" w:rsidRPr="00A50B54">
        <w:rPr>
          <w:b/>
          <w:bCs/>
          <w:sz w:val="24"/>
          <w:szCs w:val="24"/>
          <w:u w:val="single"/>
        </w:rPr>
        <w:t xml:space="preserve">Calculating </w:t>
      </w:r>
      <w:r w:rsidR="00632DD1" w:rsidRPr="00A50B54">
        <w:rPr>
          <w:rFonts w:eastAsia="Times New Roman" w:cstheme="minorHAnsi"/>
          <w:b/>
          <w:bCs/>
          <w:kern w:val="0"/>
          <w:sz w:val="24"/>
          <w:szCs w:val="24"/>
          <w:u w:val="single"/>
          <w14:ligatures w14:val="none"/>
        </w:rPr>
        <w:t xml:space="preserve">Economic Self-Sufficiency </w:t>
      </w:r>
      <w:r w:rsidR="00A50B54">
        <w:rPr>
          <w:rFonts w:eastAsia="Times New Roman" w:cstheme="minorHAnsi"/>
          <w:b/>
          <w:bCs/>
          <w:kern w:val="0"/>
          <w:sz w:val="24"/>
          <w:szCs w:val="24"/>
          <w:u w:val="single"/>
          <w14:ligatures w14:val="none"/>
        </w:rPr>
        <w:t xml:space="preserve"> </w:t>
      </w:r>
      <w:r w:rsidR="00632DD1" w:rsidRPr="00A50B54">
        <w:rPr>
          <w:rFonts w:eastAsia="Times New Roman" w:cstheme="minorHAnsi"/>
          <w:b/>
          <w:bCs/>
          <w:kern w:val="0"/>
          <w:sz w:val="24"/>
          <w:szCs w:val="24"/>
          <w:u w:val="single"/>
          <w14:ligatures w14:val="none"/>
        </w:rPr>
        <w:t>and Low-Income</w:t>
      </w:r>
      <w:r w:rsidR="007D1310" w:rsidRPr="00A50B54">
        <w:rPr>
          <w:rFonts w:eastAsia="Times New Roman" w:cstheme="minorHAnsi"/>
          <w:b/>
          <w:bCs/>
          <w:kern w:val="0"/>
          <w:sz w:val="24"/>
          <w:szCs w:val="24"/>
          <w:u w:val="single"/>
          <w14:ligatures w14:val="none"/>
        </w:rPr>
        <w:t xml:space="preserve"> Status</w:t>
      </w:r>
    </w:p>
    <w:p w14:paraId="797034F4" w14:textId="77777777" w:rsidR="00E133C1" w:rsidRPr="00E133C1" w:rsidRDefault="00E133C1" w:rsidP="00E023CD">
      <w:pPr>
        <w:pStyle w:val="NoSpacing"/>
        <w:rPr>
          <w:rFonts w:eastAsia="Times New Roman" w:cstheme="minorHAnsi"/>
          <w:kern w:val="0"/>
          <w:sz w:val="12"/>
          <w:szCs w:val="12"/>
          <w14:ligatures w14:val="none"/>
        </w:rPr>
      </w:pPr>
    </w:p>
    <w:p w14:paraId="57387F14" w14:textId="6353A56C" w:rsidR="00E133C1" w:rsidRPr="00E133C1" w:rsidRDefault="00E133C1" w:rsidP="00E133C1">
      <w:pPr>
        <w:pStyle w:val="NoSpacing"/>
        <w:rPr>
          <w:b/>
          <w:bCs/>
          <w:u w:val="single"/>
        </w:rPr>
      </w:pPr>
      <w:r w:rsidRPr="00E133C1">
        <w:rPr>
          <w:b/>
          <w:bCs/>
          <w:u w:val="single"/>
        </w:rPr>
        <w:t>Determining Family</w:t>
      </w:r>
    </w:p>
    <w:p w14:paraId="15C93A40" w14:textId="77777777" w:rsidR="00E133C1" w:rsidRDefault="00E133C1" w:rsidP="00E133C1">
      <w:r>
        <w:t xml:space="preserve">To determine Family size, a </w:t>
      </w:r>
      <w:r w:rsidRPr="00E133C1">
        <w:rPr>
          <w:i/>
          <w:iCs/>
        </w:rPr>
        <w:t>Family</w:t>
      </w:r>
      <w:r>
        <w:t xml:space="preserve"> means two or more persons related by blood, marriage, or decree of court, who are </w:t>
      </w:r>
      <w:r w:rsidRPr="007870AE">
        <w:rPr>
          <w:i/>
          <w:iCs/>
        </w:rPr>
        <w:t>Living in a Single Residence</w:t>
      </w:r>
      <w:r>
        <w:t>, and are included in one or more of the following categories:</w:t>
      </w:r>
      <w:r>
        <w:rPr>
          <w:rStyle w:val="FootnoteReference"/>
        </w:rPr>
        <w:footnoteReference w:id="18"/>
      </w:r>
    </w:p>
    <w:p w14:paraId="270A189B" w14:textId="627DF913" w:rsidR="00E133C1" w:rsidRPr="003B20D6" w:rsidRDefault="00E133C1" w:rsidP="00E133C1">
      <w:pPr>
        <w:pStyle w:val="ListParagraph"/>
        <w:numPr>
          <w:ilvl w:val="0"/>
          <w:numId w:val="54"/>
        </w:numPr>
      </w:pPr>
      <w:r w:rsidRPr="003B20D6">
        <w:t xml:space="preserve">A married couple and dependent children; </w:t>
      </w:r>
    </w:p>
    <w:p w14:paraId="495EBECF" w14:textId="77777777" w:rsidR="00E133C1" w:rsidRPr="003B20D6" w:rsidRDefault="00E133C1" w:rsidP="00E133C1">
      <w:pPr>
        <w:pStyle w:val="ListParagraph"/>
        <w:numPr>
          <w:ilvl w:val="0"/>
          <w:numId w:val="53"/>
        </w:numPr>
        <w:rPr>
          <w:b/>
          <w:bCs/>
        </w:rPr>
      </w:pPr>
      <w:r w:rsidRPr="003B20D6">
        <w:t xml:space="preserve">A parent or guardian and dependent children; or </w:t>
      </w:r>
    </w:p>
    <w:p w14:paraId="4F5F442C" w14:textId="0B1565BB" w:rsidR="00E133C1" w:rsidRPr="003B20D6" w:rsidRDefault="00E133C1" w:rsidP="00E133C1">
      <w:pPr>
        <w:pStyle w:val="ListParagraph"/>
        <w:numPr>
          <w:ilvl w:val="0"/>
          <w:numId w:val="53"/>
        </w:numPr>
        <w:rPr>
          <w:b/>
          <w:bCs/>
        </w:rPr>
      </w:pPr>
      <w:r w:rsidRPr="003B20D6">
        <w:t>A married couple.</w:t>
      </w:r>
    </w:p>
    <w:p w14:paraId="78C456D6" w14:textId="5D090358" w:rsidR="00E133C1" w:rsidRPr="004E308A" w:rsidRDefault="00E133C1" w:rsidP="00E133C1">
      <w:pPr>
        <w:pStyle w:val="NoSpacing"/>
      </w:pPr>
      <w:r w:rsidRPr="00862F53">
        <w:t>A person not meeting the definition of “</w:t>
      </w:r>
      <w:r w:rsidRPr="00AE6A86">
        <w:rPr>
          <w:i/>
          <w:iCs/>
        </w:rPr>
        <w:t>Family</w:t>
      </w:r>
      <w:r w:rsidRPr="00862F53">
        <w:t>” is considered to be an individual (</w:t>
      </w:r>
      <w:r>
        <w:t>A</w:t>
      </w:r>
      <w:r w:rsidRPr="00862F53">
        <w:t>lso known as a “</w:t>
      </w:r>
      <w:r>
        <w:t>Family</w:t>
      </w:r>
      <w:r w:rsidRPr="00862F53">
        <w:t xml:space="preserve"> of </w:t>
      </w:r>
      <w:r>
        <w:t>O</w:t>
      </w:r>
      <w:r w:rsidRPr="00862F53">
        <w:t>ne”). A person with a disability is also considered a family of one for eligibility purposes.</w:t>
      </w:r>
      <w:r>
        <w:t xml:space="preserve"> </w:t>
      </w:r>
      <w:r w:rsidRPr="00862F53">
        <w:t>In determining whether an individual without a disability can be considered a family of one, providers should consider the following:</w:t>
      </w:r>
    </w:p>
    <w:p w14:paraId="1F443C77" w14:textId="77777777" w:rsidR="00E133C1" w:rsidRDefault="00E133C1" w:rsidP="00E133C1">
      <w:pPr>
        <w:pStyle w:val="NoSpacing"/>
        <w:numPr>
          <w:ilvl w:val="0"/>
          <w:numId w:val="52"/>
        </w:numPr>
      </w:pPr>
      <w:r w:rsidRPr="00862F53">
        <w:t>An individual 14 years of age or older, not living with his/her family, and receiving less than 50</w:t>
      </w:r>
      <w:r>
        <w:t xml:space="preserve">% </w:t>
      </w:r>
      <w:r w:rsidRPr="00862F53">
        <w:t xml:space="preserve">maintenance from the family in the </w:t>
      </w:r>
      <w:r>
        <w:t>six</w:t>
      </w:r>
      <w:r w:rsidRPr="00862F53">
        <w:t>-month period prior to program application;</w:t>
      </w:r>
    </w:p>
    <w:p w14:paraId="17D06A4A" w14:textId="77777777" w:rsidR="00E133C1" w:rsidRPr="008C22BA" w:rsidRDefault="00E133C1" w:rsidP="00E133C1">
      <w:pPr>
        <w:pStyle w:val="NoSpacing"/>
        <w:numPr>
          <w:ilvl w:val="0"/>
          <w:numId w:val="52"/>
        </w:numPr>
      </w:pPr>
      <w:r w:rsidRPr="00862F53">
        <w:t>An individual 18 years of age or older, living with his/her family, receiving less than 50</w:t>
      </w:r>
      <w:r>
        <w:t xml:space="preserve">% </w:t>
      </w:r>
      <w:r w:rsidRPr="00862F53">
        <w:t xml:space="preserve">maintenance from the family in the </w:t>
      </w:r>
      <w:r>
        <w:t>six</w:t>
      </w:r>
      <w:r w:rsidRPr="00862F53">
        <w:t>-month period prior to program application, and is not the principal earner nor the spouse of the principal earner.</w:t>
      </w:r>
    </w:p>
    <w:p w14:paraId="596D74F0" w14:textId="77777777" w:rsidR="00E133C1" w:rsidRPr="00E133C1" w:rsidRDefault="00E133C1" w:rsidP="00E133C1">
      <w:pPr>
        <w:pStyle w:val="NoSpacing"/>
        <w:rPr>
          <w:sz w:val="12"/>
          <w:szCs w:val="12"/>
        </w:rPr>
      </w:pPr>
    </w:p>
    <w:p w14:paraId="449DFE5C" w14:textId="77777777" w:rsidR="00E133C1" w:rsidRPr="00E133C1" w:rsidRDefault="00E133C1" w:rsidP="00E133C1">
      <w:pPr>
        <w:pStyle w:val="NoSpacing"/>
        <w:rPr>
          <w:sz w:val="12"/>
          <w:szCs w:val="12"/>
        </w:rPr>
      </w:pPr>
    </w:p>
    <w:p w14:paraId="7C33E55C" w14:textId="79EBD5A2" w:rsidR="00E133C1" w:rsidRDefault="00E133C1" w:rsidP="00E133C1">
      <w:pPr>
        <w:pStyle w:val="NoSpacing"/>
      </w:pPr>
      <w:r>
        <w:t>“Living in a single residence” with other family members includes temporary, voluntary residence elsewhere (e.g. attending school or college or visiting relatives). It does not include involuntary temporary residence elsewhere (e.g. incarceration or placement as a result of a court order).</w:t>
      </w:r>
    </w:p>
    <w:p w14:paraId="1F7CA751" w14:textId="77777777" w:rsidR="00E133C1" w:rsidRPr="00CD656C" w:rsidRDefault="00E133C1" w:rsidP="00E133C1">
      <w:pPr>
        <w:pStyle w:val="NoSpacing"/>
        <w:rPr>
          <w:sz w:val="12"/>
          <w:szCs w:val="12"/>
        </w:rPr>
      </w:pPr>
    </w:p>
    <w:p w14:paraId="1AFE0983" w14:textId="1EA081D8" w:rsidR="00E133C1" w:rsidRPr="00E133C1" w:rsidRDefault="00E133C1" w:rsidP="00E133C1">
      <w:pPr>
        <w:pStyle w:val="NoSpacing"/>
        <w:rPr>
          <w:b/>
          <w:bCs/>
          <w:u w:val="single"/>
        </w:rPr>
      </w:pPr>
      <w:r>
        <w:rPr>
          <w:b/>
          <w:bCs/>
          <w:u w:val="single"/>
        </w:rPr>
        <w:t>Calculating</w:t>
      </w:r>
      <w:r w:rsidRPr="00E133C1">
        <w:rPr>
          <w:b/>
          <w:bCs/>
          <w:u w:val="single"/>
        </w:rPr>
        <w:t xml:space="preserve"> </w:t>
      </w:r>
      <w:r>
        <w:rPr>
          <w:b/>
          <w:bCs/>
          <w:u w:val="single"/>
        </w:rPr>
        <w:t xml:space="preserve">Total </w:t>
      </w:r>
      <w:r w:rsidRPr="00E133C1">
        <w:rPr>
          <w:b/>
          <w:bCs/>
          <w:u w:val="single"/>
        </w:rPr>
        <w:t>Family Income</w:t>
      </w:r>
    </w:p>
    <w:p w14:paraId="43EF19F4" w14:textId="6DE8A481" w:rsidR="00E133C1" w:rsidRPr="00E133C1" w:rsidRDefault="00E133C1" w:rsidP="00E133C1">
      <w:pPr>
        <w:pStyle w:val="NoSpacing"/>
        <w:rPr>
          <w:rFonts w:eastAsia="Times New Roman" w:cstheme="minorHAnsi"/>
          <w:b/>
          <w:bCs/>
          <w:kern w:val="0"/>
          <w14:ligatures w14:val="none"/>
        </w:rPr>
      </w:pPr>
      <w:r>
        <w:t>Use Table Five below to calculate an individual’s</w:t>
      </w:r>
      <w:r w:rsidRPr="006C049B">
        <w:t xml:space="preserve"> </w:t>
      </w:r>
      <w:r>
        <w:rPr>
          <w:rFonts w:eastAsia="Times New Roman" w:cstheme="minorHAnsi"/>
          <w:kern w:val="0"/>
          <w14:ligatures w14:val="none"/>
        </w:rPr>
        <w:t xml:space="preserve">total </w:t>
      </w:r>
      <w:r w:rsidRPr="00E133C1">
        <w:rPr>
          <w:rFonts w:eastAsia="Times New Roman" w:cstheme="minorHAnsi"/>
          <w:i/>
          <w:iCs/>
          <w:kern w:val="0"/>
          <w14:ligatures w14:val="none"/>
        </w:rPr>
        <w:t>Family</w:t>
      </w:r>
      <w:r>
        <w:rPr>
          <w:rFonts w:eastAsia="Times New Roman" w:cstheme="minorHAnsi"/>
          <w:kern w:val="0"/>
          <w14:ligatures w14:val="none"/>
        </w:rPr>
        <w:t xml:space="preserve"> income. Table Six below also has a list of incomes that </w:t>
      </w:r>
      <w:r w:rsidR="005609EF">
        <w:rPr>
          <w:rFonts w:eastAsia="Times New Roman" w:cstheme="minorHAnsi"/>
          <w:kern w:val="0"/>
          <w:u w:val="single"/>
          <w14:ligatures w14:val="none"/>
        </w:rPr>
        <w:t>must be excluded</w:t>
      </w:r>
      <w:r>
        <w:rPr>
          <w:rFonts w:eastAsia="Times New Roman" w:cstheme="minorHAnsi"/>
          <w:kern w:val="0"/>
          <w14:ligatures w14:val="none"/>
        </w:rPr>
        <w:t xml:space="preserve"> when determining </w:t>
      </w:r>
      <w:r>
        <w:t>an individual’s</w:t>
      </w:r>
      <w:r w:rsidRPr="006C049B">
        <w:t xml:space="preserve"> </w:t>
      </w:r>
      <w:r>
        <w:rPr>
          <w:rFonts w:eastAsia="Times New Roman" w:cstheme="minorHAnsi"/>
          <w:kern w:val="0"/>
          <w14:ligatures w14:val="none"/>
        </w:rPr>
        <w:t xml:space="preserve">total </w:t>
      </w:r>
      <w:r w:rsidRPr="00E133C1">
        <w:rPr>
          <w:rFonts w:eastAsia="Times New Roman" w:cstheme="minorHAnsi"/>
          <w:i/>
          <w:iCs/>
          <w:kern w:val="0"/>
          <w14:ligatures w14:val="none"/>
        </w:rPr>
        <w:t>Family</w:t>
      </w:r>
      <w:r>
        <w:rPr>
          <w:rFonts w:eastAsia="Times New Roman" w:cstheme="minorHAnsi"/>
          <w:kern w:val="0"/>
          <w14:ligatures w14:val="none"/>
        </w:rPr>
        <w:t xml:space="preserve"> income</w:t>
      </w:r>
      <w:r w:rsidR="005609EF">
        <w:rPr>
          <w:rFonts w:eastAsia="Times New Roman" w:cstheme="minorHAnsi"/>
          <w:kern w:val="0"/>
          <w14:ligatures w14:val="none"/>
        </w:rPr>
        <w:t>.</w:t>
      </w:r>
    </w:p>
    <w:p w14:paraId="48DEF9D8" w14:textId="77777777" w:rsidR="00E133C1" w:rsidRPr="00E133C1" w:rsidRDefault="00E133C1" w:rsidP="00E133C1">
      <w:pPr>
        <w:pStyle w:val="NoSpacing"/>
        <w:rPr>
          <w:rFonts w:eastAsia="Times New Roman" w:cstheme="minorHAnsi"/>
          <w:kern w:val="0"/>
          <w:sz w:val="12"/>
          <w:szCs w:val="12"/>
          <w14:ligatures w14:val="none"/>
        </w:rPr>
      </w:pPr>
    </w:p>
    <w:p w14:paraId="502B7553" w14:textId="01B3D5E3" w:rsidR="00E133C1" w:rsidRDefault="00E133C1" w:rsidP="00E133C1">
      <w:pPr>
        <w:pStyle w:val="NoSpacing"/>
      </w:pPr>
      <w:r w:rsidRPr="00E133C1">
        <w:rPr>
          <w:i/>
          <w:iCs/>
        </w:rPr>
        <w:t>Family</w:t>
      </w:r>
      <w:r>
        <w:t xml:space="preserve"> income includes all income actually received by the member of the program participant’s family during the income determination period, which is </w:t>
      </w:r>
      <w:r w:rsidRPr="00E133C1">
        <w:rPr>
          <w:u w:val="single"/>
        </w:rPr>
        <w:t>six months prior</w:t>
      </w:r>
      <w:r>
        <w:t xml:space="preserve"> to the application for services. Only the income for the individuals included in the participant’s family is considered when determining family income (for example, an adult child living outside of the home would not count towards the family’s income).</w:t>
      </w:r>
    </w:p>
    <w:p w14:paraId="3F2E2D33" w14:textId="77777777" w:rsidR="00E133C1" w:rsidRPr="00E133C1" w:rsidRDefault="00E133C1" w:rsidP="00E133C1">
      <w:pPr>
        <w:pStyle w:val="NoSpacing"/>
        <w:rPr>
          <w:sz w:val="12"/>
          <w:szCs w:val="12"/>
        </w:rPr>
      </w:pPr>
    </w:p>
    <w:p w14:paraId="5C441CE8" w14:textId="46906CB3" w:rsidR="00E133C1" w:rsidRPr="00A50B54" w:rsidRDefault="00E133C1" w:rsidP="00E133C1">
      <w:pPr>
        <w:pStyle w:val="NoSpacing"/>
        <w:jc w:val="center"/>
        <w:rPr>
          <w:b/>
          <w:bCs/>
        </w:rPr>
      </w:pPr>
      <w:r w:rsidRPr="00A50B54">
        <w:rPr>
          <w:rFonts w:eastAsia="Times New Roman" w:cstheme="minorHAnsi"/>
          <w:b/>
          <w:bCs/>
          <w:kern w:val="0"/>
          <w14:ligatures w14:val="none"/>
        </w:rPr>
        <w:t xml:space="preserve">Table Five: Incomes to Includes for </w:t>
      </w:r>
      <w:r w:rsidRPr="00A50B54">
        <w:rPr>
          <w:b/>
          <w:bCs/>
        </w:rPr>
        <w:t>Calculating Total Family Income</w:t>
      </w:r>
    </w:p>
    <w:tbl>
      <w:tblPr>
        <w:tblStyle w:val="TableGrid"/>
        <w:tblW w:w="0" w:type="auto"/>
        <w:tblLook w:val="04A0" w:firstRow="1" w:lastRow="0" w:firstColumn="1" w:lastColumn="0" w:noHBand="0" w:noVBand="1"/>
      </w:tblPr>
      <w:tblGrid>
        <w:gridCol w:w="4675"/>
        <w:gridCol w:w="4675"/>
      </w:tblGrid>
      <w:tr w:rsidR="00E133C1" w14:paraId="401BDEF6" w14:textId="77777777" w:rsidTr="00E133C1">
        <w:tc>
          <w:tcPr>
            <w:tcW w:w="4675" w:type="dxa"/>
          </w:tcPr>
          <w:p w14:paraId="229E06B7" w14:textId="73354CF1" w:rsidR="00E133C1" w:rsidRDefault="00E133C1" w:rsidP="00E133C1">
            <w:pPr>
              <w:pStyle w:val="NoSpacing"/>
              <w:jc w:val="center"/>
            </w:pPr>
            <w:r>
              <w:t xml:space="preserve">Income to </w:t>
            </w:r>
            <w:r w:rsidRPr="00E133C1">
              <w:rPr>
                <w:u w:val="single"/>
              </w:rPr>
              <w:t>Include</w:t>
            </w:r>
            <w:r>
              <w:t>:</w:t>
            </w:r>
          </w:p>
        </w:tc>
        <w:tc>
          <w:tcPr>
            <w:tcW w:w="4675" w:type="dxa"/>
          </w:tcPr>
          <w:p w14:paraId="23744F88" w14:textId="3CF46A6E" w:rsidR="00E133C1" w:rsidRDefault="00E133C1" w:rsidP="00E133C1">
            <w:pPr>
              <w:pStyle w:val="NoSpacing"/>
              <w:jc w:val="center"/>
            </w:pPr>
            <w:r>
              <w:t>Notes:</w:t>
            </w:r>
          </w:p>
        </w:tc>
      </w:tr>
      <w:tr w:rsidR="00E133C1" w14:paraId="53C94979" w14:textId="77777777" w:rsidTr="00E133C1">
        <w:tc>
          <w:tcPr>
            <w:tcW w:w="4675" w:type="dxa"/>
          </w:tcPr>
          <w:p w14:paraId="2A96D881" w14:textId="77777777" w:rsidR="00E133C1" w:rsidRDefault="00E133C1" w:rsidP="00E133C1">
            <w:pPr>
              <w:pStyle w:val="NoSpacing"/>
              <w:jc w:val="center"/>
            </w:pPr>
          </w:p>
          <w:p w14:paraId="2D6134F1" w14:textId="77777777" w:rsidR="00E133C1" w:rsidRDefault="00E133C1" w:rsidP="00E133C1">
            <w:pPr>
              <w:pStyle w:val="NoSpacing"/>
              <w:jc w:val="center"/>
            </w:pPr>
          </w:p>
          <w:p w14:paraId="6FB2EF1A" w14:textId="77777777" w:rsidR="00E133C1" w:rsidRDefault="00E133C1" w:rsidP="00E133C1">
            <w:pPr>
              <w:pStyle w:val="NoSpacing"/>
              <w:jc w:val="center"/>
            </w:pPr>
          </w:p>
          <w:p w14:paraId="7231820C" w14:textId="0538D0E7" w:rsidR="00E133C1" w:rsidRDefault="00E133C1" w:rsidP="00E133C1">
            <w:pPr>
              <w:pStyle w:val="NoSpacing"/>
              <w:jc w:val="center"/>
            </w:pPr>
            <w:r w:rsidRPr="006C5EBD">
              <w:t xml:space="preserve">Gross wages and salaries </w:t>
            </w:r>
            <w:r w:rsidRPr="00E133C1">
              <w:rPr>
                <w:u w:val="single"/>
              </w:rPr>
              <w:t>before</w:t>
            </w:r>
            <w:r w:rsidRPr="006C5EBD">
              <w:t xml:space="preserve"> deductions</w:t>
            </w:r>
          </w:p>
        </w:tc>
        <w:tc>
          <w:tcPr>
            <w:tcW w:w="4675" w:type="dxa"/>
          </w:tcPr>
          <w:p w14:paraId="7056FA32" w14:textId="2B21F8D8" w:rsidR="00E133C1" w:rsidRDefault="00E133C1" w:rsidP="00E133C1">
            <w:pPr>
              <w:pStyle w:val="NoSpacing"/>
              <w:jc w:val="center"/>
            </w:pPr>
            <w:r w:rsidRPr="006C5EBD">
              <w:t>The full amount, before payroll deductions, of wages and salaries, overtime pay, commissions, fees, tips and bonuses, and other compensation from work performed as an employee. If a family’s only source of income was from wages and salary payments, family income would be equal to gross wages and salary received.</w:t>
            </w:r>
          </w:p>
        </w:tc>
      </w:tr>
      <w:tr w:rsidR="00E133C1" w14:paraId="3F88EF97" w14:textId="77777777" w:rsidTr="00E133C1">
        <w:tc>
          <w:tcPr>
            <w:tcW w:w="4675" w:type="dxa"/>
          </w:tcPr>
          <w:p w14:paraId="79BBE543" w14:textId="77777777" w:rsidR="00E133C1" w:rsidRDefault="00E133C1" w:rsidP="00E133C1">
            <w:pPr>
              <w:pStyle w:val="NoSpacing"/>
              <w:jc w:val="center"/>
            </w:pPr>
          </w:p>
          <w:p w14:paraId="0291B7E8" w14:textId="77777777" w:rsidR="00E133C1" w:rsidRDefault="00E133C1" w:rsidP="00E133C1">
            <w:pPr>
              <w:pStyle w:val="NoSpacing"/>
              <w:jc w:val="center"/>
            </w:pPr>
          </w:p>
          <w:p w14:paraId="285970DE" w14:textId="77777777" w:rsidR="00E133C1" w:rsidRDefault="00E133C1" w:rsidP="00E133C1">
            <w:pPr>
              <w:pStyle w:val="NoSpacing"/>
              <w:jc w:val="center"/>
            </w:pPr>
          </w:p>
          <w:p w14:paraId="18576D6E" w14:textId="77777777" w:rsidR="00E133C1" w:rsidRDefault="00E133C1" w:rsidP="00E133C1">
            <w:pPr>
              <w:pStyle w:val="NoSpacing"/>
              <w:jc w:val="center"/>
            </w:pPr>
          </w:p>
          <w:p w14:paraId="4827DBD2" w14:textId="77777777" w:rsidR="00E133C1" w:rsidRDefault="00E133C1" w:rsidP="00E133C1">
            <w:pPr>
              <w:pStyle w:val="NoSpacing"/>
              <w:jc w:val="center"/>
            </w:pPr>
          </w:p>
          <w:p w14:paraId="072F0237" w14:textId="77777777" w:rsidR="00E133C1" w:rsidRDefault="00E133C1" w:rsidP="00E133C1">
            <w:pPr>
              <w:pStyle w:val="NoSpacing"/>
              <w:jc w:val="center"/>
            </w:pPr>
          </w:p>
          <w:p w14:paraId="657AA6CF" w14:textId="77777777" w:rsidR="00E133C1" w:rsidRDefault="00E133C1" w:rsidP="00E133C1">
            <w:pPr>
              <w:pStyle w:val="NoSpacing"/>
              <w:jc w:val="center"/>
            </w:pPr>
          </w:p>
          <w:p w14:paraId="152B79AE" w14:textId="77777777" w:rsidR="00E133C1" w:rsidRDefault="00E133C1" w:rsidP="00E133C1">
            <w:pPr>
              <w:pStyle w:val="NoSpacing"/>
              <w:jc w:val="center"/>
            </w:pPr>
          </w:p>
          <w:p w14:paraId="2291BF8D" w14:textId="2D5E4936" w:rsidR="00E133C1" w:rsidRDefault="00E133C1" w:rsidP="00E133C1">
            <w:pPr>
              <w:pStyle w:val="NoSpacing"/>
              <w:jc w:val="center"/>
            </w:pPr>
            <w:r w:rsidRPr="006C5EBD">
              <w:t>Income from non-farm self-employment</w:t>
            </w:r>
          </w:p>
        </w:tc>
        <w:tc>
          <w:tcPr>
            <w:tcW w:w="4675" w:type="dxa"/>
          </w:tcPr>
          <w:p w14:paraId="08430D13" w14:textId="77777777" w:rsidR="00E133C1" w:rsidRPr="006C5EBD" w:rsidRDefault="00E133C1" w:rsidP="00E133C1">
            <w:pPr>
              <w:pStyle w:val="NoSpacing"/>
            </w:pPr>
            <w:r w:rsidRPr="006C5EBD">
              <w:lastRenderedPageBreak/>
              <w:t xml:space="preserve">Net income (gross receipts minus operating expenses) from a person’s own unincorporated business or other non-farm enterprise in which a person is engaged on his/her own account. If the business or enterprise has suffered a loss, this </w:t>
            </w:r>
            <w:r w:rsidRPr="006C5EBD">
              <w:lastRenderedPageBreak/>
              <w:t>loss will be allowed to offset wage earnings. However, expenditures for business expansion or amortization of capital indebtedness cannot be used as deductions in determining net income. An allowance for depreciation of assets used in a business or profession may be deducted, based on straight line depreciation, as provided in Internal Revenue Service regulations. Any withdrawal of cash or assets from the operation of a business or profession is to be included in income, except to the extent the withdrawal is reimbursement of cash or assets invested in the operation by the family.</w:t>
            </w:r>
          </w:p>
          <w:p w14:paraId="4C6E5392" w14:textId="77777777" w:rsidR="00E133C1" w:rsidRPr="006C5EBD" w:rsidRDefault="00E133C1" w:rsidP="00E133C1">
            <w:pPr>
              <w:pStyle w:val="NoSpacing"/>
              <w:jc w:val="center"/>
            </w:pPr>
          </w:p>
        </w:tc>
      </w:tr>
      <w:tr w:rsidR="00E133C1" w14:paraId="1257EFEF" w14:textId="77777777" w:rsidTr="00E133C1">
        <w:tc>
          <w:tcPr>
            <w:tcW w:w="4675" w:type="dxa"/>
          </w:tcPr>
          <w:p w14:paraId="3B87B909" w14:textId="77777777" w:rsidR="00E133C1" w:rsidRDefault="00E133C1" w:rsidP="00E133C1">
            <w:pPr>
              <w:pStyle w:val="NoSpacing"/>
              <w:jc w:val="center"/>
            </w:pPr>
          </w:p>
          <w:p w14:paraId="039D4417" w14:textId="77777777" w:rsidR="00E133C1" w:rsidRDefault="00E133C1" w:rsidP="00E133C1">
            <w:pPr>
              <w:pStyle w:val="NoSpacing"/>
              <w:jc w:val="center"/>
            </w:pPr>
          </w:p>
          <w:p w14:paraId="3972437C" w14:textId="60D26C9A" w:rsidR="00E133C1" w:rsidRPr="006C5EBD" w:rsidRDefault="00E133C1" w:rsidP="00E133C1">
            <w:pPr>
              <w:pStyle w:val="NoSpacing"/>
              <w:jc w:val="center"/>
            </w:pPr>
            <w:r w:rsidRPr="006C5EBD">
              <w:t>Income from farm self-employment</w:t>
            </w:r>
          </w:p>
        </w:tc>
        <w:tc>
          <w:tcPr>
            <w:tcW w:w="4675" w:type="dxa"/>
          </w:tcPr>
          <w:p w14:paraId="6F93C0CA" w14:textId="6C82C608" w:rsidR="00E133C1" w:rsidRPr="006C5EBD" w:rsidRDefault="00E133C1" w:rsidP="00E133C1">
            <w:pPr>
              <w:pStyle w:val="NoSpacing"/>
              <w:jc w:val="center"/>
            </w:pPr>
            <w:r w:rsidRPr="006C5EBD">
              <w:t>Net receipts from farm self-employment (receipts from a farm which one operates as an owner, renter, or sharecropper, after deductions for farm operating expenses). If the farm has suffered a loss, this loss will be allowed to offset wage earnings. Money received under the Agricultural Crop Stabilization Program is considered income.</w:t>
            </w:r>
          </w:p>
        </w:tc>
      </w:tr>
      <w:tr w:rsidR="00E133C1" w14:paraId="5E81D09D" w14:textId="77777777" w:rsidTr="00E133C1">
        <w:tc>
          <w:tcPr>
            <w:tcW w:w="4675" w:type="dxa"/>
          </w:tcPr>
          <w:p w14:paraId="0095F051" w14:textId="77777777" w:rsidR="00E133C1" w:rsidRDefault="00E133C1" w:rsidP="00E133C1">
            <w:pPr>
              <w:pStyle w:val="NoSpacing"/>
              <w:jc w:val="center"/>
            </w:pPr>
          </w:p>
          <w:p w14:paraId="5B9A9550" w14:textId="77777777" w:rsidR="00E133C1" w:rsidRDefault="00E133C1" w:rsidP="00E133C1">
            <w:pPr>
              <w:pStyle w:val="NoSpacing"/>
              <w:jc w:val="center"/>
            </w:pPr>
          </w:p>
          <w:p w14:paraId="5CB91F46" w14:textId="77777777" w:rsidR="00E133C1" w:rsidRDefault="00E133C1" w:rsidP="00E133C1">
            <w:pPr>
              <w:pStyle w:val="NoSpacing"/>
              <w:jc w:val="center"/>
            </w:pPr>
          </w:p>
          <w:p w14:paraId="4CD8E94C" w14:textId="545F07BF" w:rsidR="00E133C1" w:rsidRPr="006C5EBD" w:rsidRDefault="00E133C1" w:rsidP="00E133C1">
            <w:pPr>
              <w:pStyle w:val="NoSpacing"/>
              <w:jc w:val="center"/>
            </w:pPr>
            <w:r w:rsidRPr="006C5EBD">
              <w:t>Interest, dividends, and other net income from real or personal property</w:t>
            </w:r>
          </w:p>
        </w:tc>
        <w:tc>
          <w:tcPr>
            <w:tcW w:w="4675" w:type="dxa"/>
          </w:tcPr>
          <w:p w14:paraId="387AEA78" w14:textId="7CDDC1AC" w:rsidR="00E133C1" w:rsidRPr="006C5EBD" w:rsidRDefault="00E133C1" w:rsidP="00E133C1">
            <w:pPr>
              <w:pStyle w:val="NoSpacing"/>
              <w:jc w:val="center"/>
            </w:pPr>
            <w:r w:rsidRPr="00E133C1">
              <w:t>Expenditures for amortization of capital indebtedness cannot be used as deductions in determining net income. An allowance for depreciation is permitted only as authorized by the Internal Revenue Service. Any withdrawal of cash or assets from an investment will be included in income, except to the extent the withdrawal is reimbursement of cash or assets invested by the family.</w:t>
            </w:r>
          </w:p>
        </w:tc>
      </w:tr>
      <w:tr w:rsidR="00E133C1" w14:paraId="55FBFAAC" w14:textId="77777777" w:rsidTr="00E133C1">
        <w:tc>
          <w:tcPr>
            <w:tcW w:w="4675" w:type="dxa"/>
          </w:tcPr>
          <w:p w14:paraId="3123CC42" w14:textId="77777777" w:rsidR="00E133C1" w:rsidRDefault="00E133C1" w:rsidP="00E133C1">
            <w:pPr>
              <w:pStyle w:val="NoSpacing"/>
              <w:jc w:val="center"/>
            </w:pPr>
            <w:r w:rsidRPr="006C5EBD">
              <w:t>Child Support Payments</w:t>
            </w:r>
          </w:p>
          <w:p w14:paraId="17BC5555" w14:textId="05C902F2" w:rsidR="00E133C1" w:rsidRPr="00E133C1" w:rsidRDefault="00E133C1" w:rsidP="00E133C1">
            <w:pPr>
              <w:pStyle w:val="NoSpacing"/>
              <w:jc w:val="center"/>
              <w:rPr>
                <w:sz w:val="6"/>
                <w:szCs w:val="6"/>
              </w:rPr>
            </w:pPr>
          </w:p>
        </w:tc>
        <w:tc>
          <w:tcPr>
            <w:tcW w:w="4675" w:type="dxa"/>
            <w:vMerge w:val="restart"/>
          </w:tcPr>
          <w:p w14:paraId="3AD8EF59" w14:textId="77777777" w:rsidR="00E133C1" w:rsidRDefault="00E133C1" w:rsidP="00E133C1">
            <w:pPr>
              <w:pStyle w:val="NoSpacing"/>
              <w:jc w:val="center"/>
            </w:pPr>
          </w:p>
          <w:p w14:paraId="055516F6" w14:textId="77777777" w:rsidR="00E133C1" w:rsidRDefault="00E133C1" w:rsidP="00E133C1">
            <w:pPr>
              <w:pStyle w:val="NoSpacing"/>
              <w:jc w:val="center"/>
            </w:pPr>
          </w:p>
          <w:p w14:paraId="42362AAB" w14:textId="77777777" w:rsidR="00E133C1" w:rsidRDefault="00E133C1" w:rsidP="00E133C1">
            <w:pPr>
              <w:pStyle w:val="NoSpacing"/>
              <w:jc w:val="center"/>
            </w:pPr>
          </w:p>
          <w:p w14:paraId="7C37CEB8" w14:textId="77777777" w:rsidR="00E133C1" w:rsidRDefault="00E133C1" w:rsidP="00E133C1">
            <w:pPr>
              <w:pStyle w:val="NoSpacing"/>
              <w:jc w:val="center"/>
            </w:pPr>
          </w:p>
          <w:p w14:paraId="6AA1AD3F" w14:textId="77777777" w:rsidR="00E133C1" w:rsidRDefault="00E133C1" w:rsidP="00E133C1">
            <w:pPr>
              <w:pStyle w:val="NoSpacing"/>
              <w:jc w:val="center"/>
            </w:pPr>
          </w:p>
          <w:p w14:paraId="6CA1E8D0" w14:textId="77777777" w:rsidR="00E133C1" w:rsidRDefault="00E133C1" w:rsidP="00E133C1">
            <w:pPr>
              <w:pStyle w:val="NoSpacing"/>
              <w:jc w:val="center"/>
            </w:pPr>
          </w:p>
          <w:p w14:paraId="73555F81" w14:textId="77777777" w:rsidR="00E133C1" w:rsidRDefault="00E133C1" w:rsidP="00E133C1">
            <w:pPr>
              <w:pStyle w:val="NoSpacing"/>
              <w:jc w:val="center"/>
            </w:pPr>
          </w:p>
          <w:p w14:paraId="34B7229E" w14:textId="77777777" w:rsidR="00E133C1" w:rsidRDefault="00E133C1" w:rsidP="00E133C1">
            <w:pPr>
              <w:pStyle w:val="NoSpacing"/>
              <w:jc w:val="center"/>
            </w:pPr>
          </w:p>
          <w:p w14:paraId="55E779C2" w14:textId="77777777" w:rsidR="00E133C1" w:rsidRDefault="00E133C1" w:rsidP="00E133C1">
            <w:pPr>
              <w:pStyle w:val="NoSpacing"/>
              <w:jc w:val="center"/>
            </w:pPr>
          </w:p>
          <w:p w14:paraId="524BDCA1" w14:textId="77777777" w:rsidR="00E133C1" w:rsidRDefault="00E133C1" w:rsidP="00E133C1">
            <w:pPr>
              <w:pStyle w:val="NoSpacing"/>
              <w:jc w:val="center"/>
            </w:pPr>
          </w:p>
          <w:p w14:paraId="3885EBD8" w14:textId="77777777" w:rsidR="00E133C1" w:rsidRDefault="00E133C1" w:rsidP="00E133C1">
            <w:pPr>
              <w:pStyle w:val="NoSpacing"/>
              <w:jc w:val="center"/>
            </w:pPr>
          </w:p>
          <w:p w14:paraId="41FF6B76" w14:textId="77777777" w:rsidR="00E133C1" w:rsidRDefault="00E133C1" w:rsidP="00E133C1">
            <w:pPr>
              <w:pStyle w:val="NoSpacing"/>
              <w:jc w:val="center"/>
            </w:pPr>
          </w:p>
          <w:p w14:paraId="37A2C949" w14:textId="77777777" w:rsidR="00E133C1" w:rsidRDefault="00E133C1" w:rsidP="00E133C1">
            <w:pPr>
              <w:pStyle w:val="NoSpacing"/>
              <w:jc w:val="center"/>
            </w:pPr>
          </w:p>
          <w:p w14:paraId="4F79C7E3" w14:textId="77777777" w:rsidR="00E133C1" w:rsidRDefault="00E133C1" w:rsidP="00E133C1">
            <w:pPr>
              <w:pStyle w:val="NoSpacing"/>
              <w:jc w:val="center"/>
            </w:pPr>
          </w:p>
          <w:p w14:paraId="36A9F1DF" w14:textId="77777777" w:rsidR="00E133C1" w:rsidRDefault="00E133C1" w:rsidP="00E133C1">
            <w:pPr>
              <w:pStyle w:val="NoSpacing"/>
              <w:jc w:val="center"/>
            </w:pPr>
          </w:p>
          <w:p w14:paraId="2F2267FC" w14:textId="04E3BE63" w:rsidR="00E133C1" w:rsidRPr="00E133C1" w:rsidRDefault="00E133C1" w:rsidP="00E133C1">
            <w:pPr>
              <w:pStyle w:val="NoSpacing"/>
              <w:jc w:val="center"/>
            </w:pPr>
            <w:r>
              <w:t>N/A</w:t>
            </w:r>
          </w:p>
        </w:tc>
      </w:tr>
      <w:tr w:rsidR="00E133C1" w14:paraId="574D4972" w14:textId="77777777" w:rsidTr="00E133C1">
        <w:tc>
          <w:tcPr>
            <w:tcW w:w="4675" w:type="dxa"/>
          </w:tcPr>
          <w:p w14:paraId="07B889AC" w14:textId="77777777" w:rsidR="00E133C1" w:rsidRDefault="00E133C1" w:rsidP="00E133C1">
            <w:pPr>
              <w:pStyle w:val="NoSpacing"/>
              <w:jc w:val="center"/>
            </w:pPr>
            <w:r w:rsidRPr="006C5EBD">
              <w:t>State Unemployment Insurance Compensatio</w:t>
            </w:r>
            <w:r>
              <w:t>n</w:t>
            </w:r>
          </w:p>
          <w:p w14:paraId="6BD9261D" w14:textId="4D864567" w:rsidR="00E133C1" w:rsidRPr="00E133C1" w:rsidRDefault="00E133C1" w:rsidP="00E133C1">
            <w:pPr>
              <w:pStyle w:val="NoSpacing"/>
              <w:jc w:val="center"/>
              <w:rPr>
                <w:sz w:val="6"/>
                <w:szCs w:val="6"/>
              </w:rPr>
            </w:pPr>
            <w:r>
              <w:rPr>
                <w:sz w:val="6"/>
                <w:szCs w:val="6"/>
              </w:rPr>
              <w:t>\</w:t>
            </w:r>
          </w:p>
        </w:tc>
        <w:tc>
          <w:tcPr>
            <w:tcW w:w="4675" w:type="dxa"/>
            <w:vMerge/>
          </w:tcPr>
          <w:p w14:paraId="049806E6" w14:textId="77777777" w:rsidR="00E133C1" w:rsidRPr="00E133C1" w:rsidRDefault="00E133C1" w:rsidP="00E133C1">
            <w:pPr>
              <w:pStyle w:val="NoSpacing"/>
              <w:jc w:val="center"/>
            </w:pPr>
          </w:p>
        </w:tc>
      </w:tr>
      <w:tr w:rsidR="00E133C1" w14:paraId="230898C8" w14:textId="77777777" w:rsidTr="00E133C1">
        <w:tc>
          <w:tcPr>
            <w:tcW w:w="4675" w:type="dxa"/>
          </w:tcPr>
          <w:p w14:paraId="23E92C9F" w14:textId="77777777" w:rsidR="00E133C1" w:rsidRDefault="00E133C1" w:rsidP="00E133C1">
            <w:pPr>
              <w:pStyle w:val="NoSpacing"/>
              <w:jc w:val="center"/>
            </w:pPr>
            <w:r w:rsidRPr="006C5EBD">
              <w:t>Federal Unemployment Insurance Compensatio</w:t>
            </w:r>
            <w:r>
              <w:t>n</w:t>
            </w:r>
          </w:p>
          <w:p w14:paraId="1CB2686E" w14:textId="73018B53" w:rsidR="00E133C1" w:rsidRPr="00E133C1" w:rsidRDefault="00E133C1" w:rsidP="00E133C1">
            <w:pPr>
              <w:pStyle w:val="NoSpacing"/>
              <w:jc w:val="center"/>
              <w:rPr>
                <w:sz w:val="6"/>
                <w:szCs w:val="6"/>
              </w:rPr>
            </w:pPr>
          </w:p>
        </w:tc>
        <w:tc>
          <w:tcPr>
            <w:tcW w:w="4675" w:type="dxa"/>
            <w:vMerge/>
          </w:tcPr>
          <w:p w14:paraId="035D0800" w14:textId="77777777" w:rsidR="00E133C1" w:rsidRPr="00E133C1" w:rsidRDefault="00E133C1" w:rsidP="00E133C1">
            <w:pPr>
              <w:pStyle w:val="NoSpacing"/>
              <w:jc w:val="center"/>
            </w:pPr>
          </w:p>
        </w:tc>
      </w:tr>
      <w:tr w:rsidR="00E133C1" w14:paraId="170C1452" w14:textId="77777777" w:rsidTr="00E133C1">
        <w:tc>
          <w:tcPr>
            <w:tcW w:w="4675" w:type="dxa"/>
          </w:tcPr>
          <w:p w14:paraId="31DD3244" w14:textId="77777777" w:rsidR="00E133C1" w:rsidRDefault="00E133C1" w:rsidP="00E133C1">
            <w:pPr>
              <w:pStyle w:val="NoSpacing"/>
              <w:jc w:val="center"/>
            </w:pPr>
            <w:r w:rsidRPr="006C5EBD">
              <w:t>Money received from such periodic sources as</w:t>
            </w:r>
            <w:r>
              <w:t xml:space="preserve">: </w:t>
            </w:r>
          </w:p>
          <w:p w14:paraId="46BCF0BB" w14:textId="78B170D8" w:rsidR="00E133C1" w:rsidRDefault="00E133C1" w:rsidP="00E133C1">
            <w:pPr>
              <w:pStyle w:val="NoSpacing"/>
              <w:numPr>
                <w:ilvl w:val="0"/>
                <w:numId w:val="55"/>
              </w:numPr>
            </w:pPr>
            <w:r>
              <w:t>Governmental and non-governmental pensions (including military retirement pay);</w:t>
            </w:r>
            <w:r>
              <w:rPr>
                <w:rStyle w:val="FootnoteReference"/>
              </w:rPr>
              <w:footnoteReference w:id="19"/>
            </w:r>
          </w:p>
          <w:p w14:paraId="1F390C8A" w14:textId="7E21AB87" w:rsidR="00E133C1" w:rsidRDefault="00E133C1" w:rsidP="00E133C1">
            <w:pPr>
              <w:pStyle w:val="NoSpacing"/>
              <w:numPr>
                <w:ilvl w:val="0"/>
                <w:numId w:val="55"/>
              </w:numPr>
            </w:pPr>
            <w:r>
              <w:t>Social Security Disability Insurance (SSDI) payments (Title II of the Social Security Act, Federal Old Age, Survivors and Disability Insurance);</w:t>
            </w:r>
          </w:p>
          <w:p w14:paraId="016A8EAD" w14:textId="5837D25A" w:rsidR="00E133C1" w:rsidRDefault="00E133C1" w:rsidP="00E133C1">
            <w:pPr>
              <w:pStyle w:val="NoSpacing"/>
              <w:numPr>
                <w:ilvl w:val="0"/>
                <w:numId w:val="55"/>
              </w:numPr>
            </w:pPr>
            <w:r>
              <w:t>Regular payments from Old Age, Survivors and Disability Insurance (OASI) benefits received under Section 202 of the Social Security Act;</w:t>
            </w:r>
          </w:p>
          <w:p w14:paraId="6A478384" w14:textId="3FF9F06F" w:rsidR="00E133C1" w:rsidRDefault="00E133C1" w:rsidP="00E133C1">
            <w:pPr>
              <w:pStyle w:val="NoSpacing"/>
              <w:numPr>
                <w:ilvl w:val="0"/>
                <w:numId w:val="55"/>
              </w:numPr>
            </w:pPr>
            <w:r>
              <w:lastRenderedPageBreak/>
              <w:t>Railroad retirement benefits;</w:t>
            </w:r>
          </w:p>
          <w:p w14:paraId="4E2C5757" w14:textId="3F58978C" w:rsidR="00E133C1" w:rsidRDefault="00E133C1" w:rsidP="00E133C1">
            <w:pPr>
              <w:pStyle w:val="NoSpacing"/>
              <w:numPr>
                <w:ilvl w:val="0"/>
                <w:numId w:val="55"/>
              </w:numPr>
            </w:pPr>
            <w:r>
              <w:t>Strike benefits from union funds;</w:t>
            </w:r>
          </w:p>
          <w:p w14:paraId="53B550E4" w14:textId="0BE2EC50" w:rsidR="00E133C1" w:rsidRDefault="00E133C1" w:rsidP="00E133C1">
            <w:pPr>
              <w:pStyle w:val="NoSpacing"/>
              <w:numPr>
                <w:ilvl w:val="0"/>
                <w:numId w:val="55"/>
              </w:numPr>
            </w:pPr>
            <w:r>
              <w:t>Workers’ compensation;</w:t>
            </w:r>
          </w:p>
          <w:p w14:paraId="3E861008" w14:textId="42F7E452" w:rsidR="00E133C1" w:rsidRDefault="00E133C1" w:rsidP="00E133C1">
            <w:pPr>
              <w:pStyle w:val="NoSpacing"/>
              <w:numPr>
                <w:ilvl w:val="0"/>
                <w:numId w:val="55"/>
              </w:numPr>
            </w:pPr>
            <w:r>
              <w:t>Regular training stipends;</w:t>
            </w:r>
          </w:p>
          <w:p w14:paraId="03F675E5" w14:textId="0F97CAD5" w:rsidR="00E133C1" w:rsidRDefault="00E133C1" w:rsidP="00E133C1">
            <w:pPr>
              <w:pStyle w:val="NoSpacing"/>
              <w:numPr>
                <w:ilvl w:val="0"/>
                <w:numId w:val="55"/>
              </w:numPr>
            </w:pPr>
            <w:r>
              <w:t>Alimony;</w:t>
            </w:r>
          </w:p>
          <w:p w14:paraId="4F7C9C66" w14:textId="67072CAC" w:rsidR="00E133C1" w:rsidRDefault="00E133C1" w:rsidP="00E133C1">
            <w:pPr>
              <w:pStyle w:val="NoSpacing"/>
              <w:numPr>
                <w:ilvl w:val="0"/>
                <w:numId w:val="55"/>
              </w:numPr>
            </w:pPr>
            <w:r>
              <w:t>Military family allotments or other regular support from an absent family member or someone not living in the household (except child support payments and military payments listed below which are both excluded from family income calculations);</w:t>
            </w:r>
          </w:p>
          <w:p w14:paraId="6EF167CA" w14:textId="18E61E2E" w:rsidR="00E133C1" w:rsidRDefault="00E133C1" w:rsidP="00E133C1">
            <w:pPr>
              <w:pStyle w:val="NoSpacing"/>
              <w:numPr>
                <w:ilvl w:val="0"/>
                <w:numId w:val="55"/>
              </w:numPr>
            </w:pPr>
            <w:r>
              <w:t>Regular insurance or annuity payments;</w:t>
            </w:r>
          </w:p>
          <w:p w14:paraId="129A48A8" w14:textId="39BA761E" w:rsidR="00E133C1" w:rsidRDefault="00E133C1" w:rsidP="00E133C1">
            <w:pPr>
              <w:pStyle w:val="NoSpacing"/>
              <w:numPr>
                <w:ilvl w:val="0"/>
                <w:numId w:val="55"/>
              </w:numPr>
            </w:pPr>
            <w:r>
              <w:t>College or university scholarships (not needs-based), grants (excluding Pell Grants), fellowships, and assistantships;</w:t>
            </w:r>
          </w:p>
          <w:p w14:paraId="543334F4" w14:textId="1F4A2F56" w:rsidR="00E133C1" w:rsidRDefault="00E133C1" w:rsidP="00E133C1">
            <w:pPr>
              <w:pStyle w:val="NoSpacing"/>
              <w:numPr>
                <w:ilvl w:val="0"/>
                <w:numId w:val="55"/>
              </w:numPr>
            </w:pPr>
            <w:r>
              <w:t>Net royalties;</w:t>
            </w:r>
          </w:p>
          <w:p w14:paraId="0A04583A" w14:textId="2AAD1C90" w:rsidR="00E133C1" w:rsidRDefault="00E133C1" w:rsidP="00E133C1">
            <w:pPr>
              <w:pStyle w:val="NoSpacing"/>
              <w:numPr>
                <w:ilvl w:val="0"/>
                <w:numId w:val="55"/>
              </w:numPr>
            </w:pPr>
            <w:r>
              <w:t>Periodic receipts from estates or trusts; and,</w:t>
            </w:r>
          </w:p>
          <w:p w14:paraId="25A24DAF" w14:textId="63B95AF9" w:rsidR="00E133C1" w:rsidRPr="006C5EBD" w:rsidRDefault="00E133C1" w:rsidP="00E133C1">
            <w:pPr>
              <w:pStyle w:val="NoSpacing"/>
              <w:numPr>
                <w:ilvl w:val="0"/>
                <w:numId w:val="55"/>
              </w:numPr>
            </w:pPr>
            <w:r>
              <w:t>Net gambling or lottery winnings</w:t>
            </w:r>
          </w:p>
        </w:tc>
        <w:tc>
          <w:tcPr>
            <w:tcW w:w="4675" w:type="dxa"/>
            <w:vMerge/>
          </w:tcPr>
          <w:p w14:paraId="5E8B0A04" w14:textId="77777777" w:rsidR="00E133C1" w:rsidRPr="00E133C1" w:rsidRDefault="00E133C1" w:rsidP="00E133C1">
            <w:pPr>
              <w:pStyle w:val="NoSpacing"/>
              <w:jc w:val="center"/>
            </w:pPr>
          </w:p>
        </w:tc>
      </w:tr>
    </w:tbl>
    <w:p w14:paraId="416A8671" w14:textId="3C15E877" w:rsidR="00E133C1" w:rsidRPr="00E133C1" w:rsidRDefault="00E133C1" w:rsidP="00E133C1">
      <w:pPr>
        <w:pStyle w:val="NoSpacing"/>
        <w:rPr>
          <w:sz w:val="10"/>
          <w:szCs w:val="10"/>
        </w:rPr>
      </w:pPr>
    </w:p>
    <w:p w14:paraId="24AEB903" w14:textId="65E6523C" w:rsidR="006C5EBD" w:rsidRPr="00A50B54" w:rsidRDefault="00E133C1" w:rsidP="00E133C1">
      <w:pPr>
        <w:pStyle w:val="NoSpacing"/>
        <w:jc w:val="center"/>
        <w:rPr>
          <w:b/>
          <w:bCs/>
        </w:rPr>
      </w:pPr>
      <w:r w:rsidRPr="00A50B54">
        <w:rPr>
          <w:rFonts w:eastAsia="Times New Roman" w:cstheme="minorHAnsi"/>
          <w:b/>
          <w:bCs/>
          <w:kern w:val="0"/>
          <w14:ligatures w14:val="none"/>
        </w:rPr>
        <w:t xml:space="preserve">Table Six: Incomes to Exclude for </w:t>
      </w:r>
      <w:r w:rsidRPr="00A50B54">
        <w:rPr>
          <w:b/>
          <w:bCs/>
        </w:rPr>
        <w:t>Calculating Total Family Income</w:t>
      </w:r>
    </w:p>
    <w:tbl>
      <w:tblPr>
        <w:tblStyle w:val="TableGrid"/>
        <w:tblW w:w="0" w:type="auto"/>
        <w:tblLook w:val="04A0" w:firstRow="1" w:lastRow="0" w:firstColumn="1" w:lastColumn="0" w:noHBand="0" w:noVBand="1"/>
      </w:tblPr>
      <w:tblGrid>
        <w:gridCol w:w="4675"/>
        <w:gridCol w:w="4675"/>
      </w:tblGrid>
      <w:tr w:rsidR="00E133C1" w:rsidRPr="00E133C1" w14:paraId="05DFE766" w14:textId="77777777" w:rsidTr="00AC728E">
        <w:tc>
          <w:tcPr>
            <w:tcW w:w="4675" w:type="dxa"/>
          </w:tcPr>
          <w:p w14:paraId="54D1F087" w14:textId="57D6944D" w:rsidR="00E133C1" w:rsidRPr="00E133C1" w:rsidRDefault="00E133C1" w:rsidP="00E133C1">
            <w:pPr>
              <w:pStyle w:val="NoSpacing"/>
              <w:jc w:val="center"/>
              <w:rPr>
                <w:b/>
                <w:bCs/>
              </w:rPr>
            </w:pPr>
            <w:r w:rsidRPr="00E133C1">
              <w:rPr>
                <w:b/>
                <w:bCs/>
              </w:rPr>
              <w:t xml:space="preserve">Income to </w:t>
            </w:r>
            <w:r w:rsidRPr="00E133C1">
              <w:rPr>
                <w:b/>
                <w:bCs/>
                <w:u w:val="single"/>
              </w:rPr>
              <w:t>Exclude</w:t>
            </w:r>
            <w:r w:rsidRPr="00E133C1">
              <w:rPr>
                <w:b/>
                <w:bCs/>
              </w:rPr>
              <w:t>:</w:t>
            </w:r>
          </w:p>
        </w:tc>
        <w:tc>
          <w:tcPr>
            <w:tcW w:w="4675" w:type="dxa"/>
          </w:tcPr>
          <w:p w14:paraId="150542C9" w14:textId="77777777" w:rsidR="00E133C1" w:rsidRPr="00E133C1" w:rsidRDefault="00E133C1" w:rsidP="00E133C1">
            <w:pPr>
              <w:pStyle w:val="NoSpacing"/>
              <w:jc w:val="center"/>
              <w:rPr>
                <w:b/>
                <w:bCs/>
              </w:rPr>
            </w:pPr>
            <w:r w:rsidRPr="00E133C1">
              <w:rPr>
                <w:b/>
                <w:bCs/>
              </w:rPr>
              <w:t>Notes:</w:t>
            </w:r>
          </w:p>
        </w:tc>
      </w:tr>
      <w:tr w:rsidR="00E133C1" w:rsidRPr="00E133C1" w14:paraId="20EF67EB" w14:textId="77777777" w:rsidTr="00AC728E">
        <w:tc>
          <w:tcPr>
            <w:tcW w:w="4675" w:type="dxa"/>
          </w:tcPr>
          <w:p w14:paraId="1A14E9BC" w14:textId="0A0B2AC4" w:rsidR="00E133C1" w:rsidRDefault="00E133C1" w:rsidP="00E133C1">
            <w:pPr>
              <w:pStyle w:val="NoSpacing"/>
            </w:pPr>
            <w:r>
              <w:t xml:space="preserve">All pay and/or financial allowances and benefits earned while a person was on </w:t>
            </w:r>
            <w:r w:rsidRPr="005609EF">
              <w:rPr>
                <w:i/>
                <w:iCs/>
              </w:rPr>
              <w:t>Active Duty</w:t>
            </w:r>
            <w:r>
              <w:t>.</w:t>
            </w:r>
            <w:r>
              <w:rPr>
                <w:rStyle w:val="FootnoteReference"/>
              </w:rPr>
              <w:footnoteReference w:id="20"/>
            </w:r>
          </w:p>
          <w:p w14:paraId="4B8A91BB" w14:textId="77777777" w:rsidR="00E133C1" w:rsidRPr="00E133C1" w:rsidRDefault="00E133C1" w:rsidP="00E133C1">
            <w:pPr>
              <w:pStyle w:val="NoSpacing"/>
              <w:rPr>
                <w:sz w:val="12"/>
                <w:szCs w:val="12"/>
              </w:rPr>
            </w:pPr>
          </w:p>
          <w:p w14:paraId="371EA17B" w14:textId="77777777" w:rsidR="00E133C1" w:rsidRDefault="00E133C1" w:rsidP="00E133C1">
            <w:pPr>
              <w:pStyle w:val="NoSpacing"/>
            </w:pPr>
            <w:r>
              <w:t xml:space="preserve">This includes: </w:t>
            </w:r>
          </w:p>
          <w:p w14:paraId="504A896E" w14:textId="77777777" w:rsidR="00E133C1" w:rsidRDefault="00E133C1" w:rsidP="00E133C1">
            <w:pPr>
              <w:pStyle w:val="NoSpacing"/>
              <w:numPr>
                <w:ilvl w:val="0"/>
                <w:numId w:val="56"/>
              </w:numPr>
            </w:pPr>
            <w:r w:rsidRPr="00E133C1">
              <w:t>Compensation for service-connected disability or death</w:t>
            </w:r>
            <w:r>
              <w:t xml:space="preserve">, </w:t>
            </w:r>
          </w:p>
          <w:p w14:paraId="4EE9C303" w14:textId="77777777" w:rsidR="00E133C1" w:rsidRDefault="00E133C1" w:rsidP="00E133C1">
            <w:pPr>
              <w:pStyle w:val="NoSpacing"/>
              <w:numPr>
                <w:ilvl w:val="0"/>
                <w:numId w:val="56"/>
              </w:numPr>
            </w:pPr>
            <w:r w:rsidRPr="00E133C1">
              <w:t>Dependency and indemnity compensation for service-connected deaths</w:t>
            </w:r>
            <w:r>
              <w:t>,</w:t>
            </w:r>
          </w:p>
          <w:p w14:paraId="0C1C09F2" w14:textId="77777777" w:rsidR="00E133C1" w:rsidRDefault="00E133C1" w:rsidP="00E133C1">
            <w:pPr>
              <w:pStyle w:val="NoSpacing"/>
              <w:numPr>
                <w:ilvl w:val="0"/>
                <w:numId w:val="56"/>
              </w:numPr>
            </w:pPr>
            <w:r w:rsidRPr="00E133C1">
              <w:t>All-volunteer force educational assistance program</w:t>
            </w:r>
            <w:r>
              <w:t>,</w:t>
            </w:r>
          </w:p>
          <w:p w14:paraId="50E53FBF" w14:textId="46473B9C" w:rsidR="00E133C1" w:rsidRDefault="00E133C1" w:rsidP="00E133C1">
            <w:pPr>
              <w:pStyle w:val="NoSpacing"/>
              <w:numPr>
                <w:ilvl w:val="0"/>
                <w:numId w:val="56"/>
              </w:numPr>
            </w:pPr>
            <w:r w:rsidRPr="00E133C1">
              <w:t>Training and rehabilitation for veterans with service-connected disabilities</w:t>
            </w:r>
            <w:r>
              <w:t>.</w:t>
            </w:r>
          </w:p>
          <w:p w14:paraId="63F2D9A2" w14:textId="72536FEA" w:rsidR="00E133C1" w:rsidRDefault="00E133C1" w:rsidP="00E133C1">
            <w:pPr>
              <w:pStyle w:val="NoSpacing"/>
              <w:numPr>
                <w:ilvl w:val="0"/>
                <w:numId w:val="56"/>
              </w:numPr>
            </w:pPr>
            <w:r w:rsidRPr="00E133C1">
              <w:t>Survivors’ and dependents’ educational assistance</w:t>
            </w:r>
            <w:r>
              <w:t>, and,</w:t>
            </w:r>
          </w:p>
          <w:p w14:paraId="6D95D37E" w14:textId="4378E0D1" w:rsidR="00E133C1" w:rsidRDefault="00E133C1" w:rsidP="00E133C1">
            <w:pPr>
              <w:pStyle w:val="NoSpacing"/>
              <w:numPr>
                <w:ilvl w:val="0"/>
                <w:numId w:val="56"/>
              </w:numPr>
            </w:pPr>
            <w:r w:rsidRPr="00E133C1">
              <w:t>Administration of educational benefits</w:t>
            </w:r>
            <w:r>
              <w:t>.</w:t>
            </w:r>
          </w:p>
          <w:p w14:paraId="7A3F60D9" w14:textId="4A278BED" w:rsidR="00E133C1" w:rsidRPr="00E133C1" w:rsidRDefault="00E133C1" w:rsidP="00E133C1">
            <w:pPr>
              <w:pStyle w:val="NoSpacing"/>
              <w:rPr>
                <w:sz w:val="6"/>
                <w:szCs w:val="6"/>
              </w:rPr>
            </w:pPr>
          </w:p>
        </w:tc>
        <w:tc>
          <w:tcPr>
            <w:tcW w:w="4675" w:type="dxa"/>
          </w:tcPr>
          <w:p w14:paraId="04CFA8D3" w14:textId="77777777" w:rsidR="00E133C1" w:rsidRDefault="00E133C1" w:rsidP="00E133C1">
            <w:pPr>
              <w:pStyle w:val="NoSpacing"/>
              <w:jc w:val="center"/>
            </w:pPr>
          </w:p>
          <w:p w14:paraId="7B4822B8" w14:textId="77777777" w:rsidR="00E133C1" w:rsidRDefault="00E133C1" w:rsidP="00E133C1">
            <w:pPr>
              <w:pStyle w:val="NoSpacing"/>
              <w:jc w:val="center"/>
            </w:pPr>
          </w:p>
          <w:p w14:paraId="686C21C3" w14:textId="77777777" w:rsidR="00E133C1" w:rsidRDefault="00E133C1" w:rsidP="00E133C1">
            <w:pPr>
              <w:pStyle w:val="NoSpacing"/>
              <w:jc w:val="center"/>
            </w:pPr>
          </w:p>
          <w:p w14:paraId="2D913C02" w14:textId="77777777" w:rsidR="00E133C1" w:rsidRDefault="00E133C1" w:rsidP="00E133C1">
            <w:pPr>
              <w:pStyle w:val="NoSpacing"/>
              <w:jc w:val="center"/>
            </w:pPr>
          </w:p>
          <w:p w14:paraId="229487E2" w14:textId="77777777" w:rsidR="00E133C1" w:rsidRDefault="00E133C1" w:rsidP="00E133C1">
            <w:pPr>
              <w:pStyle w:val="NoSpacing"/>
              <w:jc w:val="center"/>
            </w:pPr>
          </w:p>
          <w:p w14:paraId="6C9D42C5" w14:textId="77777777" w:rsidR="00E133C1" w:rsidRDefault="00E133C1" w:rsidP="00E133C1">
            <w:pPr>
              <w:pStyle w:val="NoSpacing"/>
              <w:jc w:val="center"/>
            </w:pPr>
          </w:p>
          <w:p w14:paraId="6759E813" w14:textId="77777777" w:rsidR="00E133C1" w:rsidRDefault="00E133C1" w:rsidP="00E133C1">
            <w:pPr>
              <w:pStyle w:val="NoSpacing"/>
              <w:jc w:val="center"/>
            </w:pPr>
          </w:p>
          <w:p w14:paraId="6C735E23" w14:textId="3B548725" w:rsidR="00E133C1" w:rsidRPr="00E133C1" w:rsidRDefault="00E133C1" w:rsidP="00E133C1">
            <w:pPr>
              <w:pStyle w:val="NoSpacing"/>
              <w:jc w:val="center"/>
            </w:pPr>
            <w:r>
              <w:t xml:space="preserve">See </w:t>
            </w:r>
            <w:hyperlink r:id="rId9" w:history="1">
              <w:r>
                <w:rPr>
                  <w:rStyle w:val="Hyperlink"/>
                </w:rPr>
                <w:t>TEGL 10-09</w:t>
              </w:r>
            </w:hyperlink>
            <w:r>
              <w:t xml:space="preserve"> for additional information.</w:t>
            </w:r>
          </w:p>
        </w:tc>
      </w:tr>
      <w:tr w:rsidR="00E133C1" w:rsidRPr="00E133C1" w14:paraId="6C41CF9F" w14:textId="77777777" w:rsidTr="00AC728E">
        <w:tc>
          <w:tcPr>
            <w:tcW w:w="4675" w:type="dxa"/>
          </w:tcPr>
          <w:p w14:paraId="244F673A" w14:textId="40FF673E" w:rsidR="00E133C1" w:rsidRDefault="00E133C1" w:rsidP="00E133C1">
            <w:pPr>
              <w:pStyle w:val="NoSpacing"/>
              <w:jc w:val="center"/>
            </w:pPr>
            <w:r w:rsidRPr="006C5EBD">
              <w:t>Allowance, earnings and payments made to individuals participating in</w:t>
            </w:r>
            <w:r>
              <w:t xml:space="preserve"> </w:t>
            </w:r>
            <w:r w:rsidRPr="006C5EBD">
              <w:t>WIOA programs or any other workforce development program for which eligibility is based upon a needs and/or income test</w:t>
            </w:r>
            <w:r>
              <w:t xml:space="preserve"> (for example</w:t>
            </w:r>
            <w:r w:rsidRPr="00E133C1">
              <w:rPr>
                <w:i/>
                <w:iCs/>
              </w:rPr>
              <w:t>, Supportive Services</w:t>
            </w:r>
            <w:r>
              <w:t xml:space="preserve"> needs-based payments or assistance.</w:t>
            </w:r>
          </w:p>
          <w:p w14:paraId="1BF552C2" w14:textId="038E096D" w:rsidR="00E133C1" w:rsidRPr="00E133C1" w:rsidRDefault="00E133C1" w:rsidP="00E133C1">
            <w:pPr>
              <w:pStyle w:val="NoSpacing"/>
              <w:jc w:val="center"/>
              <w:rPr>
                <w:sz w:val="6"/>
                <w:szCs w:val="6"/>
              </w:rPr>
            </w:pPr>
          </w:p>
        </w:tc>
        <w:tc>
          <w:tcPr>
            <w:tcW w:w="4675" w:type="dxa"/>
            <w:vMerge w:val="restart"/>
          </w:tcPr>
          <w:p w14:paraId="275406E6" w14:textId="77777777" w:rsidR="00E133C1" w:rsidRDefault="00E133C1" w:rsidP="00E133C1">
            <w:pPr>
              <w:pStyle w:val="NoSpacing"/>
              <w:jc w:val="center"/>
            </w:pPr>
          </w:p>
          <w:p w14:paraId="5D9969F6" w14:textId="77777777" w:rsidR="00E133C1" w:rsidRDefault="00E133C1" w:rsidP="00E133C1">
            <w:pPr>
              <w:pStyle w:val="NoSpacing"/>
              <w:jc w:val="center"/>
            </w:pPr>
          </w:p>
          <w:p w14:paraId="6182FC59" w14:textId="77777777" w:rsidR="00E133C1" w:rsidRDefault="00E133C1" w:rsidP="00E133C1">
            <w:pPr>
              <w:pStyle w:val="NoSpacing"/>
              <w:jc w:val="center"/>
            </w:pPr>
          </w:p>
          <w:p w14:paraId="7917D771" w14:textId="77777777" w:rsidR="00E133C1" w:rsidRDefault="00E133C1" w:rsidP="00E133C1">
            <w:pPr>
              <w:pStyle w:val="NoSpacing"/>
              <w:jc w:val="center"/>
            </w:pPr>
          </w:p>
          <w:p w14:paraId="22B10695" w14:textId="77777777" w:rsidR="00E133C1" w:rsidRDefault="00E133C1" w:rsidP="00E133C1">
            <w:pPr>
              <w:pStyle w:val="NoSpacing"/>
              <w:jc w:val="center"/>
            </w:pPr>
          </w:p>
          <w:p w14:paraId="2D749340" w14:textId="7C5657C5" w:rsidR="00E133C1" w:rsidRDefault="00E133C1" w:rsidP="00E133C1">
            <w:pPr>
              <w:pStyle w:val="NoSpacing"/>
              <w:jc w:val="center"/>
            </w:pPr>
            <w:r>
              <w:t>N/A</w:t>
            </w:r>
          </w:p>
        </w:tc>
      </w:tr>
      <w:tr w:rsidR="00E133C1" w:rsidRPr="00E133C1" w14:paraId="12E6E661" w14:textId="77777777" w:rsidTr="00AC728E">
        <w:tc>
          <w:tcPr>
            <w:tcW w:w="4675" w:type="dxa"/>
          </w:tcPr>
          <w:p w14:paraId="12C7BD8E" w14:textId="59936E8A" w:rsidR="00E133C1" w:rsidRDefault="00E133C1" w:rsidP="00E133C1">
            <w:pPr>
              <w:pStyle w:val="NoSpacing"/>
            </w:pPr>
            <w:r>
              <w:lastRenderedPageBreak/>
              <w:t>Non-cash benefits such as:</w:t>
            </w:r>
          </w:p>
          <w:p w14:paraId="10E7466E" w14:textId="77777777" w:rsidR="00E133C1" w:rsidRDefault="00E133C1" w:rsidP="00E133C1">
            <w:pPr>
              <w:pStyle w:val="NoSpacing"/>
              <w:numPr>
                <w:ilvl w:val="0"/>
                <w:numId w:val="57"/>
              </w:numPr>
            </w:pPr>
            <w:r>
              <w:t>Employer paid or union paid portions of fringe benefits;</w:t>
            </w:r>
          </w:p>
          <w:p w14:paraId="7584E2F5" w14:textId="77777777" w:rsidR="00E133C1" w:rsidRDefault="00E133C1" w:rsidP="00E133C1">
            <w:pPr>
              <w:pStyle w:val="NoSpacing"/>
              <w:numPr>
                <w:ilvl w:val="0"/>
                <w:numId w:val="57"/>
              </w:numPr>
            </w:pPr>
            <w:r>
              <w:t>Food or housing received in lieu of wages;</w:t>
            </w:r>
          </w:p>
          <w:p w14:paraId="4B802E17" w14:textId="77777777" w:rsidR="00E133C1" w:rsidRDefault="00E133C1" w:rsidP="00E133C1">
            <w:pPr>
              <w:pStyle w:val="NoSpacing"/>
              <w:numPr>
                <w:ilvl w:val="0"/>
                <w:numId w:val="57"/>
              </w:numPr>
            </w:pPr>
            <w:r>
              <w:t>Medicare benefits;</w:t>
            </w:r>
          </w:p>
          <w:p w14:paraId="03E42342" w14:textId="77777777" w:rsidR="00E133C1" w:rsidRDefault="00E133C1" w:rsidP="00E133C1">
            <w:pPr>
              <w:pStyle w:val="NoSpacing"/>
              <w:numPr>
                <w:ilvl w:val="0"/>
                <w:numId w:val="57"/>
              </w:numPr>
            </w:pPr>
            <w:r>
              <w:t>Medicaid benefits;</w:t>
            </w:r>
          </w:p>
          <w:p w14:paraId="00885222" w14:textId="77777777" w:rsidR="00E133C1" w:rsidRDefault="00E133C1" w:rsidP="00E133C1">
            <w:pPr>
              <w:pStyle w:val="NoSpacing"/>
              <w:numPr>
                <w:ilvl w:val="0"/>
                <w:numId w:val="57"/>
              </w:numPr>
            </w:pPr>
            <w:r>
              <w:t>SNAP;</w:t>
            </w:r>
          </w:p>
          <w:p w14:paraId="420A65A6" w14:textId="23EA7004" w:rsidR="00E133C1" w:rsidRDefault="00E133C1" w:rsidP="00E133C1">
            <w:pPr>
              <w:pStyle w:val="NoSpacing"/>
              <w:numPr>
                <w:ilvl w:val="0"/>
                <w:numId w:val="57"/>
              </w:numPr>
            </w:pPr>
            <w:r>
              <w:t>School lunches; and,</w:t>
            </w:r>
          </w:p>
          <w:p w14:paraId="6845B838" w14:textId="77777777" w:rsidR="00E133C1" w:rsidRDefault="00E133C1" w:rsidP="00E133C1">
            <w:pPr>
              <w:pStyle w:val="NoSpacing"/>
              <w:numPr>
                <w:ilvl w:val="0"/>
                <w:numId w:val="57"/>
              </w:numPr>
            </w:pPr>
            <w:r>
              <w:t>Housing assistance.</w:t>
            </w:r>
          </w:p>
          <w:p w14:paraId="381EBAA6" w14:textId="1B6F4C61" w:rsidR="00E133C1" w:rsidRPr="00E133C1" w:rsidRDefault="00E133C1" w:rsidP="00E133C1">
            <w:pPr>
              <w:pStyle w:val="NoSpacing"/>
              <w:rPr>
                <w:sz w:val="12"/>
                <w:szCs w:val="12"/>
              </w:rPr>
            </w:pPr>
          </w:p>
        </w:tc>
        <w:tc>
          <w:tcPr>
            <w:tcW w:w="4675" w:type="dxa"/>
            <w:vMerge/>
          </w:tcPr>
          <w:p w14:paraId="0DEB31EC" w14:textId="59337D1F" w:rsidR="00E133C1" w:rsidRPr="00E133C1" w:rsidRDefault="00E133C1" w:rsidP="00E133C1">
            <w:pPr>
              <w:pStyle w:val="NoSpacing"/>
              <w:jc w:val="center"/>
            </w:pPr>
          </w:p>
        </w:tc>
      </w:tr>
      <w:tr w:rsidR="00E133C1" w:rsidRPr="00E133C1" w14:paraId="20DEEC4F" w14:textId="77777777" w:rsidTr="00AC728E">
        <w:tc>
          <w:tcPr>
            <w:tcW w:w="4675" w:type="dxa"/>
          </w:tcPr>
          <w:p w14:paraId="3E6A6FF7" w14:textId="1E38053D" w:rsidR="00E133C1" w:rsidRDefault="00E133C1" w:rsidP="00E133C1">
            <w:pPr>
              <w:pStyle w:val="NoSpacing"/>
            </w:pPr>
            <w:r w:rsidRPr="006C5EBD">
              <w:t xml:space="preserve">Cash </w:t>
            </w:r>
            <w:r>
              <w:t>benefits from</w:t>
            </w:r>
            <w:r w:rsidRPr="006C5EBD">
              <w:t xml:space="preserve">: </w:t>
            </w:r>
          </w:p>
          <w:p w14:paraId="305117A6" w14:textId="72F67C01" w:rsidR="00E133C1" w:rsidRDefault="00E133C1" w:rsidP="00E133C1">
            <w:pPr>
              <w:pStyle w:val="NoSpacing"/>
              <w:numPr>
                <w:ilvl w:val="0"/>
                <w:numId w:val="58"/>
              </w:numPr>
            </w:pPr>
            <w:r w:rsidRPr="006C5EBD">
              <w:t>TANF</w:t>
            </w:r>
            <w:r>
              <w:t xml:space="preserve">/Minnesota </w:t>
            </w:r>
            <w:r w:rsidRPr="006C5EBD">
              <w:t>F</w:t>
            </w:r>
            <w:r>
              <w:t xml:space="preserve">amily </w:t>
            </w:r>
            <w:r w:rsidRPr="006C5EBD">
              <w:t>I</w:t>
            </w:r>
            <w:r>
              <w:t xml:space="preserve">nvestment </w:t>
            </w:r>
            <w:r w:rsidRPr="006C5EBD">
              <w:t>P</w:t>
            </w:r>
            <w:r>
              <w:t>rogram</w:t>
            </w:r>
            <w:r w:rsidRPr="006C5EBD">
              <w:t>;</w:t>
            </w:r>
          </w:p>
          <w:p w14:paraId="652D7AF9" w14:textId="77777777" w:rsidR="00E133C1" w:rsidRDefault="00E133C1" w:rsidP="00E133C1">
            <w:pPr>
              <w:pStyle w:val="NoSpacing"/>
              <w:numPr>
                <w:ilvl w:val="0"/>
                <w:numId w:val="58"/>
              </w:numPr>
            </w:pPr>
            <w:r w:rsidRPr="006C5EBD">
              <w:t>Supplemental Security Income (SSI);</w:t>
            </w:r>
          </w:p>
          <w:p w14:paraId="462C47BC" w14:textId="77777777" w:rsidR="00E133C1" w:rsidRDefault="00E133C1" w:rsidP="00E133C1">
            <w:pPr>
              <w:pStyle w:val="NoSpacing"/>
              <w:numPr>
                <w:ilvl w:val="0"/>
                <w:numId w:val="58"/>
              </w:numPr>
            </w:pPr>
            <w:r w:rsidRPr="006C5EBD">
              <w:t>Emergency Assistance money payments;</w:t>
            </w:r>
          </w:p>
          <w:p w14:paraId="57F6D512" w14:textId="0260333C" w:rsidR="00E133C1" w:rsidRDefault="00E133C1" w:rsidP="00E133C1">
            <w:pPr>
              <w:pStyle w:val="NoSpacing"/>
              <w:numPr>
                <w:ilvl w:val="0"/>
                <w:numId w:val="58"/>
              </w:numPr>
            </w:pPr>
            <w:r w:rsidRPr="006C5EBD">
              <w:t>General Assistance/Work Readiness</w:t>
            </w:r>
            <w:r>
              <w:t>,</w:t>
            </w:r>
            <w:r w:rsidRPr="006C5EBD">
              <w:t xml:space="preserve"> and</w:t>
            </w:r>
          </w:p>
          <w:p w14:paraId="07D487DE" w14:textId="77777777" w:rsidR="00E133C1" w:rsidRDefault="00E133C1" w:rsidP="00E133C1">
            <w:pPr>
              <w:pStyle w:val="NoSpacing"/>
              <w:numPr>
                <w:ilvl w:val="0"/>
                <w:numId w:val="58"/>
              </w:numPr>
            </w:pPr>
            <w:r w:rsidRPr="006C5EBD">
              <w:t>Refugee Cash Assistance</w:t>
            </w:r>
            <w:r>
              <w:t>.</w:t>
            </w:r>
          </w:p>
          <w:p w14:paraId="4419A044" w14:textId="3F9A2B3C" w:rsidR="00E133C1" w:rsidRPr="00E133C1" w:rsidRDefault="00E133C1" w:rsidP="00E133C1">
            <w:pPr>
              <w:pStyle w:val="NoSpacing"/>
              <w:rPr>
                <w:sz w:val="6"/>
                <w:szCs w:val="6"/>
              </w:rPr>
            </w:pPr>
          </w:p>
        </w:tc>
        <w:tc>
          <w:tcPr>
            <w:tcW w:w="4675" w:type="dxa"/>
          </w:tcPr>
          <w:p w14:paraId="26262825" w14:textId="3935FD13" w:rsidR="00E133C1" w:rsidRDefault="00E133C1" w:rsidP="00E133C1">
            <w:pPr>
              <w:pStyle w:val="NoSpacing"/>
              <w:jc w:val="center"/>
            </w:pPr>
            <w:r w:rsidRPr="006C5EBD">
              <w:t>Payments received under a Federal, State, or local income-based public assistance program</w:t>
            </w:r>
            <w:r>
              <w:t>s.</w:t>
            </w:r>
          </w:p>
        </w:tc>
      </w:tr>
      <w:tr w:rsidR="00E133C1" w:rsidRPr="00E133C1" w14:paraId="5EC1DDD3" w14:textId="77777777" w:rsidTr="00AC728E">
        <w:tc>
          <w:tcPr>
            <w:tcW w:w="4675" w:type="dxa"/>
          </w:tcPr>
          <w:p w14:paraId="30C82094" w14:textId="1D770EF5" w:rsidR="00E133C1" w:rsidRDefault="00E133C1" w:rsidP="00E133C1">
            <w:pPr>
              <w:pStyle w:val="NoSpacing"/>
            </w:pPr>
            <w:r>
              <w:t>Cash Payments under Title V of the Older Americans Act. Such as:</w:t>
            </w:r>
          </w:p>
          <w:p w14:paraId="025D2BDB" w14:textId="77777777" w:rsidR="00E133C1" w:rsidRDefault="00E133C1" w:rsidP="00E133C1">
            <w:pPr>
              <w:pStyle w:val="NoSpacing"/>
              <w:numPr>
                <w:ilvl w:val="0"/>
                <w:numId w:val="59"/>
              </w:numPr>
            </w:pPr>
            <w:r>
              <w:t>Green Thumb,</w:t>
            </w:r>
          </w:p>
          <w:p w14:paraId="6D26758B" w14:textId="37A40761" w:rsidR="00E133C1" w:rsidRDefault="00E133C1" w:rsidP="00E133C1">
            <w:pPr>
              <w:pStyle w:val="NoSpacing"/>
              <w:numPr>
                <w:ilvl w:val="0"/>
                <w:numId w:val="59"/>
              </w:numPr>
            </w:pPr>
            <w:r>
              <w:t>Senior Aides; and the,</w:t>
            </w:r>
          </w:p>
          <w:p w14:paraId="1FA2C224" w14:textId="0D7FDE00" w:rsidR="00E133C1" w:rsidRDefault="00E133C1" w:rsidP="00E133C1">
            <w:pPr>
              <w:pStyle w:val="NoSpacing"/>
              <w:numPr>
                <w:ilvl w:val="0"/>
                <w:numId w:val="59"/>
              </w:numPr>
            </w:pPr>
            <w:r>
              <w:t>Older American Community Service Employment Program.</w:t>
            </w:r>
          </w:p>
        </w:tc>
        <w:tc>
          <w:tcPr>
            <w:tcW w:w="4675" w:type="dxa"/>
          </w:tcPr>
          <w:p w14:paraId="44C959BA" w14:textId="77777777" w:rsidR="00E133C1" w:rsidRDefault="00E133C1" w:rsidP="00E133C1">
            <w:pPr>
              <w:pStyle w:val="NoSpacing"/>
            </w:pPr>
          </w:p>
          <w:p w14:paraId="12385A31" w14:textId="77777777" w:rsidR="00E133C1" w:rsidRDefault="00E133C1" w:rsidP="00E133C1">
            <w:pPr>
              <w:pStyle w:val="NoSpacing"/>
            </w:pPr>
          </w:p>
          <w:p w14:paraId="41FE95B3" w14:textId="7B840172" w:rsidR="00E133C1" w:rsidRDefault="00E133C1" w:rsidP="00E133C1">
            <w:pPr>
              <w:pStyle w:val="NoSpacing"/>
              <w:jc w:val="center"/>
            </w:pPr>
            <w:r>
              <w:t>N/A</w:t>
            </w:r>
          </w:p>
        </w:tc>
      </w:tr>
      <w:tr w:rsidR="00E133C1" w:rsidRPr="00E133C1" w14:paraId="392CDFA5" w14:textId="77777777" w:rsidTr="00AC728E">
        <w:tc>
          <w:tcPr>
            <w:tcW w:w="4675" w:type="dxa"/>
          </w:tcPr>
          <w:p w14:paraId="6C21089D" w14:textId="77777777" w:rsidR="00E133C1" w:rsidRDefault="00E133C1" w:rsidP="00E133C1">
            <w:pPr>
              <w:pStyle w:val="NoSpacing"/>
            </w:pPr>
          </w:p>
          <w:p w14:paraId="22567ED7" w14:textId="77777777" w:rsidR="00E133C1" w:rsidRDefault="00E133C1" w:rsidP="00E133C1">
            <w:pPr>
              <w:pStyle w:val="NoSpacing"/>
            </w:pPr>
          </w:p>
          <w:p w14:paraId="2BB1D8BA" w14:textId="77777777" w:rsidR="00E133C1" w:rsidRDefault="00E133C1" w:rsidP="00E133C1">
            <w:pPr>
              <w:pStyle w:val="NoSpacing"/>
            </w:pPr>
          </w:p>
          <w:p w14:paraId="312A6733" w14:textId="21288CE4" w:rsidR="00E133C1" w:rsidRDefault="00E133C1" w:rsidP="00E133C1">
            <w:pPr>
              <w:pStyle w:val="NoSpacing"/>
              <w:jc w:val="center"/>
            </w:pPr>
            <w:r>
              <w:t>Student/School Financial Assistance</w:t>
            </w:r>
          </w:p>
        </w:tc>
        <w:tc>
          <w:tcPr>
            <w:tcW w:w="4675" w:type="dxa"/>
          </w:tcPr>
          <w:p w14:paraId="73D9D585" w14:textId="6653E5A2" w:rsidR="00E133C1" w:rsidRDefault="00E133C1" w:rsidP="00E133C1">
            <w:pPr>
              <w:pStyle w:val="NoSpacing"/>
              <w:jc w:val="center"/>
            </w:pPr>
            <w:r>
              <w:t>Assistance under Title IV of the Higher Education Act (i.e. Pell Grants, Federal Supplemental Educational Opportunity Grants, Federal Work-Study programs, PLUS, Stafford and/or Perkins loans).</w:t>
            </w:r>
          </w:p>
          <w:p w14:paraId="0B6CC1CF" w14:textId="77777777" w:rsidR="00E133C1" w:rsidRPr="00E133C1" w:rsidRDefault="00E133C1" w:rsidP="00E133C1">
            <w:pPr>
              <w:pStyle w:val="NoSpacing"/>
              <w:jc w:val="center"/>
              <w:rPr>
                <w:sz w:val="12"/>
                <w:szCs w:val="12"/>
              </w:rPr>
            </w:pPr>
          </w:p>
          <w:p w14:paraId="42C5CBEB" w14:textId="06E146FB" w:rsidR="00E133C1" w:rsidRPr="00E133C1" w:rsidRDefault="00E133C1" w:rsidP="00E133C1">
            <w:pPr>
              <w:pStyle w:val="NoSpacing"/>
              <w:jc w:val="center"/>
            </w:pPr>
            <w:r>
              <w:t>Loans are considered to be “debt” and not “income."</w:t>
            </w:r>
          </w:p>
        </w:tc>
      </w:tr>
      <w:tr w:rsidR="00E133C1" w:rsidRPr="00E133C1" w14:paraId="2D8B40EA" w14:textId="77777777" w:rsidTr="00AC728E">
        <w:tc>
          <w:tcPr>
            <w:tcW w:w="4675" w:type="dxa"/>
          </w:tcPr>
          <w:p w14:paraId="553B5C2A" w14:textId="2D876AAD" w:rsidR="00E133C1" w:rsidRDefault="00E133C1" w:rsidP="00E133C1">
            <w:pPr>
              <w:pStyle w:val="NoSpacing"/>
              <w:jc w:val="center"/>
            </w:pPr>
            <w:r>
              <w:t>Scholarship Assistance</w:t>
            </w:r>
          </w:p>
        </w:tc>
        <w:tc>
          <w:tcPr>
            <w:tcW w:w="4675" w:type="dxa"/>
          </w:tcPr>
          <w:p w14:paraId="614BA1CE" w14:textId="7EC92355" w:rsidR="00E133C1" w:rsidRDefault="00E133C1" w:rsidP="00E133C1">
            <w:pPr>
              <w:pStyle w:val="NoSpacing"/>
              <w:jc w:val="center"/>
            </w:pPr>
            <w:r>
              <w:t>Assistance must be needs-based.</w:t>
            </w:r>
          </w:p>
        </w:tc>
      </w:tr>
      <w:tr w:rsidR="00E133C1" w:rsidRPr="00E133C1" w14:paraId="5C506005" w14:textId="77777777" w:rsidTr="00AC728E">
        <w:tc>
          <w:tcPr>
            <w:tcW w:w="4675" w:type="dxa"/>
          </w:tcPr>
          <w:p w14:paraId="62A6B4FD" w14:textId="7F6CF9FB" w:rsidR="00E133C1" w:rsidRDefault="00E133C1" w:rsidP="00E133C1">
            <w:pPr>
              <w:pStyle w:val="NoSpacing"/>
              <w:jc w:val="center"/>
            </w:pPr>
            <w:r>
              <w:t>U.S. Department of Housing and Urban Development rental subsidies such as Section 8</w:t>
            </w:r>
          </w:p>
        </w:tc>
        <w:tc>
          <w:tcPr>
            <w:tcW w:w="4675" w:type="dxa"/>
            <w:vMerge w:val="restart"/>
          </w:tcPr>
          <w:p w14:paraId="7B66DA89" w14:textId="77777777" w:rsidR="00E133C1" w:rsidRDefault="00E133C1" w:rsidP="00E133C1">
            <w:pPr>
              <w:pStyle w:val="NoSpacing"/>
            </w:pPr>
          </w:p>
          <w:p w14:paraId="6699742C" w14:textId="77777777" w:rsidR="00E133C1" w:rsidRDefault="00E133C1" w:rsidP="00E133C1">
            <w:pPr>
              <w:pStyle w:val="NoSpacing"/>
            </w:pPr>
          </w:p>
          <w:p w14:paraId="3A78A1EF" w14:textId="77777777" w:rsidR="00E133C1" w:rsidRDefault="00E133C1" w:rsidP="00E133C1">
            <w:pPr>
              <w:pStyle w:val="NoSpacing"/>
              <w:jc w:val="center"/>
            </w:pPr>
          </w:p>
          <w:p w14:paraId="4CD148DA" w14:textId="77777777" w:rsidR="00E133C1" w:rsidRDefault="00E133C1" w:rsidP="00E133C1">
            <w:pPr>
              <w:pStyle w:val="NoSpacing"/>
              <w:jc w:val="center"/>
            </w:pPr>
          </w:p>
          <w:p w14:paraId="4522B736" w14:textId="77777777" w:rsidR="00E133C1" w:rsidRDefault="00E133C1" w:rsidP="00E133C1">
            <w:pPr>
              <w:pStyle w:val="NoSpacing"/>
              <w:jc w:val="center"/>
            </w:pPr>
          </w:p>
          <w:p w14:paraId="7FD3F68F" w14:textId="77777777" w:rsidR="00E133C1" w:rsidRDefault="00E133C1" w:rsidP="00E133C1">
            <w:pPr>
              <w:pStyle w:val="NoSpacing"/>
              <w:jc w:val="center"/>
            </w:pPr>
          </w:p>
          <w:p w14:paraId="78BBD16C" w14:textId="77777777" w:rsidR="00E133C1" w:rsidRDefault="00E133C1" w:rsidP="00E133C1">
            <w:pPr>
              <w:pStyle w:val="NoSpacing"/>
              <w:jc w:val="center"/>
            </w:pPr>
          </w:p>
          <w:p w14:paraId="2F055FEC" w14:textId="77777777" w:rsidR="00E133C1" w:rsidRDefault="00E133C1" w:rsidP="00E133C1">
            <w:pPr>
              <w:pStyle w:val="NoSpacing"/>
              <w:jc w:val="center"/>
            </w:pPr>
          </w:p>
          <w:p w14:paraId="67568922" w14:textId="77777777" w:rsidR="00E133C1" w:rsidRDefault="00E133C1" w:rsidP="00E133C1">
            <w:pPr>
              <w:pStyle w:val="NoSpacing"/>
              <w:jc w:val="center"/>
            </w:pPr>
          </w:p>
          <w:p w14:paraId="59C94B62" w14:textId="77777777" w:rsidR="00E133C1" w:rsidRDefault="00E133C1" w:rsidP="00E133C1">
            <w:pPr>
              <w:pStyle w:val="NoSpacing"/>
              <w:jc w:val="center"/>
            </w:pPr>
          </w:p>
          <w:p w14:paraId="1BB9DEE5" w14:textId="77777777" w:rsidR="00E133C1" w:rsidRDefault="00E133C1" w:rsidP="00E133C1">
            <w:pPr>
              <w:pStyle w:val="NoSpacing"/>
              <w:jc w:val="center"/>
            </w:pPr>
          </w:p>
          <w:p w14:paraId="1A653D38" w14:textId="77777777" w:rsidR="00E133C1" w:rsidRDefault="00E133C1" w:rsidP="00E133C1">
            <w:pPr>
              <w:pStyle w:val="NoSpacing"/>
              <w:jc w:val="center"/>
            </w:pPr>
          </w:p>
          <w:p w14:paraId="118B5E83" w14:textId="77777777" w:rsidR="00E133C1" w:rsidRDefault="00E133C1" w:rsidP="00E133C1">
            <w:pPr>
              <w:pStyle w:val="NoSpacing"/>
              <w:jc w:val="center"/>
            </w:pPr>
          </w:p>
          <w:p w14:paraId="0EA3D3D6" w14:textId="77777777" w:rsidR="00E133C1" w:rsidRDefault="00E133C1" w:rsidP="00E133C1">
            <w:pPr>
              <w:pStyle w:val="NoSpacing"/>
              <w:jc w:val="center"/>
            </w:pPr>
          </w:p>
          <w:p w14:paraId="307A3BAE" w14:textId="2AB57705" w:rsidR="00E133C1" w:rsidRPr="00E133C1" w:rsidRDefault="00E133C1" w:rsidP="00E133C1">
            <w:pPr>
              <w:pStyle w:val="NoSpacing"/>
              <w:jc w:val="center"/>
            </w:pPr>
            <w:r>
              <w:t>N/A</w:t>
            </w:r>
          </w:p>
        </w:tc>
      </w:tr>
      <w:tr w:rsidR="00E133C1" w:rsidRPr="00E133C1" w14:paraId="358BD7F0" w14:textId="77777777" w:rsidTr="00AC728E">
        <w:tc>
          <w:tcPr>
            <w:tcW w:w="4675" w:type="dxa"/>
          </w:tcPr>
          <w:p w14:paraId="5E58F7ED" w14:textId="1DFA6F60" w:rsidR="00E133C1" w:rsidRDefault="00E133C1" w:rsidP="00E133C1">
            <w:pPr>
              <w:pStyle w:val="NoSpacing"/>
              <w:jc w:val="center"/>
            </w:pPr>
            <w:r w:rsidRPr="006C5EBD">
              <w:t>Capital gains/losses</w:t>
            </w:r>
          </w:p>
        </w:tc>
        <w:tc>
          <w:tcPr>
            <w:tcW w:w="4675" w:type="dxa"/>
            <w:vMerge/>
          </w:tcPr>
          <w:p w14:paraId="162C1E1C" w14:textId="10B218FC" w:rsidR="00E133C1" w:rsidRPr="00E133C1" w:rsidRDefault="00E133C1" w:rsidP="00E133C1">
            <w:pPr>
              <w:pStyle w:val="NoSpacing"/>
            </w:pPr>
          </w:p>
        </w:tc>
      </w:tr>
      <w:tr w:rsidR="00E133C1" w:rsidRPr="00E133C1" w14:paraId="390567B3" w14:textId="77777777" w:rsidTr="00AC728E">
        <w:tc>
          <w:tcPr>
            <w:tcW w:w="4675" w:type="dxa"/>
          </w:tcPr>
          <w:p w14:paraId="434DE9FD" w14:textId="769F3A5F" w:rsidR="00E133C1" w:rsidRPr="006C5EBD" w:rsidRDefault="00E133C1" w:rsidP="00E133C1">
            <w:pPr>
              <w:pStyle w:val="NoSpacing"/>
              <w:jc w:val="center"/>
            </w:pPr>
            <w:r w:rsidRPr="006C5EBD">
              <w:t>Payments made by the State and/or local on behalf of a foster chil</w:t>
            </w:r>
            <w:r>
              <w:t>d</w:t>
            </w:r>
          </w:p>
        </w:tc>
        <w:tc>
          <w:tcPr>
            <w:tcW w:w="4675" w:type="dxa"/>
            <w:vMerge/>
          </w:tcPr>
          <w:p w14:paraId="1F1663F5" w14:textId="77777777" w:rsidR="00E133C1" w:rsidRDefault="00E133C1" w:rsidP="00E133C1">
            <w:pPr>
              <w:pStyle w:val="NoSpacing"/>
            </w:pPr>
          </w:p>
        </w:tc>
      </w:tr>
      <w:tr w:rsidR="00E133C1" w:rsidRPr="00E133C1" w14:paraId="4F6AF714" w14:textId="77777777" w:rsidTr="00AC728E">
        <w:tc>
          <w:tcPr>
            <w:tcW w:w="4675" w:type="dxa"/>
          </w:tcPr>
          <w:p w14:paraId="5595886A" w14:textId="033880F0" w:rsidR="00E133C1" w:rsidRPr="006C5EBD" w:rsidRDefault="00E133C1" w:rsidP="00E133C1">
            <w:pPr>
              <w:pStyle w:val="NoSpacing"/>
              <w:jc w:val="center"/>
            </w:pPr>
            <w:r w:rsidRPr="006C5EBD">
              <w:t>Assets drawn down as withdrawals from banks</w:t>
            </w:r>
          </w:p>
          <w:p w14:paraId="3EE4951E" w14:textId="77777777" w:rsidR="00E133C1" w:rsidRPr="006C5EBD" w:rsidRDefault="00E133C1" w:rsidP="00E133C1">
            <w:pPr>
              <w:pStyle w:val="NoSpacing"/>
              <w:jc w:val="center"/>
            </w:pPr>
          </w:p>
        </w:tc>
        <w:tc>
          <w:tcPr>
            <w:tcW w:w="4675" w:type="dxa"/>
            <w:vMerge/>
          </w:tcPr>
          <w:p w14:paraId="62396881" w14:textId="77777777" w:rsidR="00E133C1" w:rsidRDefault="00E133C1" w:rsidP="00E133C1">
            <w:pPr>
              <w:pStyle w:val="NoSpacing"/>
            </w:pPr>
          </w:p>
        </w:tc>
      </w:tr>
      <w:tr w:rsidR="00E133C1" w:rsidRPr="00E133C1" w14:paraId="052656CA" w14:textId="77777777" w:rsidTr="00AC728E">
        <w:tc>
          <w:tcPr>
            <w:tcW w:w="4675" w:type="dxa"/>
          </w:tcPr>
          <w:p w14:paraId="3CE5D82E" w14:textId="4A2EDF47" w:rsidR="00E133C1" w:rsidRPr="006C5EBD" w:rsidRDefault="00E133C1" w:rsidP="00E133C1">
            <w:pPr>
              <w:pStyle w:val="NoSpacing"/>
              <w:jc w:val="center"/>
            </w:pPr>
            <w:r w:rsidRPr="006C5EBD">
              <w:t>Job Corps payments</w:t>
            </w:r>
          </w:p>
        </w:tc>
        <w:tc>
          <w:tcPr>
            <w:tcW w:w="4675" w:type="dxa"/>
            <w:vMerge/>
          </w:tcPr>
          <w:p w14:paraId="58A32098" w14:textId="77777777" w:rsidR="00E133C1" w:rsidRDefault="00E133C1" w:rsidP="00E133C1">
            <w:pPr>
              <w:pStyle w:val="NoSpacing"/>
            </w:pPr>
          </w:p>
        </w:tc>
      </w:tr>
      <w:tr w:rsidR="00E133C1" w:rsidRPr="00E133C1" w14:paraId="7A71A860" w14:textId="77777777" w:rsidTr="00AC728E">
        <w:tc>
          <w:tcPr>
            <w:tcW w:w="4675" w:type="dxa"/>
          </w:tcPr>
          <w:p w14:paraId="6FB83F80" w14:textId="740A4CBD" w:rsidR="00E133C1" w:rsidRPr="006C5EBD" w:rsidRDefault="00E133C1" w:rsidP="00E133C1">
            <w:pPr>
              <w:pStyle w:val="NoSpacing"/>
              <w:jc w:val="center"/>
            </w:pPr>
            <w:r w:rsidRPr="006C5EBD">
              <w:t>The sale of property, house, or an automobile</w:t>
            </w:r>
          </w:p>
        </w:tc>
        <w:tc>
          <w:tcPr>
            <w:tcW w:w="4675" w:type="dxa"/>
            <w:vMerge/>
          </w:tcPr>
          <w:p w14:paraId="0A690857" w14:textId="77777777" w:rsidR="00E133C1" w:rsidRDefault="00E133C1" w:rsidP="00E133C1">
            <w:pPr>
              <w:pStyle w:val="NoSpacing"/>
            </w:pPr>
          </w:p>
        </w:tc>
      </w:tr>
      <w:tr w:rsidR="00E133C1" w:rsidRPr="00E133C1" w14:paraId="1D85BFA1" w14:textId="77777777" w:rsidTr="00AC728E">
        <w:tc>
          <w:tcPr>
            <w:tcW w:w="4675" w:type="dxa"/>
          </w:tcPr>
          <w:p w14:paraId="20D065C0" w14:textId="3F8F35A8" w:rsidR="00E133C1" w:rsidRPr="006C5EBD" w:rsidRDefault="00E133C1" w:rsidP="00E133C1">
            <w:pPr>
              <w:pStyle w:val="NoSpacing"/>
              <w:jc w:val="center"/>
            </w:pPr>
            <w:r w:rsidRPr="006C5EBD">
              <w:t>One-time gifts</w:t>
            </w:r>
          </w:p>
        </w:tc>
        <w:tc>
          <w:tcPr>
            <w:tcW w:w="4675" w:type="dxa"/>
            <w:vMerge/>
          </w:tcPr>
          <w:p w14:paraId="75DC3FBA" w14:textId="56380E73" w:rsidR="00E133C1" w:rsidRDefault="00E133C1" w:rsidP="00E133C1">
            <w:pPr>
              <w:pStyle w:val="NoSpacing"/>
            </w:pPr>
          </w:p>
        </w:tc>
      </w:tr>
      <w:tr w:rsidR="00E133C1" w:rsidRPr="00E133C1" w14:paraId="3BA88B9C" w14:textId="77777777" w:rsidTr="00AC728E">
        <w:tc>
          <w:tcPr>
            <w:tcW w:w="4675" w:type="dxa"/>
          </w:tcPr>
          <w:p w14:paraId="1EE7FAD8" w14:textId="4F1EC856" w:rsidR="00E133C1" w:rsidRPr="006C5EBD" w:rsidRDefault="00E133C1" w:rsidP="00E133C1">
            <w:pPr>
              <w:pStyle w:val="NoSpacing"/>
              <w:jc w:val="center"/>
            </w:pPr>
            <w:r>
              <w:t>Tax refunds</w:t>
            </w:r>
          </w:p>
        </w:tc>
        <w:tc>
          <w:tcPr>
            <w:tcW w:w="4675" w:type="dxa"/>
            <w:vMerge/>
          </w:tcPr>
          <w:p w14:paraId="448EF70D" w14:textId="77777777" w:rsidR="00E133C1" w:rsidRDefault="00E133C1" w:rsidP="00E133C1">
            <w:pPr>
              <w:pStyle w:val="NoSpacing"/>
            </w:pPr>
          </w:p>
        </w:tc>
      </w:tr>
      <w:tr w:rsidR="00E133C1" w:rsidRPr="00E133C1" w14:paraId="55615244" w14:textId="77777777" w:rsidTr="00AC728E">
        <w:tc>
          <w:tcPr>
            <w:tcW w:w="4675" w:type="dxa"/>
          </w:tcPr>
          <w:p w14:paraId="58294C5C" w14:textId="4752A9BE" w:rsidR="00E133C1" w:rsidRPr="006C5EBD" w:rsidRDefault="00E133C1" w:rsidP="00E133C1">
            <w:pPr>
              <w:pStyle w:val="NoSpacing"/>
              <w:jc w:val="center"/>
            </w:pPr>
            <w:r>
              <w:t>Loans</w:t>
            </w:r>
          </w:p>
        </w:tc>
        <w:tc>
          <w:tcPr>
            <w:tcW w:w="4675" w:type="dxa"/>
            <w:vMerge/>
          </w:tcPr>
          <w:p w14:paraId="43635930" w14:textId="77777777" w:rsidR="00E133C1" w:rsidRDefault="00E133C1" w:rsidP="00E133C1">
            <w:pPr>
              <w:pStyle w:val="NoSpacing"/>
            </w:pPr>
          </w:p>
        </w:tc>
      </w:tr>
      <w:tr w:rsidR="00E133C1" w:rsidRPr="00E133C1" w14:paraId="7FC83B19" w14:textId="77777777" w:rsidTr="00AC728E">
        <w:tc>
          <w:tcPr>
            <w:tcW w:w="4675" w:type="dxa"/>
          </w:tcPr>
          <w:p w14:paraId="5A11FF11" w14:textId="2CCDAD30" w:rsidR="00E133C1" w:rsidRPr="006C5EBD" w:rsidRDefault="00E133C1" w:rsidP="00E133C1">
            <w:pPr>
              <w:pStyle w:val="NoSpacing"/>
              <w:jc w:val="center"/>
            </w:pPr>
            <w:r w:rsidRPr="006C5EBD">
              <w:t>Lump sum inheritances;</w:t>
            </w:r>
          </w:p>
        </w:tc>
        <w:tc>
          <w:tcPr>
            <w:tcW w:w="4675" w:type="dxa"/>
            <w:vMerge/>
          </w:tcPr>
          <w:p w14:paraId="7F7327BB" w14:textId="77777777" w:rsidR="00E133C1" w:rsidRDefault="00E133C1" w:rsidP="00E133C1">
            <w:pPr>
              <w:pStyle w:val="NoSpacing"/>
            </w:pPr>
          </w:p>
        </w:tc>
      </w:tr>
      <w:tr w:rsidR="00E133C1" w:rsidRPr="00E133C1" w14:paraId="34D07909" w14:textId="77777777" w:rsidTr="00AC728E">
        <w:tc>
          <w:tcPr>
            <w:tcW w:w="4675" w:type="dxa"/>
          </w:tcPr>
          <w:p w14:paraId="2153E48D" w14:textId="122C2A0A" w:rsidR="00E133C1" w:rsidRPr="006C5EBD" w:rsidRDefault="00E133C1" w:rsidP="00E133C1">
            <w:pPr>
              <w:pStyle w:val="NoSpacing"/>
              <w:jc w:val="center"/>
            </w:pPr>
            <w:r w:rsidRPr="006C5EBD">
              <w:lastRenderedPageBreak/>
              <w:t>One-time insurance payments, or compensation for injury</w:t>
            </w:r>
          </w:p>
        </w:tc>
        <w:tc>
          <w:tcPr>
            <w:tcW w:w="4675" w:type="dxa"/>
            <w:vMerge/>
          </w:tcPr>
          <w:p w14:paraId="2A73BAC2" w14:textId="77777777" w:rsidR="00E133C1" w:rsidRDefault="00E133C1" w:rsidP="00E133C1">
            <w:pPr>
              <w:pStyle w:val="NoSpacing"/>
            </w:pPr>
          </w:p>
        </w:tc>
      </w:tr>
      <w:tr w:rsidR="00E133C1" w:rsidRPr="00E133C1" w14:paraId="652A880B" w14:textId="77777777" w:rsidTr="00AC728E">
        <w:tc>
          <w:tcPr>
            <w:tcW w:w="4675" w:type="dxa"/>
          </w:tcPr>
          <w:p w14:paraId="1F9AAF59" w14:textId="2AA115E2" w:rsidR="00E133C1" w:rsidRPr="006C5EBD" w:rsidRDefault="00E133C1" w:rsidP="00E133C1">
            <w:pPr>
              <w:pStyle w:val="NoSpacing"/>
              <w:jc w:val="center"/>
            </w:pPr>
            <w:r>
              <w:t>Individual Retirement Account (IRA)</w:t>
            </w:r>
            <w:r w:rsidRPr="006C5EBD">
              <w:t xml:space="preserve"> withdrawals</w:t>
            </w:r>
          </w:p>
        </w:tc>
        <w:tc>
          <w:tcPr>
            <w:tcW w:w="4675" w:type="dxa"/>
            <w:vMerge/>
          </w:tcPr>
          <w:p w14:paraId="0C4599D0" w14:textId="77777777" w:rsidR="00E133C1" w:rsidRDefault="00E133C1" w:rsidP="00E133C1">
            <w:pPr>
              <w:pStyle w:val="NoSpacing"/>
            </w:pPr>
          </w:p>
        </w:tc>
      </w:tr>
      <w:tr w:rsidR="00E133C1" w:rsidRPr="00E133C1" w14:paraId="4E43078C" w14:textId="77777777" w:rsidTr="00AC728E">
        <w:tc>
          <w:tcPr>
            <w:tcW w:w="4675" w:type="dxa"/>
          </w:tcPr>
          <w:p w14:paraId="6B0E04B5" w14:textId="0D740C12" w:rsidR="00E133C1" w:rsidRDefault="00E133C1" w:rsidP="00E133C1">
            <w:pPr>
              <w:pStyle w:val="NoSpacing"/>
              <w:jc w:val="center"/>
            </w:pPr>
            <w:r w:rsidRPr="006C5EBD">
              <w:t>Cash value of food and fuel produced and consumed on farms</w:t>
            </w:r>
          </w:p>
        </w:tc>
        <w:tc>
          <w:tcPr>
            <w:tcW w:w="4675" w:type="dxa"/>
            <w:vMerge/>
          </w:tcPr>
          <w:p w14:paraId="13D7862C" w14:textId="77777777" w:rsidR="00E133C1" w:rsidRDefault="00E133C1" w:rsidP="00E133C1">
            <w:pPr>
              <w:pStyle w:val="NoSpacing"/>
            </w:pPr>
          </w:p>
        </w:tc>
      </w:tr>
      <w:tr w:rsidR="00E133C1" w:rsidRPr="00E133C1" w14:paraId="1E231B8D" w14:textId="77777777" w:rsidTr="00AC728E">
        <w:tc>
          <w:tcPr>
            <w:tcW w:w="4675" w:type="dxa"/>
          </w:tcPr>
          <w:p w14:paraId="40AD311A" w14:textId="630422CC" w:rsidR="00E133C1" w:rsidRDefault="00E133C1" w:rsidP="00E133C1">
            <w:pPr>
              <w:pStyle w:val="NoSpacing"/>
              <w:jc w:val="center"/>
            </w:pPr>
            <w:r w:rsidRPr="006C5EBD">
              <w:t>Imputed value of rent from owner-occupied non-farm or farm housing</w:t>
            </w:r>
          </w:p>
        </w:tc>
        <w:tc>
          <w:tcPr>
            <w:tcW w:w="4675" w:type="dxa"/>
            <w:vMerge/>
          </w:tcPr>
          <w:p w14:paraId="4F417B46" w14:textId="77777777" w:rsidR="00E133C1" w:rsidRDefault="00E133C1" w:rsidP="00E133C1">
            <w:pPr>
              <w:pStyle w:val="NoSpacing"/>
            </w:pPr>
          </w:p>
        </w:tc>
      </w:tr>
      <w:tr w:rsidR="00E133C1" w:rsidRPr="00E133C1" w14:paraId="15BBA851" w14:textId="77777777" w:rsidTr="00AC728E">
        <w:tc>
          <w:tcPr>
            <w:tcW w:w="4675" w:type="dxa"/>
          </w:tcPr>
          <w:p w14:paraId="594A3C88" w14:textId="0DC37060" w:rsidR="00E133C1" w:rsidRDefault="00E133C1" w:rsidP="00E133C1">
            <w:pPr>
              <w:pStyle w:val="NoSpacing"/>
              <w:jc w:val="center"/>
            </w:pPr>
            <w:r w:rsidRPr="006C5EBD">
              <w:t>Payments received under the Trade Readjustment Act of 1974</w:t>
            </w:r>
            <w:r>
              <w:t xml:space="preserve"> (as amended)</w:t>
            </w:r>
          </w:p>
        </w:tc>
        <w:tc>
          <w:tcPr>
            <w:tcW w:w="4675" w:type="dxa"/>
            <w:vMerge/>
          </w:tcPr>
          <w:p w14:paraId="10011CD4" w14:textId="77777777" w:rsidR="00E133C1" w:rsidRDefault="00E133C1" w:rsidP="00E133C1">
            <w:pPr>
              <w:pStyle w:val="NoSpacing"/>
            </w:pPr>
          </w:p>
        </w:tc>
      </w:tr>
      <w:tr w:rsidR="00E133C1" w:rsidRPr="00E133C1" w14:paraId="00E31A09" w14:textId="77777777" w:rsidTr="00AC728E">
        <w:tc>
          <w:tcPr>
            <w:tcW w:w="4675" w:type="dxa"/>
          </w:tcPr>
          <w:p w14:paraId="7F67DC66" w14:textId="5AB24CF6" w:rsidR="00E133C1" w:rsidRDefault="00E133C1" w:rsidP="00E133C1">
            <w:pPr>
              <w:pStyle w:val="NoSpacing"/>
              <w:jc w:val="center"/>
            </w:pPr>
            <w:r w:rsidRPr="006C5EBD">
              <w:t>Black Lung payments received under the Benefits Reform Act of 1977</w:t>
            </w:r>
          </w:p>
        </w:tc>
        <w:tc>
          <w:tcPr>
            <w:tcW w:w="4675" w:type="dxa"/>
            <w:vMerge/>
          </w:tcPr>
          <w:p w14:paraId="4E7F3362" w14:textId="77777777" w:rsidR="00E133C1" w:rsidRDefault="00E133C1" w:rsidP="00E133C1">
            <w:pPr>
              <w:pStyle w:val="NoSpacing"/>
            </w:pPr>
          </w:p>
        </w:tc>
      </w:tr>
      <w:tr w:rsidR="00E133C1" w:rsidRPr="00E133C1" w14:paraId="1FCBABED" w14:textId="77777777" w:rsidTr="00AC728E">
        <w:tc>
          <w:tcPr>
            <w:tcW w:w="4675" w:type="dxa"/>
          </w:tcPr>
          <w:p w14:paraId="3EBFFB43" w14:textId="3E0BBC91" w:rsidR="00E133C1" w:rsidRDefault="00E133C1" w:rsidP="00E133C1">
            <w:pPr>
              <w:pStyle w:val="NoSpacing"/>
              <w:jc w:val="center"/>
            </w:pPr>
            <w:r w:rsidRPr="006C5EBD">
              <w:t>Terminal leave pay; severance pay or a cash-out of unused accrued vacation time</w:t>
            </w:r>
          </w:p>
        </w:tc>
        <w:tc>
          <w:tcPr>
            <w:tcW w:w="4675" w:type="dxa"/>
            <w:vMerge/>
          </w:tcPr>
          <w:p w14:paraId="66171D4B" w14:textId="77777777" w:rsidR="00E133C1" w:rsidRDefault="00E133C1" w:rsidP="00E133C1">
            <w:pPr>
              <w:pStyle w:val="NoSpacing"/>
            </w:pPr>
          </w:p>
        </w:tc>
      </w:tr>
      <w:tr w:rsidR="00E133C1" w:rsidRPr="00E133C1" w14:paraId="4BB5792A" w14:textId="77777777" w:rsidTr="00AC728E">
        <w:tc>
          <w:tcPr>
            <w:tcW w:w="4675" w:type="dxa"/>
          </w:tcPr>
          <w:p w14:paraId="142F146E" w14:textId="77777777" w:rsidR="00E133C1" w:rsidRDefault="00E133C1" w:rsidP="00E133C1">
            <w:pPr>
              <w:pStyle w:val="NoSpacing"/>
            </w:pPr>
            <w:r w:rsidRPr="006C5EBD">
              <w:t>Payments to volunteers under the Domestic Volunteer Act of 1973</w:t>
            </w:r>
            <w:r>
              <w:t>.</w:t>
            </w:r>
          </w:p>
          <w:p w14:paraId="0FEE8DCD" w14:textId="77777777" w:rsidR="00E133C1" w:rsidRPr="00E133C1" w:rsidRDefault="00E133C1" w:rsidP="00E133C1">
            <w:pPr>
              <w:pStyle w:val="NoSpacing"/>
              <w:rPr>
                <w:sz w:val="12"/>
                <w:szCs w:val="12"/>
              </w:rPr>
            </w:pPr>
          </w:p>
          <w:p w14:paraId="3B9A561D" w14:textId="12BF0414" w:rsidR="00E133C1" w:rsidRDefault="00E133C1" w:rsidP="00E133C1">
            <w:pPr>
              <w:pStyle w:val="NoSpacing"/>
            </w:pPr>
            <w:r>
              <w:t>This includes:</w:t>
            </w:r>
          </w:p>
          <w:p w14:paraId="7EBBEF29" w14:textId="0AF90769" w:rsidR="00E133C1" w:rsidRPr="006C5EBD" w:rsidRDefault="00E133C1" w:rsidP="00E133C1">
            <w:pPr>
              <w:pStyle w:val="NoSpacing"/>
              <w:numPr>
                <w:ilvl w:val="0"/>
                <w:numId w:val="60"/>
              </w:numPr>
            </w:pPr>
            <w:r w:rsidRPr="006C5EBD">
              <w:t>AmeriCorps</w:t>
            </w:r>
            <w:r>
              <w:t>,</w:t>
            </w:r>
          </w:p>
          <w:p w14:paraId="583D2302" w14:textId="5D7399A1" w:rsidR="00E133C1" w:rsidRPr="006C5EBD" w:rsidRDefault="00E133C1" w:rsidP="00E133C1">
            <w:pPr>
              <w:pStyle w:val="NoSpacing"/>
              <w:numPr>
                <w:ilvl w:val="0"/>
                <w:numId w:val="60"/>
              </w:numPr>
            </w:pPr>
            <w:r w:rsidRPr="006C5EBD">
              <w:t>Volunteers in Service to America (VISTA)</w:t>
            </w:r>
            <w:r>
              <w:t>,</w:t>
            </w:r>
          </w:p>
          <w:p w14:paraId="693702ED" w14:textId="0EAD8C05" w:rsidR="00E133C1" w:rsidRPr="006C5EBD" w:rsidRDefault="00E133C1" w:rsidP="00E133C1">
            <w:pPr>
              <w:pStyle w:val="NoSpacing"/>
              <w:numPr>
                <w:ilvl w:val="0"/>
                <w:numId w:val="60"/>
              </w:numPr>
            </w:pPr>
            <w:r w:rsidRPr="006C5EBD">
              <w:t>Retired Senior Volunteer Program</w:t>
            </w:r>
            <w:r>
              <w:t>,</w:t>
            </w:r>
          </w:p>
          <w:p w14:paraId="0E00316D" w14:textId="7842C559" w:rsidR="00E133C1" w:rsidRDefault="00E133C1" w:rsidP="00E133C1">
            <w:pPr>
              <w:pStyle w:val="NoSpacing"/>
              <w:numPr>
                <w:ilvl w:val="0"/>
                <w:numId w:val="60"/>
              </w:numPr>
            </w:pPr>
            <w:r w:rsidRPr="006C5EBD">
              <w:t>Foster Grandparent Program</w:t>
            </w:r>
            <w:r>
              <w:t>,</w:t>
            </w:r>
          </w:p>
          <w:p w14:paraId="5B9208C6" w14:textId="77777777" w:rsidR="00E133C1" w:rsidRDefault="00E133C1" w:rsidP="00E133C1">
            <w:pPr>
              <w:pStyle w:val="NoSpacing"/>
              <w:numPr>
                <w:ilvl w:val="0"/>
                <w:numId w:val="60"/>
              </w:numPr>
            </w:pPr>
            <w:r w:rsidRPr="006C5EBD">
              <w:t>Youthful offender incarceration</w:t>
            </w:r>
            <w:r>
              <w:t xml:space="preserve"> </w:t>
            </w:r>
            <w:r w:rsidRPr="006C5EBD">
              <w:t>alternatives</w:t>
            </w:r>
            <w:r>
              <w:t>, and,</w:t>
            </w:r>
          </w:p>
          <w:p w14:paraId="225B1515" w14:textId="55044209" w:rsidR="00E133C1" w:rsidRPr="006C5EBD" w:rsidRDefault="00E133C1" w:rsidP="00E133C1">
            <w:pPr>
              <w:pStyle w:val="NoSpacing"/>
              <w:numPr>
                <w:ilvl w:val="0"/>
                <w:numId w:val="60"/>
              </w:numPr>
            </w:pPr>
            <w:r w:rsidRPr="006C5EBD">
              <w:t>Senior companions</w:t>
            </w:r>
            <w:r>
              <w:t>.</w:t>
            </w:r>
          </w:p>
          <w:p w14:paraId="16A7E6FB" w14:textId="16DC12B5" w:rsidR="00E133C1" w:rsidRPr="00E133C1" w:rsidRDefault="00E133C1" w:rsidP="00E133C1">
            <w:pPr>
              <w:pStyle w:val="NoSpacing"/>
              <w:rPr>
                <w:sz w:val="8"/>
                <w:szCs w:val="8"/>
              </w:rPr>
            </w:pPr>
          </w:p>
        </w:tc>
        <w:tc>
          <w:tcPr>
            <w:tcW w:w="4675" w:type="dxa"/>
            <w:vMerge/>
          </w:tcPr>
          <w:p w14:paraId="4254D67E" w14:textId="77777777" w:rsidR="00E133C1" w:rsidRDefault="00E133C1" w:rsidP="00E133C1">
            <w:pPr>
              <w:pStyle w:val="NoSpacing"/>
            </w:pPr>
          </w:p>
        </w:tc>
      </w:tr>
      <w:tr w:rsidR="00E133C1" w:rsidRPr="00E133C1" w14:paraId="47FCCB6F" w14:textId="77777777" w:rsidTr="00AC728E">
        <w:tc>
          <w:tcPr>
            <w:tcW w:w="4675" w:type="dxa"/>
          </w:tcPr>
          <w:p w14:paraId="05C5B6D0" w14:textId="25F219C7" w:rsidR="00E133C1" w:rsidRPr="006C5EBD" w:rsidRDefault="00E133C1" w:rsidP="00E133C1">
            <w:pPr>
              <w:pStyle w:val="NoSpacing"/>
              <w:jc w:val="center"/>
            </w:pPr>
            <w:r w:rsidRPr="00E133C1">
              <w:t>Allowances, earnings and payments to participants under the National and Community Service Act of 1990</w:t>
            </w:r>
          </w:p>
        </w:tc>
        <w:tc>
          <w:tcPr>
            <w:tcW w:w="4675" w:type="dxa"/>
            <w:vMerge/>
          </w:tcPr>
          <w:p w14:paraId="0D0305A9" w14:textId="77777777" w:rsidR="00E133C1" w:rsidRDefault="00E133C1" w:rsidP="00E133C1">
            <w:pPr>
              <w:pStyle w:val="NoSpacing"/>
            </w:pPr>
          </w:p>
        </w:tc>
      </w:tr>
      <w:tr w:rsidR="00E133C1" w:rsidRPr="00E133C1" w14:paraId="495B31CB" w14:textId="77777777" w:rsidTr="00AC728E">
        <w:tc>
          <w:tcPr>
            <w:tcW w:w="4675" w:type="dxa"/>
          </w:tcPr>
          <w:p w14:paraId="09989D06" w14:textId="53CE120C" w:rsidR="00E133C1" w:rsidRPr="00E133C1" w:rsidRDefault="00E133C1" w:rsidP="00E133C1">
            <w:pPr>
              <w:pStyle w:val="NoSpacing"/>
              <w:jc w:val="center"/>
            </w:pPr>
            <w:r w:rsidRPr="00E133C1">
              <w:t>Payments or allowances made under the U.S. Department of Health and Human Services Low-Income Home Energy Assistance Program;</w:t>
            </w:r>
          </w:p>
        </w:tc>
        <w:tc>
          <w:tcPr>
            <w:tcW w:w="4675" w:type="dxa"/>
            <w:vMerge/>
          </w:tcPr>
          <w:p w14:paraId="3ECC941F" w14:textId="77777777" w:rsidR="00E133C1" w:rsidRDefault="00E133C1" w:rsidP="00E133C1">
            <w:pPr>
              <w:pStyle w:val="NoSpacing"/>
            </w:pPr>
          </w:p>
        </w:tc>
      </w:tr>
      <w:tr w:rsidR="00E133C1" w:rsidRPr="00E133C1" w14:paraId="73882B29" w14:textId="77777777" w:rsidTr="00AC728E">
        <w:tc>
          <w:tcPr>
            <w:tcW w:w="4675" w:type="dxa"/>
          </w:tcPr>
          <w:p w14:paraId="518EFBBD" w14:textId="0DD70973" w:rsidR="00E133C1" w:rsidRPr="00E133C1" w:rsidRDefault="00E133C1" w:rsidP="00E133C1">
            <w:pPr>
              <w:pStyle w:val="NoSpacing"/>
              <w:jc w:val="center"/>
            </w:pPr>
            <w:r w:rsidRPr="00E133C1">
              <w:t>Earned income tax credit refund payments received on or after January 1, 1991, including advanced earned income credit payments;</w:t>
            </w:r>
          </w:p>
        </w:tc>
        <w:tc>
          <w:tcPr>
            <w:tcW w:w="4675" w:type="dxa"/>
            <w:vMerge/>
          </w:tcPr>
          <w:p w14:paraId="755C5DD2" w14:textId="77777777" w:rsidR="00E133C1" w:rsidRDefault="00E133C1" w:rsidP="00E133C1">
            <w:pPr>
              <w:pStyle w:val="NoSpacing"/>
            </w:pPr>
          </w:p>
        </w:tc>
      </w:tr>
      <w:tr w:rsidR="00E133C1" w:rsidRPr="00E133C1" w14:paraId="70C4D96E" w14:textId="77777777" w:rsidTr="00AC728E">
        <w:tc>
          <w:tcPr>
            <w:tcW w:w="4675" w:type="dxa"/>
          </w:tcPr>
          <w:p w14:paraId="3ECA1D2A" w14:textId="13D5EA26" w:rsidR="00E133C1" w:rsidRPr="00E133C1" w:rsidRDefault="00E133C1" w:rsidP="00E133C1">
            <w:pPr>
              <w:pStyle w:val="NoSpacing"/>
              <w:jc w:val="center"/>
            </w:pPr>
            <w:r w:rsidRPr="006C5EBD">
              <w:t xml:space="preserve">Any crime victim compensation </w:t>
            </w:r>
            <w:r>
              <w:t xml:space="preserve">made </w:t>
            </w:r>
            <w:r w:rsidRPr="006C5EBD">
              <w:t>under the Victims of Crime Act</w:t>
            </w:r>
            <w:r>
              <w:t xml:space="preserve"> </w:t>
            </w:r>
            <w:r w:rsidRPr="006C5EBD">
              <w:t>received through crime victim assistance (or payment or reimbursement of the cost of such assistance) as determined under the Victims of Crime Act because of the commission of a crime against the applicant</w:t>
            </w:r>
            <w:r>
              <w:t>.</w:t>
            </w:r>
          </w:p>
        </w:tc>
        <w:tc>
          <w:tcPr>
            <w:tcW w:w="4675" w:type="dxa"/>
            <w:vMerge/>
          </w:tcPr>
          <w:p w14:paraId="6ACDB5D0" w14:textId="77777777" w:rsidR="00E133C1" w:rsidRDefault="00E133C1" w:rsidP="00E133C1">
            <w:pPr>
              <w:pStyle w:val="NoSpacing"/>
            </w:pPr>
          </w:p>
        </w:tc>
      </w:tr>
    </w:tbl>
    <w:p w14:paraId="73D00A26" w14:textId="77777777" w:rsidR="006C5EBD" w:rsidRPr="00E133C1" w:rsidRDefault="006C5EBD" w:rsidP="00855068">
      <w:pPr>
        <w:pStyle w:val="NoSpacing"/>
        <w:rPr>
          <w:color w:val="333333"/>
          <w:sz w:val="12"/>
          <w:szCs w:val="12"/>
        </w:rPr>
      </w:pPr>
    </w:p>
    <w:p w14:paraId="78FB527A" w14:textId="2F579A2C" w:rsidR="000C2514" w:rsidRDefault="00E133C1" w:rsidP="00E133C1">
      <w:pPr>
        <w:pStyle w:val="NoSpacing"/>
      </w:pPr>
      <w:r>
        <w:rPr>
          <w:b/>
          <w:bCs/>
        </w:rPr>
        <w:t xml:space="preserve">Note: </w:t>
      </w:r>
      <w:r>
        <w:t xml:space="preserve">Any income source </w:t>
      </w:r>
      <w:r w:rsidRPr="00E133C1">
        <w:rPr>
          <w:u w:val="single"/>
        </w:rPr>
        <w:t>not</w:t>
      </w:r>
      <w:r>
        <w:t xml:space="preserve"> included on the exclusions list (Table Six) of incomes should be interpreted as being an income source.</w:t>
      </w:r>
      <w:r w:rsidR="00A27CA4">
        <w:t xml:space="preserve"> Providers can always contact their Program Coordinator for cases needing additional guidance. </w:t>
      </w:r>
    </w:p>
    <w:sectPr w:rsidR="000C251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D1FA1" w14:textId="77777777" w:rsidR="00420EEB" w:rsidRDefault="00420EEB" w:rsidP="001602B9">
      <w:pPr>
        <w:spacing w:after="0" w:line="240" w:lineRule="auto"/>
      </w:pPr>
      <w:r>
        <w:separator/>
      </w:r>
    </w:p>
  </w:endnote>
  <w:endnote w:type="continuationSeparator" w:id="0">
    <w:p w14:paraId="557BD25E" w14:textId="77777777" w:rsidR="00420EEB" w:rsidRDefault="00420EEB" w:rsidP="00160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BF62" w14:textId="77777777" w:rsidR="00A50B54" w:rsidRDefault="00A50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79D0" w14:textId="2842CD36" w:rsidR="002666EA" w:rsidRPr="002666EA" w:rsidRDefault="002666EA" w:rsidP="002666EA">
    <w:pPr>
      <w:pStyle w:val="Footer"/>
    </w:pPr>
    <w:r>
      <w:t xml:space="preserve">Last Updated </w:t>
    </w:r>
    <w:r w:rsidR="00A50B54">
      <w:t>4</w:t>
    </w:r>
    <w:r>
      <w:t>/</w:t>
    </w:r>
    <w:r w:rsidR="00A50B54">
      <w:t>16</w:t>
    </w:r>
    <w:r>
      <w:t xml:space="preserve">/25 </w:t>
    </w:r>
    <w:r>
      <w:tab/>
      <w:t xml:space="preserve">                                                                                                                                  Page | </w:t>
    </w: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26A0" w14:textId="77777777" w:rsidR="00A50B54" w:rsidRDefault="00A50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3BA79" w14:textId="77777777" w:rsidR="00420EEB" w:rsidRDefault="00420EEB" w:rsidP="001602B9">
      <w:pPr>
        <w:spacing w:after="0" w:line="240" w:lineRule="auto"/>
      </w:pPr>
      <w:r>
        <w:separator/>
      </w:r>
    </w:p>
  </w:footnote>
  <w:footnote w:type="continuationSeparator" w:id="0">
    <w:p w14:paraId="45396F08" w14:textId="77777777" w:rsidR="00420EEB" w:rsidRDefault="00420EEB" w:rsidP="001602B9">
      <w:pPr>
        <w:spacing w:after="0" w:line="240" w:lineRule="auto"/>
      </w:pPr>
      <w:r>
        <w:continuationSeparator/>
      </w:r>
    </w:p>
  </w:footnote>
  <w:footnote w:id="1">
    <w:p w14:paraId="4CB26FE8" w14:textId="2CA5A462" w:rsidR="000F43A8" w:rsidRDefault="000F43A8">
      <w:pPr>
        <w:pStyle w:val="FootnoteText"/>
      </w:pPr>
      <w:r>
        <w:rPr>
          <w:rStyle w:val="FootnoteReference"/>
        </w:rPr>
        <w:footnoteRef/>
      </w:r>
      <w:r>
        <w:t xml:space="preserve"> </w:t>
      </w:r>
      <w:r w:rsidRPr="000F43A8">
        <w:t>20 CFR 680.140(b)(6)</w:t>
      </w:r>
    </w:p>
  </w:footnote>
  <w:footnote w:id="2">
    <w:p w14:paraId="47105125" w14:textId="2C0A198D" w:rsidR="00AC41E3" w:rsidRDefault="00AC41E3">
      <w:pPr>
        <w:pStyle w:val="FootnoteText"/>
      </w:pPr>
      <w:r>
        <w:rPr>
          <w:rStyle w:val="FootnoteReference"/>
        </w:rPr>
        <w:footnoteRef/>
      </w:r>
      <w:r>
        <w:t xml:space="preserve"> </w:t>
      </w:r>
      <w:r w:rsidRPr="00AC41E3">
        <w:t>20 CFR 680.140(b)(6)</w:t>
      </w:r>
    </w:p>
  </w:footnote>
  <w:footnote w:id="3">
    <w:p w14:paraId="2EB8104C" w14:textId="6F1406CC" w:rsidR="00BF5044" w:rsidRPr="00F15AE5" w:rsidRDefault="00BF5044">
      <w:pPr>
        <w:pStyle w:val="FootnoteText"/>
        <w:rPr>
          <w:rFonts w:cstheme="minorHAnsi"/>
        </w:rPr>
      </w:pPr>
      <w:r>
        <w:rPr>
          <w:rStyle w:val="FootnoteReference"/>
        </w:rPr>
        <w:footnoteRef/>
      </w:r>
      <w:r w:rsidR="00F15AE5" w:rsidRPr="00F15AE5">
        <w:rPr>
          <w:rFonts w:cstheme="minorHAnsi"/>
        </w:rPr>
        <w:t>WIOA Sec. 2(6) and</w:t>
      </w:r>
      <w:r w:rsidRPr="00F15AE5">
        <w:rPr>
          <w:rFonts w:cstheme="minorHAnsi"/>
        </w:rPr>
        <w:t xml:space="preserve"> </w:t>
      </w:r>
      <w:r w:rsidRPr="00F15AE5">
        <w:rPr>
          <w:rFonts w:cstheme="minorHAnsi"/>
          <w:color w:val="333333"/>
          <w:shd w:val="clear" w:color="auto" w:fill="FFFFFF"/>
        </w:rPr>
        <w:t>20 CFR 675.100(h)</w:t>
      </w:r>
    </w:p>
  </w:footnote>
  <w:footnote w:id="4">
    <w:p w14:paraId="7FA6D7EB" w14:textId="593DF999" w:rsidR="008D7A2E" w:rsidRDefault="008D7A2E">
      <w:pPr>
        <w:pStyle w:val="FootnoteText"/>
      </w:pPr>
      <w:r w:rsidRPr="00F15AE5">
        <w:rPr>
          <w:rStyle w:val="FootnoteReference"/>
          <w:rFonts w:cstheme="minorHAnsi"/>
        </w:rPr>
        <w:footnoteRef/>
      </w:r>
      <w:r w:rsidR="00F15AE5" w:rsidRPr="00F15AE5">
        <w:rPr>
          <w:rFonts w:cstheme="minorHAnsi"/>
        </w:rPr>
        <w:t xml:space="preserve">WIOA Sec. 2(3) and </w:t>
      </w:r>
      <w:r w:rsidRPr="00F15AE5">
        <w:rPr>
          <w:rFonts w:cstheme="minorHAnsi"/>
          <w:color w:val="333333"/>
          <w:shd w:val="clear" w:color="auto" w:fill="FFFFFF"/>
        </w:rPr>
        <w:t>20 CFR 675.100(e)</w:t>
      </w:r>
    </w:p>
  </w:footnote>
  <w:footnote w:id="5">
    <w:p w14:paraId="3B4AD871" w14:textId="05B18041" w:rsidR="00C11CF7" w:rsidRDefault="00C11CF7">
      <w:pPr>
        <w:pStyle w:val="FootnoteText"/>
      </w:pPr>
      <w:r>
        <w:rPr>
          <w:rStyle w:val="FootnoteReference"/>
        </w:rPr>
        <w:footnoteRef/>
      </w:r>
      <w:r>
        <w:t xml:space="preserve"> WIOA Sec. 134</w:t>
      </w:r>
    </w:p>
  </w:footnote>
  <w:footnote w:id="6">
    <w:p w14:paraId="6F62B98D" w14:textId="77777777" w:rsidR="00AC728E" w:rsidRDefault="00AC728E" w:rsidP="00AC728E">
      <w:pPr>
        <w:pStyle w:val="FootnoteText"/>
      </w:pPr>
      <w:r>
        <w:rPr>
          <w:rStyle w:val="FootnoteReference"/>
        </w:rPr>
        <w:footnoteRef/>
      </w:r>
      <w:r>
        <w:t xml:space="preserve"> “Low-income individuals” are considered to have barriers to employment per WIOA Sec. 3(24)</w:t>
      </w:r>
    </w:p>
  </w:footnote>
  <w:footnote w:id="7">
    <w:p w14:paraId="66B8C70A" w14:textId="77777777" w:rsidR="00E133C1" w:rsidRDefault="00E133C1" w:rsidP="00E133C1">
      <w:pPr>
        <w:pStyle w:val="FootnoteText"/>
      </w:pPr>
      <w:r>
        <w:rPr>
          <w:rStyle w:val="FootnoteReference"/>
        </w:rPr>
        <w:footnoteRef/>
      </w:r>
      <w:r>
        <w:t xml:space="preserve"> </w:t>
      </w:r>
      <w:r w:rsidRPr="00F837D9">
        <w:t>WIOA Sec. 3(36) and TEGL 19-16, Attachment III (Pages Seven and Eight)</w:t>
      </w:r>
    </w:p>
  </w:footnote>
  <w:footnote w:id="8">
    <w:p w14:paraId="2D83C6B7" w14:textId="1AA9FE55" w:rsidR="00A70F4F" w:rsidRDefault="00A70F4F">
      <w:pPr>
        <w:pStyle w:val="FootnoteText"/>
      </w:pPr>
      <w:r>
        <w:rPr>
          <w:rStyle w:val="FootnoteReference"/>
        </w:rPr>
        <w:footnoteRef/>
      </w:r>
      <w:r>
        <w:t xml:space="preserve"> </w:t>
      </w:r>
      <w:r w:rsidRPr="00A70F4F">
        <w:t>20 CFR 680.210(a)(1)</w:t>
      </w:r>
    </w:p>
  </w:footnote>
  <w:footnote w:id="9">
    <w:p w14:paraId="2FD6461D" w14:textId="1E962E0E" w:rsidR="00A70F4F" w:rsidRDefault="00A70F4F">
      <w:pPr>
        <w:pStyle w:val="FootnoteText"/>
      </w:pPr>
      <w:r>
        <w:rPr>
          <w:rStyle w:val="FootnoteReference"/>
        </w:rPr>
        <w:footnoteRef/>
      </w:r>
      <w:r>
        <w:t xml:space="preserve"> </w:t>
      </w:r>
      <w:r w:rsidRPr="00A70F4F">
        <w:t>20 CFR 680.210(a)(2)</w:t>
      </w:r>
    </w:p>
  </w:footnote>
  <w:footnote w:id="10">
    <w:p w14:paraId="1DE5677D" w14:textId="7CE4BB25" w:rsidR="00E133C1" w:rsidRDefault="00E133C1">
      <w:pPr>
        <w:pStyle w:val="FootnoteText"/>
      </w:pPr>
      <w:r>
        <w:rPr>
          <w:rStyle w:val="FootnoteReference"/>
        </w:rPr>
        <w:footnoteRef/>
      </w:r>
      <w:r>
        <w:t xml:space="preserve"> </w:t>
      </w:r>
      <w:r w:rsidRPr="00E133C1">
        <w:t>89 FR Notice 26935</w:t>
      </w:r>
    </w:p>
  </w:footnote>
  <w:footnote w:id="11">
    <w:p w14:paraId="751E8929" w14:textId="77C3AFE5" w:rsidR="00AC41E3" w:rsidRDefault="00AC41E3">
      <w:pPr>
        <w:pStyle w:val="FootnoteText"/>
      </w:pPr>
      <w:r>
        <w:rPr>
          <w:rStyle w:val="FootnoteReference"/>
        </w:rPr>
        <w:footnoteRef/>
      </w:r>
      <w:r>
        <w:t xml:space="preserve"> </w:t>
      </w:r>
      <w:r w:rsidRPr="00AC41E3">
        <w:t>20 CFR 680.140(b)(6)</w:t>
      </w:r>
    </w:p>
  </w:footnote>
  <w:footnote w:id="12">
    <w:p w14:paraId="6F431F5F" w14:textId="25463B63" w:rsidR="002666EA" w:rsidRDefault="002666EA">
      <w:pPr>
        <w:pStyle w:val="FootnoteText"/>
      </w:pPr>
      <w:r>
        <w:rPr>
          <w:rStyle w:val="FootnoteReference"/>
        </w:rPr>
        <w:footnoteRef/>
      </w:r>
      <w:r>
        <w:t xml:space="preserve"> </w:t>
      </w:r>
      <w:r w:rsidRPr="002666EA">
        <w:t>20 CFR 680.140(b)</w:t>
      </w:r>
      <w:r>
        <w:t xml:space="preserve"> and </w:t>
      </w:r>
      <w:r w:rsidRPr="002666EA">
        <w:t>20 CFR 680.140(b)(6)</w:t>
      </w:r>
    </w:p>
  </w:footnote>
  <w:footnote w:id="13">
    <w:p w14:paraId="59FC0072" w14:textId="600419A8" w:rsidR="00ED5379" w:rsidRDefault="00ED5379" w:rsidP="00121702">
      <w:pPr>
        <w:pStyle w:val="EndnoteText"/>
      </w:pPr>
      <w:r>
        <w:rPr>
          <w:rStyle w:val="FootnoteReference"/>
        </w:rPr>
        <w:footnoteRef/>
      </w:r>
      <w:r>
        <w:t xml:space="preserve"> MSP MSA as defined by </w:t>
      </w:r>
      <w:hyperlink r:id="rId1" w:history="1">
        <w:r w:rsidRPr="00A832D4">
          <w:rPr>
            <w:rStyle w:val="Hyperlink"/>
          </w:rPr>
          <w:t>Office of Manag</w:t>
        </w:r>
        <w:r w:rsidRPr="00A832D4">
          <w:rPr>
            <w:rStyle w:val="Hyperlink"/>
          </w:rPr>
          <w:t>e</w:t>
        </w:r>
        <w:r w:rsidRPr="00A832D4">
          <w:rPr>
            <w:rStyle w:val="Hyperlink"/>
          </w:rPr>
          <w:t>ment and Budget (OMB) Bulletin NO. 23-01</w:t>
        </w:r>
      </w:hyperlink>
      <w:r>
        <w:t xml:space="preserve"> (July 21, 2023)</w:t>
      </w:r>
    </w:p>
  </w:footnote>
  <w:footnote w:id="14">
    <w:p w14:paraId="4EDACDC2" w14:textId="31C37C3B" w:rsidR="002D3EBE" w:rsidRDefault="002D3EBE">
      <w:pPr>
        <w:pStyle w:val="FootnoteText"/>
      </w:pPr>
      <w:r>
        <w:rPr>
          <w:rStyle w:val="FootnoteReference"/>
        </w:rPr>
        <w:footnoteRef/>
      </w:r>
      <w:r w:rsidR="008A0E7C">
        <w:t>Numbers taken from</w:t>
      </w:r>
      <w:r>
        <w:t xml:space="preserve"> </w:t>
      </w:r>
      <w:r w:rsidRPr="002D3EBE">
        <w:t>89 FR Notice 26935</w:t>
      </w:r>
    </w:p>
  </w:footnote>
  <w:footnote w:id="15">
    <w:p w14:paraId="240A44B7" w14:textId="77777777" w:rsidR="00A50B54" w:rsidRDefault="00A50B54" w:rsidP="00A50B54">
      <w:pPr>
        <w:pStyle w:val="EndnoteText"/>
      </w:pPr>
      <w:r>
        <w:rPr>
          <w:rStyle w:val="FootnoteReference"/>
        </w:rPr>
        <w:footnoteRef/>
      </w:r>
      <w:r>
        <w:t xml:space="preserve"> MSP MSA as defined by </w:t>
      </w:r>
      <w:hyperlink r:id="rId2" w:history="1">
        <w:r w:rsidRPr="00A832D4">
          <w:rPr>
            <w:rStyle w:val="Hyperlink"/>
          </w:rPr>
          <w:t>Office of Management and Budget (OMB) Bulletin NO. 23-01</w:t>
        </w:r>
      </w:hyperlink>
      <w:r>
        <w:t xml:space="preserve"> (July 21, 2023)</w:t>
      </w:r>
    </w:p>
  </w:footnote>
  <w:footnote w:id="16">
    <w:p w14:paraId="54615B3F" w14:textId="152DF1CB" w:rsidR="00447421" w:rsidRDefault="00447421" w:rsidP="00447421">
      <w:pPr>
        <w:pStyle w:val="FootnoteText"/>
      </w:pPr>
      <w:r>
        <w:rPr>
          <w:rStyle w:val="FootnoteReference"/>
        </w:rPr>
        <w:footnoteRef/>
      </w:r>
      <w:r>
        <w:t xml:space="preserve">Numbers taken from </w:t>
      </w:r>
      <w:r w:rsidR="00E133C1" w:rsidRPr="00E133C1">
        <w:t>89 FR</w:t>
      </w:r>
      <w:r w:rsidR="00E133C1">
        <w:t xml:space="preserve"> </w:t>
      </w:r>
      <w:r w:rsidR="00E133C1" w:rsidRPr="00E133C1">
        <w:t>2961</w:t>
      </w:r>
      <w:r w:rsidR="00E133C1">
        <w:t xml:space="preserve"> and </w:t>
      </w:r>
      <w:r w:rsidR="00E133C1" w:rsidRPr="00E133C1">
        <w:t xml:space="preserve">90 </w:t>
      </w:r>
      <w:r w:rsidR="00E133C1" w:rsidRPr="00331746">
        <w:t>F</w:t>
      </w:r>
      <w:r w:rsidR="00E133C1">
        <w:t xml:space="preserve">R Notice </w:t>
      </w:r>
      <w:r w:rsidR="00E133C1" w:rsidRPr="00E133C1">
        <w:t>5917</w:t>
      </w:r>
    </w:p>
  </w:footnote>
  <w:footnote w:id="17">
    <w:p w14:paraId="3CEE1BC7" w14:textId="7EC88F70" w:rsidR="007123FB" w:rsidRDefault="007123FB" w:rsidP="007123FB">
      <w:pPr>
        <w:pStyle w:val="FootnoteText"/>
      </w:pPr>
      <w:r>
        <w:rPr>
          <w:rStyle w:val="FootnoteReference"/>
        </w:rPr>
        <w:footnoteRef/>
      </w:r>
      <w:r w:rsidR="00E133C1">
        <w:t xml:space="preserve">Numbers taken from </w:t>
      </w:r>
      <w:r w:rsidR="00E133C1" w:rsidRPr="00E133C1">
        <w:t xml:space="preserve">90 </w:t>
      </w:r>
      <w:r w:rsidR="00E133C1" w:rsidRPr="00331746">
        <w:t>F</w:t>
      </w:r>
      <w:r w:rsidR="00E133C1">
        <w:t xml:space="preserve">R Notice </w:t>
      </w:r>
      <w:r w:rsidR="00E133C1" w:rsidRPr="00E133C1">
        <w:t>5917</w:t>
      </w:r>
      <w:r w:rsidR="00E133C1">
        <w:t xml:space="preserve"> and </w:t>
      </w:r>
      <w:r w:rsidR="00E133C1" w:rsidRPr="002D3EBE">
        <w:t>89 FR Notice 26935</w:t>
      </w:r>
    </w:p>
  </w:footnote>
  <w:footnote w:id="18">
    <w:p w14:paraId="419093BD" w14:textId="77777777" w:rsidR="00E133C1" w:rsidRPr="00FF552E" w:rsidRDefault="00E133C1" w:rsidP="00E133C1">
      <w:pPr>
        <w:pStyle w:val="FootnoteText"/>
        <w:rPr>
          <w:rFonts w:cstheme="minorHAnsi"/>
        </w:rPr>
      </w:pPr>
      <w:r w:rsidRPr="00FF552E">
        <w:rPr>
          <w:rStyle w:val="FootnoteReference"/>
          <w:rFonts w:cstheme="minorHAnsi"/>
        </w:rPr>
        <w:footnoteRef/>
      </w:r>
      <w:r w:rsidRPr="00FF552E">
        <w:rPr>
          <w:rFonts w:cstheme="minorHAnsi"/>
        </w:rPr>
        <w:t xml:space="preserve"> TEGL 19-16, Attachment III (Page Five)</w:t>
      </w:r>
    </w:p>
  </w:footnote>
  <w:footnote w:id="19">
    <w:p w14:paraId="7143A18D" w14:textId="289ACD3B" w:rsidR="00E133C1" w:rsidRDefault="00E133C1">
      <w:pPr>
        <w:pStyle w:val="FootnoteText"/>
      </w:pPr>
      <w:r>
        <w:rPr>
          <w:rStyle w:val="FootnoteReference"/>
        </w:rPr>
        <w:footnoteRef/>
      </w:r>
      <w:r>
        <w:t xml:space="preserve"> TEGL 10-09, Attachment A (Page 11)</w:t>
      </w:r>
    </w:p>
  </w:footnote>
  <w:footnote w:id="20">
    <w:p w14:paraId="69744551" w14:textId="0F2D3E24" w:rsidR="00E133C1" w:rsidRDefault="00E133C1">
      <w:pPr>
        <w:pStyle w:val="FootnoteText"/>
      </w:pPr>
      <w:r>
        <w:rPr>
          <w:rStyle w:val="FootnoteReference"/>
        </w:rPr>
        <w:footnoteRef/>
      </w:r>
      <w:r>
        <w:t xml:space="preserve"> </w:t>
      </w:r>
      <w:r w:rsidRPr="00E133C1">
        <w:t>TEGL 10-09, Attachment A (Page</w:t>
      </w:r>
      <w:r>
        <w:t>s</w:t>
      </w:r>
      <w:r w:rsidRPr="00E133C1">
        <w:t xml:space="preserve"> 11</w:t>
      </w:r>
      <w:r>
        <w:t xml:space="preserve"> and 12</w:t>
      </w:r>
      <w:r w:rsidRPr="00E133C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85BE" w14:textId="1986ED1D" w:rsidR="00DD10C0" w:rsidRDefault="00DD10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2FE42" w14:textId="68433977" w:rsidR="00632DD1" w:rsidRDefault="00ED4F30">
    <w:pPr>
      <w:pStyle w:val="Header"/>
    </w:pPr>
    <w:r>
      <w:rPr>
        <w:rStyle w:val="wacimagecontainer"/>
        <w:rFonts w:ascii="Segoe UI" w:hAnsi="Segoe UI" w:cs="Segoe UI"/>
        <w:noProof/>
        <w:color w:val="000000"/>
        <w:sz w:val="18"/>
        <w:szCs w:val="18"/>
        <w:shd w:val="clear" w:color="auto" w:fill="FFFFFF"/>
      </w:rPr>
      <w:drawing>
        <wp:anchor distT="0" distB="0" distL="114300" distR="114300" simplePos="0" relativeHeight="251659264" behindDoc="1" locked="0" layoutInCell="1" allowOverlap="1" wp14:anchorId="476A5582" wp14:editId="3979CB54">
          <wp:simplePos x="0" y="0"/>
          <wp:positionH relativeFrom="margin">
            <wp:align>center</wp:align>
          </wp:positionH>
          <wp:positionV relativeFrom="paragraph">
            <wp:posOffset>-92710</wp:posOffset>
          </wp:positionV>
          <wp:extent cx="1074240" cy="355600"/>
          <wp:effectExtent l="0" t="0" r="0" b="6350"/>
          <wp:wrapNone/>
          <wp:docPr id="1916223816" name="Picture 1" descr="Minnesota Department of Employment and Economic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23816" name="Picture 1" descr="Minnesota Department of Employment and Economic Develop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240" cy="35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99BA0" w14:textId="77777777" w:rsidR="00632DD1" w:rsidRDefault="00632D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F10B" w14:textId="34B186A3" w:rsidR="00DD10C0" w:rsidRDefault="00DD1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4E4"/>
    <w:multiLevelType w:val="hybridMultilevel"/>
    <w:tmpl w:val="80D29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41B8B"/>
    <w:multiLevelType w:val="hybridMultilevel"/>
    <w:tmpl w:val="A472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1692E"/>
    <w:multiLevelType w:val="hybridMultilevel"/>
    <w:tmpl w:val="C126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E01F0"/>
    <w:multiLevelType w:val="hybridMultilevel"/>
    <w:tmpl w:val="284E8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94BEF"/>
    <w:multiLevelType w:val="hybridMultilevel"/>
    <w:tmpl w:val="958C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C3D7A"/>
    <w:multiLevelType w:val="hybridMultilevel"/>
    <w:tmpl w:val="5B509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06A1E"/>
    <w:multiLevelType w:val="hybridMultilevel"/>
    <w:tmpl w:val="7FF0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E7C02"/>
    <w:multiLevelType w:val="hybridMultilevel"/>
    <w:tmpl w:val="6292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479DA"/>
    <w:multiLevelType w:val="multilevel"/>
    <w:tmpl w:val="F7003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92368"/>
    <w:multiLevelType w:val="hybridMultilevel"/>
    <w:tmpl w:val="189C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96CE3"/>
    <w:multiLevelType w:val="hybridMultilevel"/>
    <w:tmpl w:val="12B86B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D51896"/>
    <w:multiLevelType w:val="hybridMultilevel"/>
    <w:tmpl w:val="022221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7E7D8F"/>
    <w:multiLevelType w:val="hybridMultilevel"/>
    <w:tmpl w:val="A4A8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DE32DC"/>
    <w:multiLevelType w:val="hybridMultilevel"/>
    <w:tmpl w:val="B204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04763"/>
    <w:multiLevelType w:val="hybridMultilevel"/>
    <w:tmpl w:val="C7849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5A620E"/>
    <w:multiLevelType w:val="hybridMultilevel"/>
    <w:tmpl w:val="0C102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307AC7"/>
    <w:multiLevelType w:val="multilevel"/>
    <w:tmpl w:val="F3A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417133"/>
    <w:multiLevelType w:val="hybridMultilevel"/>
    <w:tmpl w:val="1966A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C27530"/>
    <w:multiLevelType w:val="hybridMultilevel"/>
    <w:tmpl w:val="153E5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FA23BB"/>
    <w:multiLevelType w:val="hybridMultilevel"/>
    <w:tmpl w:val="593E140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6C915331"/>
    <w:multiLevelType w:val="multilevel"/>
    <w:tmpl w:val="9AC87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7849EC"/>
    <w:multiLevelType w:val="hybridMultilevel"/>
    <w:tmpl w:val="4808D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120526">
    <w:abstractNumId w:val="5"/>
  </w:num>
  <w:num w:numId="2" w16cid:durableId="1756853336">
    <w:abstractNumId w:val="6"/>
  </w:num>
  <w:num w:numId="3" w16cid:durableId="284313126">
    <w:abstractNumId w:val="8"/>
  </w:num>
  <w:num w:numId="4" w16cid:durableId="651952961">
    <w:abstractNumId w:val="8"/>
    <w:lvlOverride w:ilvl="1">
      <w:lvl w:ilvl="1">
        <w:numFmt w:val="bullet"/>
        <w:lvlText w:val=""/>
        <w:lvlJc w:val="left"/>
        <w:pPr>
          <w:tabs>
            <w:tab w:val="num" w:pos="1440"/>
          </w:tabs>
          <w:ind w:left="1440" w:hanging="360"/>
        </w:pPr>
        <w:rPr>
          <w:rFonts w:ascii="Symbol" w:hAnsi="Symbol" w:hint="default"/>
          <w:sz w:val="20"/>
        </w:rPr>
      </w:lvl>
    </w:lvlOverride>
  </w:num>
  <w:num w:numId="5" w16cid:durableId="232546348">
    <w:abstractNumId w:val="8"/>
    <w:lvlOverride w:ilvl="1">
      <w:lvl w:ilvl="1">
        <w:numFmt w:val="bullet"/>
        <w:lvlText w:val=""/>
        <w:lvlJc w:val="left"/>
        <w:pPr>
          <w:tabs>
            <w:tab w:val="num" w:pos="1440"/>
          </w:tabs>
          <w:ind w:left="1440" w:hanging="360"/>
        </w:pPr>
        <w:rPr>
          <w:rFonts w:ascii="Symbol" w:hAnsi="Symbol" w:hint="default"/>
          <w:sz w:val="20"/>
        </w:rPr>
      </w:lvl>
    </w:lvlOverride>
  </w:num>
  <w:num w:numId="6" w16cid:durableId="831600212">
    <w:abstractNumId w:val="8"/>
    <w:lvlOverride w:ilvl="1">
      <w:lvl w:ilvl="1">
        <w:numFmt w:val="bullet"/>
        <w:lvlText w:val=""/>
        <w:lvlJc w:val="left"/>
        <w:pPr>
          <w:tabs>
            <w:tab w:val="num" w:pos="1440"/>
          </w:tabs>
          <w:ind w:left="1440" w:hanging="360"/>
        </w:pPr>
        <w:rPr>
          <w:rFonts w:ascii="Symbol" w:hAnsi="Symbol" w:hint="default"/>
          <w:sz w:val="20"/>
        </w:rPr>
      </w:lvl>
    </w:lvlOverride>
  </w:num>
  <w:num w:numId="7" w16cid:durableId="2038893124">
    <w:abstractNumId w:val="8"/>
    <w:lvlOverride w:ilvl="1">
      <w:lvl w:ilvl="1">
        <w:numFmt w:val="bullet"/>
        <w:lvlText w:val=""/>
        <w:lvlJc w:val="left"/>
        <w:pPr>
          <w:tabs>
            <w:tab w:val="num" w:pos="1440"/>
          </w:tabs>
          <w:ind w:left="1440" w:hanging="360"/>
        </w:pPr>
        <w:rPr>
          <w:rFonts w:ascii="Symbol" w:hAnsi="Symbol" w:hint="default"/>
          <w:sz w:val="20"/>
        </w:rPr>
      </w:lvl>
    </w:lvlOverride>
  </w:num>
  <w:num w:numId="8" w16cid:durableId="709764551">
    <w:abstractNumId w:val="8"/>
    <w:lvlOverride w:ilvl="1">
      <w:lvl w:ilvl="1">
        <w:numFmt w:val="bullet"/>
        <w:lvlText w:val=""/>
        <w:lvlJc w:val="left"/>
        <w:pPr>
          <w:tabs>
            <w:tab w:val="num" w:pos="1440"/>
          </w:tabs>
          <w:ind w:left="1440" w:hanging="360"/>
        </w:pPr>
        <w:rPr>
          <w:rFonts w:ascii="Symbol" w:hAnsi="Symbol" w:hint="default"/>
          <w:sz w:val="20"/>
        </w:rPr>
      </w:lvl>
    </w:lvlOverride>
  </w:num>
  <w:num w:numId="9" w16cid:durableId="673343409">
    <w:abstractNumId w:val="8"/>
    <w:lvlOverride w:ilvl="1">
      <w:lvl w:ilvl="1">
        <w:numFmt w:val="bullet"/>
        <w:lvlText w:val=""/>
        <w:lvlJc w:val="left"/>
        <w:pPr>
          <w:tabs>
            <w:tab w:val="num" w:pos="1440"/>
          </w:tabs>
          <w:ind w:left="1440" w:hanging="360"/>
        </w:pPr>
        <w:rPr>
          <w:rFonts w:ascii="Symbol" w:hAnsi="Symbol" w:hint="default"/>
          <w:sz w:val="20"/>
        </w:rPr>
      </w:lvl>
    </w:lvlOverride>
  </w:num>
  <w:num w:numId="10" w16cid:durableId="1361397042">
    <w:abstractNumId w:val="8"/>
    <w:lvlOverride w:ilvl="1">
      <w:lvl w:ilvl="1">
        <w:numFmt w:val="bullet"/>
        <w:lvlText w:val=""/>
        <w:lvlJc w:val="left"/>
        <w:pPr>
          <w:tabs>
            <w:tab w:val="num" w:pos="1440"/>
          </w:tabs>
          <w:ind w:left="1440" w:hanging="360"/>
        </w:pPr>
        <w:rPr>
          <w:rFonts w:ascii="Symbol" w:hAnsi="Symbol" w:hint="default"/>
          <w:sz w:val="20"/>
        </w:rPr>
      </w:lvl>
    </w:lvlOverride>
  </w:num>
  <w:num w:numId="11" w16cid:durableId="709065234">
    <w:abstractNumId w:val="8"/>
    <w:lvlOverride w:ilvl="1">
      <w:lvl w:ilvl="1">
        <w:numFmt w:val="bullet"/>
        <w:lvlText w:val=""/>
        <w:lvlJc w:val="left"/>
        <w:pPr>
          <w:tabs>
            <w:tab w:val="num" w:pos="1440"/>
          </w:tabs>
          <w:ind w:left="1440" w:hanging="360"/>
        </w:pPr>
        <w:rPr>
          <w:rFonts w:ascii="Symbol" w:hAnsi="Symbol" w:hint="default"/>
          <w:sz w:val="20"/>
        </w:rPr>
      </w:lvl>
    </w:lvlOverride>
  </w:num>
  <w:num w:numId="12" w16cid:durableId="1750732027">
    <w:abstractNumId w:val="8"/>
    <w:lvlOverride w:ilvl="1">
      <w:lvl w:ilvl="1">
        <w:numFmt w:val="bullet"/>
        <w:lvlText w:val=""/>
        <w:lvlJc w:val="left"/>
        <w:pPr>
          <w:tabs>
            <w:tab w:val="num" w:pos="1440"/>
          </w:tabs>
          <w:ind w:left="1440" w:hanging="360"/>
        </w:pPr>
        <w:rPr>
          <w:rFonts w:ascii="Symbol" w:hAnsi="Symbol" w:hint="default"/>
          <w:sz w:val="20"/>
        </w:rPr>
      </w:lvl>
    </w:lvlOverride>
  </w:num>
  <w:num w:numId="13" w16cid:durableId="845753291">
    <w:abstractNumId w:val="8"/>
    <w:lvlOverride w:ilvl="1">
      <w:lvl w:ilvl="1">
        <w:numFmt w:val="bullet"/>
        <w:lvlText w:val=""/>
        <w:lvlJc w:val="left"/>
        <w:pPr>
          <w:tabs>
            <w:tab w:val="num" w:pos="1440"/>
          </w:tabs>
          <w:ind w:left="1440" w:hanging="360"/>
        </w:pPr>
        <w:rPr>
          <w:rFonts w:ascii="Symbol" w:hAnsi="Symbol" w:hint="default"/>
          <w:sz w:val="20"/>
        </w:rPr>
      </w:lvl>
    </w:lvlOverride>
  </w:num>
  <w:num w:numId="14" w16cid:durableId="1749107297">
    <w:abstractNumId w:val="8"/>
    <w:lvlOverride w:ilvl="1">
      <w:lvl w:ilvl="1">
        <w:numFmt w:val="bullet"/>
        <w:lvlText w:val=""/>
        <w:lvlJc w:val="left"/>
        <w:pPr>
          <w:tabs>
            <w:tab w:val="num" w:pos="1440"/>
          </w:tabs>
          <w:ind w:left="1440" w:hanging="360"/>
        </w:pPr>
        <w:rPr>
          <w:rFonts w:ascii="Symbol" w:hAnsi="Symbol" w:hint="default"/>
          <w:sz w:val="20"/>
        </w:rPr>
      </w:lvl>
    </w:lvlOverride>
  </w:num>
  <w:num w:numId="15" w16cid:durableId="347754939">
    <w:abstractNumId w:val="8"/>
    <w:lvlOverride w:ilvl="1">
      <w:lvl w:ilvl="1">
        <w:numFmt w:val="bullet"/>
        <w:lvlText w:val=""/>
        <w:lvlJc w:val="left"/>
        <w:pPr>
          <w:tabs>
            <w:tab w:val="num" w:pos="1440"/>
          </w:tabs>
          <w:ind w:left="1440" w:hanging="360"/>
        </w:pPr>
        <w:rPr>
          <w:rFonts w:ascii="Symbol" w:hAnsi="Symbol" w:hint="default"/>
          <w:sz w:val="20"/>
        </w:rPr>
      </w:lvl>
    </w:lvlOverride>
  </w:num>
  <w:num w:numId="16" w16cid:durableId="312176390">
    <w:abstractNumId w:val="8"/>
    <w:lvlOverride w:ilvl="1">
      <w:lvl w:ilvl="1">
        <w:numFmt w:val="bullet"/>
        <w:lvlText w:val=""/>
        <w:lvlJc w:val="left"/>
        <w:pPr>
          <w:tabs>
            <w:tab w:val="num" w:pos="1440"/>
          </w:tabs>
          <w:ind w:left="1440" w:hanging="360"/>
        </w:pPr>
        <w:rPr>
          <w:rFonts w:ascii="Symbol" w:hAnsi="Symbol" w:hint="default"/>
          <w:sz w:val="20"/>
        </w:rPr>
      </w:lvl>
    </w:lvlOverride>
  </w:num>
  <w:num w:numId="17" w16cid:durableId="2073775193">
    <w:abstractNumId w:val="8"/>
    <w:lvlOverride w:ilvl="1">
      <w:lvl w:ilvl="1">
        <w:numFmt w:val="bullet"/>
        <w:lvlText w:val=""/>
        <w:lvlJc w:val="left"/>
        <w:pPr>
          <w:tabs>
            <w:tab w:val="num" w:pos="1440"/>
          </w:tabs>
          <w:ind w:left="1440" w:hanging="360"/>
        </w:pPr>
        <w:rPr>
          <w:rFonts w:ascii="Symbol" w:hAnsi="Symbol" w:hint="default"/>
          <w:sz w:val="20"/>
        </w:rPr>
      </w:lvl>
    </w:lvlOverride>
  </w:num>
  <w:num w:numId="18" w16cid:durableId="1097138524">
    <w:abstractNumId w:val="20"/>
  </w:num>
  <w:num w:numId="19" w16cid:durableId="288827981">
    <w:abstractNumId w:val="20"/>
    <w:lvlOverride w:ilvl="1">
      <w:lvl w:ilvl="1">
        <w:numFmt w:val="bullet"/>
        <w:lvlText w:val=""/>
        <w:lvlJc w:val="left"/>
        <w:pPr>
          <w:tabs>
            <w:tab w:val="num" w:pos="1440"/>
          </w:tabs>
          <w:ind w:left="1440" w:hanging="360"/>
        </w:pPr>
        <w:rPr>
          <w:rFonts w:ascii="Symbol" w:hAnsi="Symbol" w:hint="default"/>
          <w:sz w:val="20"/>
        </w:rPr>
      </w:lvl>
    </w:lvlOverride>
  </w:num>
  <w:num w:numId="20" w16cid:durableId="1991785480">
    <w:abstractNumId w:val="20"/>
    <w:lvlOverride w:ilvl="1">
      <w:lvl w:ilvl="1">
        <w:numFmt w:val="bullet"/>
        <w:lvlText w:val=""/>
        <w:lvlJc w:val="left"/>
        <w:pPr>
          <w:tabs>
            <w:tab w:val="num" w:pos="1440"/>
          </w:tabs>
          <w:ind w:left="1440" w:hanging="360"/>
        </w:pPr>
        <w:rPr>
          <w:rFonts w:ascii="Symbol" w:hAnsi="Symbol" w:hint="default"/>
          <w:sz w:val="20"/>
        </w:rPr>
      </w:lvl>
    </w:lvlOverride>
  </w:num>
  <w:num w:numId="21" w16cid:durableId="111367916">
    <w:abstractNumId w:val="20"/>
    <w:lvlOverride w:ilvl="1">
      <w:lvl w:ilvl="1">
        <w:numFmt w:val="bullet"/>
        <w:lvlText w:val=""/>
        <w:lvlJc w:val="left"/>
        <w:pPr>
          <w:tabs>
            <w:tab w:val="num" w:pos="1440"/>
          </w:tabs>
          <w:ind w:left="1440" w:hanging="360"/>
        </w:pPr>
        <w:rPr>
          <w:rFonts w:ascii="Symbol" w:hAnsi="Symbol" w:hint="default"/>
          <w:sz w:val="20"/>
        </w:rPr>
      </w:lvl>
    </w:lvlOverride>
  </w:num>
  <w:num w:numId="22" w16cid:durableId="412510797">
    <w:abstractNumId w:val="20"/>
    <w:lvlOverride w:ilvl="1">
      <w:lvl w:ilvl="1">
        <w:numFmt w:val="bullet"/>
        <w:lvlText w:val=""/>
        <w:lvlJc w:val="left"/>
        <w:pPr>
          <w:tabs>
            <w:tab w:val="num" w:pos="1440"/>
          </w:tabs>
          <w:ind w:left="1440" w:hanging="360"/>
        </w:pPr>
        <w:rPr>
          <w:rFonts w:ascii="Symbol" w:hAnsi="Symbol" w:hint="default"/>
          <w:sz w:val="20"/>
        </w:rPr>
      </w:lvl>
    </w:lvlOverride>
  </w:num>
  <w:num w:numId="23" w16cid:durableId="452141339">
    <w:abstractNumId w:val="20"/>
    <w:lvlOverride w:ilvl="1">
      <w:lvl w:ilvl="1">
        <w:numFmt w:val="bullet"/>
        <w:lvlText w:val=""/>
        <w:lvlJc w:val="left"/>
        <w:pPr>
          <w:tabs>
            <w:tab w:val="num" w:pos="1440"/>
          </w:tabs>
          <w:ind w:left="1440" w:hanging="360"/>
        </w:pPr>
        <w:rPr>
          <w:rFonts w:ascii="Symbol" w:hAnsi="Symbol" w:hint="default"/>
          <w:sz w:val="20"/>
        </w:rPr>
      </w:lvl>
    </w:lvlOverride>
  </w:num>
  <w:num w:numId="24" w16cid:durableId="1963421886">
    <w:abstractNumId w:val="20"/>
    <w:lvlOverride w:ilvl="1">
      <w:lvl w:ilvl="1">
        <w:numFmt w:val="bullet"/>
        <w:lvlText w:val=""/>
        <w:lvlJc w:val="left"/>
        <w:pPr>
          <w:tabs>
            <w:tab w:val="num" w:pos="1440"/>
          </w:tabs>
          <w:ind w:left="1440" w:hanging="360"/>
        </w:pPr>
        <w:rPr>
          <w:rFonts w:ascii="Symbol" w:hAnsi="Symbol" w:hint="default"/>
          <w:sz w:val="20"/>
        </w:rPr>
      </w:lvl>
    </w:lvlOverride>
  </w:num>
  <w:num w:numId="25" w16cid:durableId="2043242991">
    <w:abstractNumId w:val="20"/>
    <w:lvlOverride w:ilvl="1">
      <w:lvl w:ilvl="1">
        <w:numFmt w:val="bullet"/>
        <w:lvlText w:val=""/>
        <w:lvlJc w:val="left"/>
        <w:pPr>
          <w:tabs>
            <w:tab w:val="num" w:pos="1440"/>
          </w:tabs>
          <w:ind w:left="1440" w:hanging="360"/>
        </w:pPr>
        <w:rPr>
          <w:rFonts w:ascii="Symbol" w:hAnsi="Symbol" w:hint="default"/>
          <w:sz w:val="20"/>
        </w:rPr>
      </w:lvl>
    </w:lvlOverride>
  </w:num>
  <w:num w:numId="26" w16cid:durableId="1117868088">
    <w:abstractNumId w:val="20"/>
    <w:lvlOverride w:ilvl="1">
      <w:lvl w:ilvl="1">
        <w:numFmt w:val="bullet"/>
        <w:lvlText w:val=""/>
        <w:lvlJc w:val="left"/>
        <w:pPr>
          <w:tabs>
            <w:tab w:val="num" w:pos="1440"/>
          </w:tabs>
          <w:ind w:left="1440" w:hanging="360"/>
        </w:pPr>
        <w:rPr>
          <w:rFonts w:ascii="Symbol" w:hAnsi="Symbol" w:hint="default"/>
          <w:sz w:val="20"/>
        </w:rPr>
      </w:lvl>
    </w:lvlOverride>
  </w:num>
  <w:num w:numId="27" w16cid:durableId="567224550">
    <w:abstractNumId w:val="20"/>
    <w:lvlOverride w:ilvl="1">
      <w:lvl w:ilvl="1">
        <w:numFmt w:val="bullet"/>
        <w:lvlText w:val=""/>
        <w:lvlJc w:val="left"/>
        <w:pPr>
          <w:tabs>
            <w:tab w:val="num" w:pos="1440"/>
          </w:tabs>
          <w:ind w:left="1440" w:hanging="360"/>
        </w:pPr>
        <w:rPr>
          <w:rFonts w:ascii="Symbol" w:hAnsi="Symbol" w:hint="default"/>
          <w:sz w:val="20"/>
        </w:rPr>
      </w:lvl>
    </w:lvlOverride>
  </w:num>
  <w:num w:numId="28" w16cid:durableId="673999907">
    <w:abstractNumId w:val="20"/>
    <w:lvlOverride w:ilvl="1">
      <w:lvl w:ilvl="1">
        <w:numFmt w:val="bullet"/>
        <w:lvlText w:val=""/>
        <w:lvlJc w:val="left"/>
        <w:pPr>
          <w:tabs>
            <w:tab w:val="num" w:pos="1440"/>
          </w:tabs>
          <w:ind w:left="1440" w:hanging="360"/>
        </w:pPr>
        <w:rPr>
          <w:rFonts w:ascii="Symbol" w:hAnsi="Symbol" w:hint="default"/>
          <w:sz w:val="20"/>
        </w:rPr>
      </w:lvl>
    </w:lvlOverride>
  </w:num>
  <w:num w:numId="29" w16cid:durableId="918440912">
    <w:abstractNumId w:val="20"/>
    <w:lvlOverride w:ilvl="1">
      <w:lvl w:ilvl="1">
        <w:numFmt w:val="bullet"/>
        <w:lvlText w:val=""/>
        <w:lvlJc w:val="left"/>
        <w:pPr>
          <w:tabs>
            <w:tab w:val="num" w:pos="1440"/>
          </w:tabs>
          <w:ind w:left="1440" w:hanging="360"/>
        </w:pPr>
        <w:rPr>
          <w:rFonts w:ascii="Symbol" w:hAnsi="Symbol" w:hint="default"/>
          <w:sz w:val="20"/>
        </w:rPr>
      </w:lvl>
    </w:lvlOverride>
  </w:num>
  <w:num w:numId="30" w16cid:durableId="304315150">
    <w:abstractNumId w:val="20"/>
    <w:lvlOverride w:ilvl="1">
      <w:lvl w:ilvl="1">
        <w:numFmt w:val="bullet"/>
        <w:lvlText w:val=""/>
        <w:lvlJc w:val="left"/>
        <w:pPr>
          <w:tabs>
            <w:tab w:val="num" w:pos="1440"/>
          </w:tabs>
          <w:ind w:left="1440" w:hanging="360"/>
        </w:pPr>
        <w:rPr>
          <w:rFonts w:ascii="Symbol" w:hAnsi="Symbol" w:hint="default"/>
          <w:sz w:val="20"/>
        </w:rPr>
      </w:lvl>
    </w:lvlOverride>
  </w:num>
  <w:num w:numId="31" w16cid:durableId="713119364">
    <w:abstractNumId w:val="20"/>
    <w:lvlOverride w:ilvl="1">
      <w:lvl w:ilvl="1">
        <w:numFmt w:val="bullet"/>
        <w:lvlText w:val=""/>
        <w:lvlJc w:val="left"/>
        <w:pPr>
          <w:tabs>
            <w:tab w:val="num" w:pos="1440"/>
          </w:tabs>
          <w:ind w:left="1440" w:hanging="360"/>
        </w:pPr>
        <w:rPr>
          <w:rFonts w:ascii="Symbol" w:hAnsi="Symbol" w:hint="default"/>
          <w:sz w:val="20"/>
        </w:rPr>
      </w:lvl>
    </w:lvlOverride>
  </w:num>
  <w:num w:numId="32" w16cid:durableId="685054683">
    <w:abstractNumId w:val="20"/>
    <w:lvlOverride w:ilvl="1">
      <w:lvl w:ilvl="1">
        <w:numFmt w:val="bullet"/>
        <w:lvlText w:val=""/>
        <w:lvlJc w:val="left"/>
        <w:pPr>
          <w:tabs>
            <w:tab w:val="num" w:pos="1440"/>
          </w:tabs>
          <w:ind w:left="1440" w:hanging="360"/>
        </w:pPr>
        <w:rPr>
          <w:rFonts w:ascii="Symbol" w:hAnsi="Symbol" w:hint="default"/>
          <w:sz w:val="20"/>
        </w:rPr>
      </w:lvl>
    </w:lvlOverride>
  </w:num>
  <w:num w:numId="33" w16cid:durableId="1150361579">
    <w:abstractNumId w:val="20"/>
    <w:lvlOverride w:ilvl="1">
      <w:lvl w:ilvl="1">
        <w:numFmt w:val="bullet"/>
        <w:lvlText w:val=""/>
        <w:lvlJc w:val="left"/>
        <w:pPr>
          <w:tabs>
            <w:tab w:val="num" w:pos="1440"/>
          </w:tabs>
          <w:ind w:left="1440" w:hanging="360"/>
        </w:pPr>
        <w:rPr>
          <w:rFonts w:ascii="Symbol" w:hAnsi="Symbol" w:hint="default"/>
          <w:sz w:val="20"/>
        </w:rPr>
      </w:lvl>
    </w:lvlOverride>
  </w:num>
  <w:num w:numId="34" w16cid:durableId="1728727416">
    <w:abstractNumId w:val="20"/>
    <w:lvlOverride w:ilvl="1">
      <w:lvl w:ilvl="1">
        <w:numFmt w:val="bullet"/>
        <w:lvlText w:val=""/>
        <w:lvlJc w:val="left"/>
        <w:pPr>
          <w:tabs>
            <w:tab w:val="num" w:pos="1440"/>
          </w:tabs>
          <w:ind w:left="1440" w:hanging="360"/>
        </w:pPr>
        <w:rPr>
          <w:rFonts w:ascii="Symbol" w:hAnsi="Symbol" w:hint="default"/>
          <w:sz w:val="20"/>
        </w:rPr>
      </w:lvl>
    </w:lvlOverride>
  </w:num>
  <w:num w:numId="35" w16cid:durableId="632098618">
    <w:abstractNumId w:val="20"/>
    <w:lvlOverride w:ilvl="1">
      <w:lvl w:ilvl="1">
        <w:numFmt w:val="bullet"/>
        <w:lvlText w:val=""/>
        <w:lvlJc w:val="left"/>
        <w:pPr>
          <w:tabs>
            <w:tab w:val="num" w:pos="1440"/>
          </w:tabs>
          <w:ind w:left="1440" w:hanging="360"/>
        </w:pPr>
        <w:rPr>
          <w:rFonts w:ascii="Symbol" w:hAnsi="Symbol" w:hint="default"/>
          <w:sz w:val="20"/>
        </w:rPr>
      </w:lvl>
    </w:lvlOverride>
  </w:num>
  <w:num w:numId="36" w16cid:durableId="355424980">
    <w:abstractNumId w:val="20"/>
    <w:lvlOverride w:ilvl="1">
      <w:lvl w:ilvl="1">
        <w:numFmt w:val="bullet"/>
        <w:lvlText w:val=""/>
        <w:lvlJc w:val="left"/>
        <w:pPr>
          <w:tabs>
            <w:tab w:val="num" w:pos="1440"/>
          </w:tabs>
          <w:ind w:left="1440" w:hanging="360"/>
        </w:pPr>
        <w:rPr>
          <w:rFonts w:ascii="Symbol" w:hAnsi="Symbol" w:hint="default"/>
          <w:sz w:val="20"/>
        </w:rPr>
      </w:lvl>
    </w:lvlOverride>
  </w:num>
  <w:num w:numId="37" w16cid:durableId="149294418">
    <w:abstractNumId w:val="20"/>
    <w:lvlOverride w:ilvl="1">
      <w:lvl w:ilvl="1">
        <w:numFmt w:val="bullet"/>
        <w:lvlText w:val=""/>
        <w:lvlJc w:val="left"/>
        <w:pPr>
          <w:tabs>
            <w:tab w:val="num" w:pos="1440"/>
          </w:tabs>
          <w:ind w:left="1440" w:hanging="360"/>
        </w:pPr>
        <w:rPr>
          <w:rFonts w:ascii="Symbol" w:hAnsi="Symbol" w:hint="default"/>
          <w:sz w:val="20"/>
        </w:rPr>
      </w:lvl>
    </w:lvlOverride>
  </w:num>
  <w:num w:numId="38" w16cid:durableId="1101801439">
    <w:abstractNumId w:val="20"/>
    <w:lvlOverride w:ilvl="1">
      <w:lvl w:ilvl="1">
        <w:numFmt w:val="bullet"/>
        <w:lvlText w:val=""/>
        <w:lvlJc w:val="left"/>
        <w:pPr>
          <w:tabs>
            <w:tab w:val="num" w:pos="1440"/>
          </w:tabs>
          <w:ind w:left="1440" w:hanging="360"/>
        </w:pPr>
        <w:rPr>
          <w:rFonts w:ascii="Symbol" w:hAnsi="Symbol" w:hint="default"/>
          <w:sz w:val="20"/>
        </w:rPr>
      </w:lvl>
    </w:lvlOverride>
  </w:num>
  <w:num w:numId="39" w16cid:durableId="1308240362">
    <w:abstractNumId w:val="20"/>
    <w:lvlOverride w:ilvl="1">
      <w:lvl w:ilvl="1">
        <w:numFmt w:val="bullet"/>
        <w:lvlText w:val=""/>
        <w:lvlJc w:val="left"/>
        <w:pPr>
          <w:tabs>
            <w:tab w:val="num" w:pos="1440"/>
          </w:tabs>
          <w:ind w:left="1440" w:hanging="360"/>
        </w:pPr>
        <w:rPr>
          <w:rFonts w:ascii="Symbol" w:hAnsi="Symbol" w:hint="default"/>
          <w:sz w:val="20"/>
        </w:rPr>
      </w:lvl>
    </w:lvlOverride>
  </w:num>
  <w:num w:numId="40" w16cid:durableId="2109811457">
    <w:abstractNumId w:val="20"/>
    <w:lvlOverride w:ilvl="1">
      <w:lvl w:ilvl="1">
        <w:numFmt w:val="bullet"/>
        <w:lvlText w:val=""/>
        <w:lvlJc w:val="left"/>
        <w:pPr>
          <w:tabs>
            <w:tab w:val="num" w:pos="1440"/>
          </w:tabs>
          <w:ind w:left="1440" w:hanging="360"/>
        </w:pPr>
        <w:rPr>
          <w:rFonts w:ascii="Symbol" w:hAnsi="Symbol" w:hint="default"/>
          <w:sz w:val="20"/>
        </w:rPr>
      </w:lvl>
    </w:lvlOverride>
  </w:num>
  <w:num w:numId="41" w16cid:durableId="1488546061">
    <w:abstractNumId w:val="20"/>
    <w:lvlOverride w:ilvl="1">
      <w:lvl w:ilvl="1">
        <w:numFmt w:val="bullet"/>
        <w:lvlText w:val=""/>
        <w:lvlJc w:val="left"/>
        <w:pPr>
          <w:tabs>
            <w:tab w:val="num" w:pos="1440"/>
          </w:tabs>
          <w:ind w:left="1440" w:hanging="360"/>
        </w:pPr>
        <w:rPr>
          <w:rFonts w:ascii="Symbol" w:hAnsi="Symbol" w:hint="default"/>
          <w:sz w:val="20"/>
        </w:rPr>
      </w:lvl>
    </w:lvlOverride>
  </w:num>
  <w:num w:numId="42" w16cid:durableId="1034816041">
    <w:abstractNumId w:val="20"/>
    <w:lvlOverride w:ilvl="1">
      <w:lvl w:ilvl="1">
        <w:numFmt w:val="bullet"/>
        <w:lvlText w:val=""/>
        <w:lvlJc w:val="left"/>
        <w:pPr>
          <w:tabs>
            <w:tab w:val="num" w:pos="1440"/>
          </w:tabs>
          <w:ind w:left="1440" w:hanging="360"/>
        </w:pPr>
        <w:rPr>
          <w:rFonts w:ascii="Symbol" w:hAnsi="Symbol" w:hint="default"/>
          <w:sz w:val="20"/>
        </w:rPr>
      </w:lvl>
    </w:lvlOverride>
  </w:num>
  <w:num w:numId="43" w16cid:durableId="1986469966">
    <w:abstractNumId w:val="20"/>
    <w:lvlOverride w:ilvl="1">
      <w:lvl w:ilvl="1">
        <w:numFmt w:val="bullet"/>
        <w:lvlText w:val=""/>
        <w:lvlJc w:val="left"/>
        <w:pPr>
          <w:tabs>
            <w:tab w:val="num" w:pos="1440"/>
          </w:tabs>
          <w:ind w:left="1440" w:hanging="360"/>
        </w:pPr>
        <w:rPr>
          <w:rFonts w:ascii="Symbol" w:hAnsi="Symbol" w:hint="default"/>
          <w:sz w:val="20"/>
        </w:rPr>
      </w:lvl>
    </w:lvlOverride>
  </w:num>
  <w:num w:numId="44" w16cid:durableId="1270115633">
    <w:abstractNumId w:val="10"/>
  </w:num>
  <w:num w:numId="45" w16cid:durableId="1801340011">
    <w:abstractNumId w:val="21"/>
  </w:num>
  <w:num w:numId="46" w16cid:durableId="1633947238">
    <w:abstractNumId w:val="3"/>
  </w:num>
  <w:num w:numId="47" w16cid:durableId="1818767365">
    <w:abstractNumId w:val="16"/>
  </w:num>
  <w:num w:numId="48" w16cid:durableId="2022974067">
    <w:abstractNumId w:val="11"/>
  </w:num>
  <w:num w:numId="49" w16cid:durableId="232859883">
    <w:abstractNumId w:val="19"/>
  </w:num>
  <w:num w:numId="50" w16cid:durableId="1081175397">
    <w:abstractNumId w:val="2"/>
  </w:num>
  <w:num w:numId="51" w16cid:durableId="1496414131">
    <w:abstractNumId w:val="18"/>
  </w:num>
  <w:num w:numId="52" w16cid:durableId="1958297076">
    <w:abstractNumId w:val="0"/>
  </w:num>
  <w:num w:numId="53" w16cid:durableId="836961714">
    <w:abstractNumId w:val="4"/>
  </w:num>
  <w:num w:numId="54" w16cid:durableId="446509404">
    <w:abstractNumId w:val="14"/>
  </w:num>
  <w:num w:numId="55" w16cid:durableId="1919747718">
    <w:abstractNumId w:val="1"/>
  </w:num>
  <w:num w:numId="56" w16cid:durableId="1366322222">
    <w:abstractNumId w:val="15"/>
  </w:num>
  <w:num w:numId="57" w16cid:durableId="378406693">
    <w:abstractNumId w:val="9"/>
  </w:num>
  <w:num w:numId="58" w16cid:durableId="908467986">
    <w:abstractNumId w:val="7"/>
  </w:num>
  <w:num w:numId="59" w16cid:durableId="626278092">
    <w:abstractNumId w:val="13"/>
  </w:num>
  <w:num w:numId="60" w16cid:durableId="1630625696">
    <w:abstractNumId w:val="12"/>
  </w:num>
  <w:num w:numId="61" w16cid:durableId="1112476694">
    <w:abstractNumId w:val="1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53"/>
    <w:rsid w:val="000021C4"/>
    <w:rsid w:val="00002B53"/>
    <w:rsid w:val="00006542"/>
    <w:rsid w:val="00007698"/>
    <w:rsid w:val="00016CD6"/>
    <w:rsid w:val="0002456C"/>
    <w:rsid w:val="00024C72"/>
    <w:rsid w:val="00026A8C"/>
    <w:rsid w:val="000276A4"/>
    <w:rsid w:val="0003158B"/>
    <w:rsid w:val="000326A4"/>
    <w:rsid w:val="000375EB"/>
    <w:rsid w:val="0004396B"/>
    <w:rsid w:val="0005143A"/>
    <w:rsid w:val="00052C33"/>
    <w:rsid w:val="00053D4F"/>
    <w:rsid w:val="00054133"/>
    <w:rsid w:val="00054CC0"/>
    <w:rsid w:val="00057D18"/>
    <w:rsid w:val="00060FE4"/>
    <w:rsid w:val="000614F4"/>
    <w:rsid w:val="00061BF9"/>
    <w:rsid w:val="00065E95"/>
    <w:rsid w:val="000747A0"/>
    <w:rsid w:val="00075D3A"/>
    <w:rsid w:val="00081526"/>
    <w:rsid w:val="000822D2"/>
    <w:rsid w:val="00082DC9"/>
    <w:rsid w:val="0008783A"/>
    <w:rsid w:val="000925E2"/>
    <w:rsid w:val="00096B47"/>
    <w:rsid w:val="000A40B5"/>
    <w:rsid w:val="000A41D2"/>
    <w:rsid w:val="000A720A"/>
    <w:rsid w:val="000A7A0F"/>
    <w:rsid w:val="000B5B29"/>
    <w:rsid w:val="000B6884"/>
    <w:rsid w:val="000C2514"/>
    <w:rsid w:val="000C7624"/>
    <w:rsid w:val="000D5266"/>
    <w:rsid w:val="000D55CC"/>
    <w:rsid w:val="000E47AE"/>
    <w:rsid w:val="000F0EAC"/>
    <w:rsid w:val="000F2F40"/>
    <w:rsid w:val="000F43A8"/>
    <w:rsid w:val="000F48FA"/>
    <w:rsid w:val="000F7DDC"/>
    <w:rsid w:val="00100BE2"/>
    <w:rsid w:val="001012D3"/>
    <w:rsid w:val="00101D59"/>
    <w:rsid w:val="00105FA9"/>
    <w:rsid w:val="0010777A"/>
    <w:rsid w:val="001114EC"/>
    <w:rsid w:val="001134EC"/>
    <w:rsid w:val="00114170"/>
    <w:rsid w:val="0011628F"/>
    <w:rsid w:val="00116CF8"/>
    <w:rsid w:val="00121702"/>
    <w:rsid w:val="001221D1"/>
    <w:rsid w:val="001346CA"/>
    <w:rsid w:val="00136DE8"/>
    <w:rsid w:val="00140816"/>
    <w:rsid w:val="001412E8"/>
    <w:rsid w:val="00144368"/>
    <w:rsid w:val="001602B9"/>
    <w:rsid w:val="00166229"/>
    <w:rsid w:val="001664F8"/>
    <w:rsid w:val="0016796D"/>
    <w:rsid w:val="00176AD4"/>
    <w:rsid w:val="00191892"/>
    <w:rsid w:val="00194C9C"/>
    <w:rsid w:val="00194FB3"/>
    <w:rsid w:val="0019526D"/>
    <w:rsid w:val="001970D8"/>
    <w:rsid w:val="00197C34"/>
    <w:rsid w:val="001A1EEE"/>
    <w:rsid w:val="001A4A62"/>
    <w:rsid w:val="001A55ED"/>
    <w:rsid w:val="001A5656"/>
    <w:rsid w:val="001A67F3"/>
    <w:rsid w:val="001A6F0B"/>
    <w:rsid w:val="001A71C3"/>
    <w:rsid w:val="001B7377"/>
    <w:rsid w:val="001B7D2C"/>
    <w:rsid w:val="001C0430"/>
    <w:rsid w:val="001C533A"/>
    <w:rsid w:val="001C5FDA"/>
    <w:rsid w:val="001C6D6E"/>
    <w:rsid w:val="001D0BF4"/>
    <w:rsid w:val="001D1B73"/>
    <w:rsid w:val="001D1F1F"/>
    <w:rsid w:val="001D2335"/>
    <w:rsid w:val="001D4DDD"/>
    <w:rsid w:val="001D6C56"/>
    <w:rsid w:val="001E1723"/>
    <w:rsid w:val="001E3433"/>
    <w:rsid w:val="001F5AB9"/>
    <w:rsid w:val="001F66E0"/>
    <w:rsid w:val="001F6AFD"/>
    <w:rsid w:val="002016A7"/>
    <w:rsid w:val="00204677"/>
    <w:rsid w:val="0021142B"/>
    <w:rsid w:val="0021611D"/>
    <w:rsid w:val="0021709C"/>
    <w:rsid w:val="002235D9"/>
    <w:rsid w:val="00226317"/>
    <w:rsid w:val="00232C19"/>
    <w:rsid w:val="00235088"/>
    <w:rsid w:val="00236682"/>
    <w:rsid w:val="00245CF4"/>
    <w:rsid w:val="00245F7B"/>
    <w:rsid w:val="00251BEB"/>
    <w:rsid w:val="00252DC2"/>
    <w:rsid w:val="00254F3F"/>
    <w:rsid w:val="00255F48"/>
    <w:rsid w:val="002578C1"/>
    <w:rsid w:val="0026034C"/>
    <w:rsid w:val="002646CA"/>
    <w:rsid w:val="002666EA"/>
    <w:rsid w:val="002734AA"/>
    <w:rsid w:val="00276CBD"/>
    <w:rsid w:val="002774E6"/>
    <w:rsid w:val="00280AAD"/>
    <w:rsid w:val="002830FD"/>
    <w:rsid w:val="0028360A"/>
    <w:rsid w:val="00284BB8"/>
    <w:rsid w:val="0028605A"/>
    <w:rsid w:val="00293FF4"/>
    <w:rsid w:val="00294231"/>
    <w:rsid w:val="00294B03"/>
    <w:rsid w:val="002A4358"/>
    <w:rsid w:val="002A589D"/>
    <w:rsid w:val="002A66C3"/>
    <w:rsid w:val="002A6855"/>
    <w:rsid w:val="002B3245"/>
    <w:rsid w:val="002B45A4"/>
    <w:rsid w:val="002B77AE"/>
    <w:rsid w:val="002C10B4"/>
    <w:rsid w:val="002C2239"/>
    <w:rsid w:val="002C40C5"/>
    <w:rsid w:val="002C49D2"/>
    <w:rsid w:val="002C6A2B"/>
    <w:rsid w:val="002C7A99"/>
    <w:rsid w:val="002D3EBE"/>
    <w:rsid w:val="002D3EF1"/>
    <w:rsid w:val="002D76AC"/>
    <w:rsid w:val="002D7ACC"/>
    <w:rsid w:val="002E2C58"/>
    <w:rsid w:val="002E783E"/>
    <w:rsid w:val="002F0D8A"/>
    <w:rsid w:val="002F2288"/>
    <w:rsid w:val="002F5306"/>
    <w:rsid w:val="003024D5"/>
    <w:rsid w:val="003037EF"/>
    <w:rsid w:val="00304B16"/>
    <w:rsid w:val="00306AA1"/>
    <w:rsid w:val="00307ACE"/>
    <w:rsid w:val="00311173"/>
    <w:rsid w:val="0031277B"/>
    <w:rsid w:val="00313BF4"/>
    <w:rsid w:val="0032125F"/>
    <w:rsid w:val="00326D96"/>
    <w:rsid w:val="00331746"/>
    <w:rsid w:val="00333208"/>
    <w:rsid w:val="003333D2"/>
    <w:rsid w:val="00334D24"/>
    <w:rsid w:val="00335AA8"/>
    <w:rsid w:val="003362A3"/>
    <w:rsid w:val="00341051"/>
    <w:rsid w:val="00344048"/>
    <w:rsid w:val="00344A25"/>
    <w:rsid w:val="00347771"/>
    <w:rsid w:val="00351625"/>
    <w:rsid w:val="00351CAC"/>
    <w:rsid w:val="003544F2"/>
    <w:rsid w:val="00356AC9"/>
    <w:rsid w:val="00361385"/>
    <w:rsid w:val="00363DA3"/>
    <w:rsid w:val="00364111"/>
    <w:rsid w:val="00365A95"/>
    <w:rsid w:val="00366B28"/>
    <w:rsid w:val="0037200B"/>
    <w:rsid w:val="00377F6D"/>
    <w:rsid w:val="0038134E"/>
    <w:rsid w:val="003845D0"/>
    <w:rsid w:val="00384D5C"/>
    <w:rsid w:val="00386349"/>
    <w:rsid w:val="00387D66"/>
    <w:rsid w:val="00393AAB"/>
    <w:rsid w:val="00397670"/>
    <w:rsid w:val="003A10DC"/>
    <w:rsid w:val="003A2B9D"/>
    <w:rsid w:val="003A3C0D"/>
    <w:rsid w:val="003A4C5F"/>
    <w:rsid w:val="003A62EB"/>
    <w:rsid w:val="003B20D6"/>
    <w:rsid w:val="003B24B5"/>
    <w:rsid w:val="003B278E"/>
    <w:rsid w:val="003B4112"/>
    <w:rsid w:val="003B70B6"/>
    <w:rsid w:val="003C4063"/>
    <w:rsid w:val="003C5015"/>
    <w:rsid w:val="003D14F9"/>
    <w:rsid w:val="003D27B6"/>
    <w:rsid w:val="003D3D8C"/>
    <w:rsid w:val="003D6FD9"/>
    <w:rsid w:val="003E032F"/>
    <w:rsid w:val="003F2AE1"/>
    <w:rsid w:val="003F660C"/>
    <w:rsid w:val="003F7952"/>
    <w:rsid w:val="004077F2"/>
    <w:rsid w:val="00410A23"/>
    <w:rsid w:val="00411828"/>
    <w:rsid w:val="00415993"/>
    <w:rsid w:val="00420EEB"/>
    <w:rsid w:val="00422738"/>
    <w:rsid w:val="00422ADF"/>
    <w:rsid w:val="0042799F"/>
    <w:rsid w:val="0043373A"/>
    <w:rsid w:val="00440706"/>
    <w:rsid w:val="00447421"/>
    <w:rsid w:val="00447DA7"/>
    <w:rsid w:val="00447EC2"/>
    <w:rsid w:val="004501F5"/>
    <w:rsid w:val="00450518"/>
    <w:rsid w:val="004517CD"/>
    <w:rsid w:val="00453407"/>
    <w:rsid w:val="00454C7F"/>
    <w:rsid w:val="00455976"/>
    <w:rsid w:val="00456739"/>
    <w:rsid w:val="00457880"/>
    <w:rsid w:val="00464CFB"/>
    <w:rsid w:val="00465CD6"/>
    <w:rsid w:val="004677CD"/>
    <w:rsid w:val="00472061"/>
    <w:rsid w:val="00477A43"/>
    <w:rsid w:val="00482233"/>
    <w:rsid w:val="00482CFC"/>
    <w:rsid w:val="004838E1"/>
    <w:rsid w:val="00492CA9"/>
    <w:rsid w:val="004A21DA"/>
    <w:rsid w:val="004A2782"/>
    <w:rsid w:val="004A28BE"/>
    <w:rsid w:val="004A6107"/>
    <w:rsid w:val="004A6E19"/>
    <w:rsid w:val="004A6ED5"/>
    <w:rsid w:val="004A7A78"/>
    <w:rsid w:val="004B5158"/>
    <w:rsid w:val="004C25A3"/>
    <w:rsid w:val="004C30B4"/>
    <w:rsid w:val="004D4773"/>
    <w:rsid w:val="004D6B63"/>
    <w:rsid w:val="004D7D47"/>
    <w:rsid w:val="004E18A6"/>
    <w:rsid w:val="004E1D26"/>
    <w:rsid w:val="004E308A"/>
    <w:rsid w:val="004E51FF"/>
    <w:rsid w:val="004E62CA"/>
    <w:rsid w:val="004E688E"/>
    <w:rsid w:val="004E75D2"/>
    <w:rsid w:val="004F0D94"/>
    <w:rsid w:val="004F76F4"/>
    <w:rsid w:val="00504973"/>
    <w:rsid w:val="005071CF"/>
    <w:rsid w:val="00516012"/>
    <w:rsid w:val="00516FEA"/>
    <w:rsid w:val="00521A47"/>
    <w:rsid w:val="005357E3"/>
    <w:rsid w:val="00536640"/>
    <w:rsid w:val="005371D0"/>
    <w:rsid w:val="005427AA"/>
    <w:rsid w:val="00550533"/>
    <w:rsid w:val="0055441D"/>
    <w:rsid w:val="00556031"/>
    <w:rsid w:val="005561D8"/>
    <w:rsid w:val="005609EF"/>
    <w:rsid w:val="00562693"/>
    <w:rsid w:val="005643E7"/>
    <w:rsid w:val="00570F4C"/>
    <w:rsid w:val="005742A3"/>
    <w:rsid w:val="005850F3"/>
    <w:rsid w:val="00590032"/>
    <w:rsid w:val="00590ABB"/>
    <w:rsid w:val="00596F00"/>
    <w:rsid w:val="005A3F7D"/>
    <w:rsid w:val="005A542C"/>
    <w:rsid w:val="005A79F4"/>
    <w:rsid w:val="005B07EF"/>
    <w:rsid w:val="005B5E51"/>
    <w:rsid w:val="005B68BF"/>
    <w:rsid w:val="005B70A0"/>
    <w:rsid w:val="005B7CF7"/>
    <w:rsid w:val="005C1D94"/>
    <w:rsid w:val="005C1E20"/>
    <w:rsid w:val="005C3FE3"/>
    <w:rsid w:val="005C5874"/>
    <w:rsid w:val="005C7989"/>
    <w:rsid w:val="005D079F"/>
    <w:rsid w:val="005D0E47"/>
    <w:rsid w:val="005E2410"/>
    <w:rsid w:val="005E371B"/>
    <w:rsid w:val="005E4117"/>
    <w:rsid w:val="005F08D6"/>
    <w:rsid w:val="005F50E8"/>
    <w:rsid w:val="005F55ED"/>
    <w:rsid w:val="005F65E1"/>
    <w:rsid w:val="005F6744"/>
    <w:rsid w:val="005F688B"/>
    <w:rsid w:val="00602DBA"/>
    <w:rsid w:val="00604512"/>
    <w:rsid w:val="0060704D"/>
    <w:rsid w:val="00611A2A"/>
    <w:rsid w:val="00611DA7"/>
    <w:rsid w:val="0061293F"/>
    <w:rsid w:val="00615460"/>
    <w:rsid w:val="00617D3E"/>
    <w:rsid w:val="00621295"/>
    <w:rsid w:val="00624150"/>
    <w:rsid w:val="00624E4A"/>
    <w:rsid w:val="006250B2"/>
    <w:rsid w:val="00632DD1"/>
    <w:rsid w:val="00637854"/>
    <w:rsid w:val="00637D32"/>
    <w:rsid w:val="00637F31"/>
    <w:rsid w:val="006412B6"/>
    <w:rsid w:val="00651306"/>
    <w:rsid w:val="00651D25"/>
    <w:rsid w:val="006535A5"/>
    <w:rsid w:val="0065423A"/>
    <w:rsid w:val="00657B87"/>
    <w:rsid w:val="00662135"/>
    <w:rsid w:val="00663BA4"/>
    <w:rsid w:val="0066726F"/>
    <w:rsid w:val="006719FB"/>
    <w:rsid w:val="0067396E"/>
    <w:rsid w:val="006756A5"/>
    <w:rsid w:val="00675E56"/>
    <w:rsid w:val="0067624A"/>
    <w:rsid w:val="00680F21"/>
    <w:rsid w:val="0068211F"/>
    <w:rsid w:val="00683A1D"/>
    <w:rsid w:val="00685B38"/>
    <w:rsid w:val="006860CB"/>
    <w:rsid w:val="006871C7"/>
    <w:rsid w:val="00691143"/>
    <w:rsid w:val="006A0E2B"/>
    <w:rsid w:val="006A6B6D"/>
    <w:rsid w:val="006B784D"/>
    <w:rsid w:val="006C049B"/>
    <w:rsid w:val="006C453F"/>
    <w:rsid w:val="006C4594"/>
    <w:rsid w:val="006C5EBD"/>
    <w:rsid w:val="006C61B8"/>
    <w:rsid w:val="006C70BE"/>
    <w:rsid w:val="006D02E8"/>
    <w:rsid w:val="006D269B"/>
    <w:rsid w:val="006D32F0"/>
    <w:rsid w:val="006D4A31"/>
    <w:rsid w:val="006D7070"/>
    <w:rsid w:val="006E347B"/>
    <w:rsid w:val="006E485E"/>
    <w:rsid w:val="006E6858"/>
    <w:rsid w:val="006E6E28"/>
    <w:rsid w:val="006F229D"/>
    <w:rsid w:val="006F2F8F"/>
    <w:rsid w:val="006F3DAA"/>
    <w:rsid w:val="006F5EF5"/>
    <w:rsid w:val="006F5F43"/>
    <w:rsid w:val="00705862"/>
    <w:rsid w:val="00710D3F"/>
    <w:rsid w:val="007123FB"/>
    <w:rsid w:val="007130E6"/>
    <w:rsid w:val="0071486B"/>
    <w:rsid w:val="00716BCE"/>
    <w:rsid w:val="00721F24"/>
    <w:rsid w:val="007228DA"/>
    <w:rsid w:val="007236B7"/>
    <w:rsid w:val="007239F1"/>
    <w:rsid w:val="0072737F"/>
    <w:rsid w:val="00727566"/>
    <w:rsid w:val="00730CC1"/>
    <w:rsid w:val="00732380"/>
    <w:rsid w:val="00733866"/>
    <w:rsid w:val="00734EA0"/>
    <w:rsid w:val="00736B6D"/>
    <w:rsid w:val="00745D84"/>
    <w:rsid w:val="00746BE2"/>
    <w:rsid w:val="007532DA"/>
    <w:rsid w:val="00754399"/>
    <w:rsid w:val="0075689B"/>
    <w:rsid w:val="007574F2"/>
    <w:rsid w:val="0076076C"/>
    <w:rsid w:val="007701BB"/>
    <w:rsid w:val="007719CA"/>
    <w:rsid w:val="00791295"/>
    <w:rsid w:val="0079197A"/>
    <w:rsid w:val="0079574F"/>
    <w:rsid w:val="00796EC2"/>
    <w:rsid w:val="007A06C0"/>
    <w:rsid w:val="007A272E"/>
    <w:rsid w:val="007A2B84"/>
    <w:rsid w:val="007B01EE"/>
    <w:rsid w:val="007B5FDF"/>
    <w:rsid w:val="007C032F"/>
    <w:rsid w:val="007D1310"/>
    <w:rsid w:val="007D134B"/>
    <w:rsid w:val="007D1BD3"/>
    <w:rsid w:val="007D2A4C"/>
    <w:rsid w:val="007D5127"/>
    <w:rsid w:val="007E1391"/>
    <w:rsid w:val="007E2E21"/>
    <w:rsid w:val="007E3F72"/>
    <w:rsid w:val="007E6197"/>
    <w:rsid w:val="007E674A"/>
    <w:rsid w:val="00804014"/>
    <w:rsid w:val="00804461"/>
    <w:rsid w:val="00804887"/>
    <w:rsid w:val="00805E72"/>
    <w:rsid w:val="00807CD1"/>
    <w:rsid w:val="008103B8"/>
    <w:rsid w:val="00812880"/>
    <w:rsid w:val="00812D86"/>
    <w:rsid w:val="00824E7C"/>
    <w:rsid w:val="008360A5"/>
    <w:rsid w:val="00840B6C"/>
    <w:rsid w:val="008417D0"/>
    <w:rsid w:val="00842EB5"/>
    <w:rsid w:val="008477B4"/>
    <w:rsid w:val="00853D61"/>
    <w:rsid w:val="00855068"/>
    <w:rsid w:val="0086058E"/>
    <w:rsid w:val="00862F53"/>
    <w:rsid w:val="008662F4"/>
    <w:rsid w:val="0087075F"/>
    <w:rsid w:val="0087333F"/>
    <w:rsid w:val="0087456E"/>
    <w:rsid w:val="008772EB"/>
    <w:rsid w:val="0087799E"/>
    <w:rsid w:val="00887245"/>
    <w:rsid w:val="00890FE2"/>
    <w:rsid w:val="00891E28"/>
    <w:rsid w:val="00893E8F"/>
    <w:rsid w:val="00896A53"/>
    <w:rsid w:val="008A0E7C"/>
    <w:rsid w:val="008A21AA"/>
    <w:rsid w:val="008A50D3"/>
    <w:rsid w:val="008A7F1A"/>
    <w:rsid w:val="008B15B6"/>
    <w:rsid w:val="008B3090"/>
    <w:rsid w:val="008B4BE9"/>
    <w:rsid w:val="008B5415"/>
    <w:rsid w:val="008C057C"/>
    <w:rsid w:val="008C797E"/>
    <w:rsid w:val="008D13F9"/>
    <w:rsid w:val="008D2765"/>
    <w:rsid w:val="008D2B4C"/>
    <w:rsid w:val="008D7A2E"/>
    <w:rsid w:val="008E0D76"/>
    <w:rsid w:val="008E5BC4"/>
    <w:rsid w:val="008F02DE"/>
    <w:rsid w:val="008F0503"/>
    <w:rsid w:val="008F075D"/>
    <w:rsid w:val="008F321A"/>
    <w:rsid w:val="008F5C7A"/>
    <w:rsid w:val="009174C3"/>
    <w:rsid w:val="00917608"/>
    <w:rsid w:val="009216D4"/>
    <w:rsid w:val="009226C5"/>
    <w:rsid w:val="009227B2"/>
    <w:rsid w:val="009245CF"/>
    <w:rsid w:val="0093434F"/>
    <w:rsid w:val="009353BF"/>
    <w:rsid w:val="00945891"/>
    <w:rsid w:val="00955ACD"/>
    <w:rsid w:val="009560C5"/>
    <w:rsid w:val="009608E6"/>
    <w:rsid w:val="0096156B"/>
    <w:rsid w:val="00962B65"/>
    <w:rsid w:val="00962F91"/>
    <w:rsid w:val="00963A9A"/>
    <w:rsid w:val="00971BD5"/>
    <w:rsid w:val="00973EFA"/>
    <w:rsid w:val="009744FA"/>
    <w:rsid w:val="00977000"/>
    <w:rsid w:val="0098252B"/>
    <w:rsid w:val="00987AB6"/>
    <w:rsid w:val="00990DD5"/>
    <w:rsid w:val="00993199"/>
    <w:rsid w:val="0099426F"/>
    <w:rsid w:val="00996E00"/>
    <w:rsid w:val="009A0931"/>
    <w:rsid w:val="009A280F"/>
    <w:rsid w:val="009B3A47"/>
    <w:rsid w:val="009C1256"/>
    <w:rsid w:val="009C5324"/>
    <w:rsid w:val="009C7AA2"/>
    <w:rsid w:val="009D02AD"/>
    <w:rsid w:val="009D09C5"/>
    <w:rsid w:val="009D2DC0"/>
    <w:rsid w:val="009D5521"/>
    <w:rsid w:val="009D5FB6"/>
    <w:rsid w:val="009D60D4"/>
    <w:rsid w:val="009E09BC"/>
    <w:rsid w:val="009E18D9"/>
    <w:rsid w:val="009E354B"/>
    <w:rsid w:val="009E6811"/>
    <w:rsid w:val="009E71A5"/>
    <w:rsid w:val="009F0011"/>
    <w:rsid w:val="009F0D65"/>
    <w:rsid w:val="009F4680"/>
    <w:rsid w:val="00A01225"/>
    <w:rsid w:val="00A01A1A"/>
    <w:rsid w:val="00A10C15"/>
    <w:rsid w:val="00A10F16"/>
    <w:rsid w:val="00A117D5"/>
    <w:rsid w:val="00A128DE"/>
    <w:rsid w:val="00A17243"/>
    <w:rsid w:val="00A2581A"/>
    <w:rsid w:val="00A27B3D"/>
    <w:rsid w:val="00A27CA4"/>
    <w:rsid w:val="00A3006F"/>
    <w:rsid w:val="00A3177F"/>
    <w:rsid w:val="00A32E94"/>
    <w:rsid w:val="00A37C22"/>
    <w:rsid w:val="00A403DE"/>
    <w:rsid w:val="00A453DD"/>
    <w:rsid w:val="00A47246"/>
    <w:rsid w:val="00A50A75"/>
    <w:rsid w:val="00A50B54"/>
    <w:rsid w:val="00A5705C"/>
    <w:rsid w:val="00A5775E"/>
    <w:rsid w:val="00A61D43"/>
    <w:rsid w:val="00A70F4F"/>
    <w:rsid w:val="00A832D4"/>
    <w:rsid w:val="00A903F2"/>
    <w:rsid w:val="00AA1AC0"/>
    <w:rsid w:val="00AA5076"/>
    <w:rsid w:val="00AB0080"/>
    <w:rsid w:val="00AB2145"/>
    <w:rsid w:val="00AB380C"/>
    <w:rsid w:val="00AB4155"/>
    <w:rsid w:val="00AB5DAE"/>
    <w:rsid w:val="00AB7DAA"/>
    <w:rsid w:val="00AC0364"/>
    <w:rsid w:val="00AC0516"/>
    <w:rsid w:val="00AC41E3"/>
    <w:rsid w:val="00AC728E"/>
    <w:rsid w:val="00AC751A"/>
    <w:rsid w:val="00AD257E"/>
    <w:rsid w:val="00AD57EA"/>
    <w:rsid w:val="00AD6CB4"/>
    <w:rsid w:val="00AE0651"/>
    <w:rsid w:val="00AE2592"/>
    <w:rsid w:val="00AE28A5"/>
    <w:rsid w:val="00AE31F2"/>
    <w:rsid w:val="00AE3851"/>
    <w:rsid w:val="00AE6636"/>
    <w:rsid w:val="00AE75F0"/>
    <w:rsid w:val="00AF273D"/>
    <w:rsid w:val="00AF3377"/>
    <w:rsid w:val="00B03969"/>
    <w:rsid w:val="00B054F9"/>
    <w:rsid w:val="00B06995"/>
    <w:rsid w:val="00B076FE"/>
    <w:rsid w:val="00B11CDB"/>
    <w:rsid w:val="00B12269"/>
    <w:rsid w:val="00B128E3"/>
    <w:rsid w:val="00B134E6"/>
    <w:rsid w:val="00B14392"/>
    <w:rsid w:val="00B170D9"/>
    <w:rsid w:val="00B26238"/>
    <w:rsid w:val="00B26B54"/>
    <w:rsid w:val="00B32929"/>
    <w:rsid w:val="00B34F8B"/>
    <w:rsid w:val="00B41E56"/>
    <w:rsid w:val="00B445AD"/>
    <w:rsid w:val="00B44B84"/>
    <w:rsid w:val="00B44EEB"/>
    <w:rsid w:val="00B507D6"/>
    <w:rsid w:val="00B53E7E"/>
    <w:rsid w:val="00B549EE"/>
    <w:rsid w:val="00B555B8"/>
    <w:rsid w:val="00B56657"/>
    <w:rsid w:val="00B56DD1"/>
    <w:rsid w:val="00B6188E"/>
    <w:rsid w:val="00B62DC0"/>
    <w:rsid w:val="00B654FD"/>
    <w:rsid w:val="00B67034"/>
    <w:rsid w:val="00B77DD9"/>
    <w:rsid w:val="00B82C51"/>
    <w:rsid w:val="00B83313"/>
    <w:rsid w:val="00B838CE"/>
    <w:rsid w:val="00B91E34"/>
    <w:rsid w:val="00B94044"/>
    <w:rsid w:val="00BA12B1"/>
    <w:rsid w:val="00BA1C62"/>
    <w:rsid w:val="00BA21A5"/>
    <w:rsid w:val="00BA38BF"/>
    <w:rsid w:val="00BA5263"/>
    <w:rsid w:val="00BA735B"/>
    <w:rsid w:val="00BB0292"/>
    <w:rsid w:val="00BB169E"/>
    <w:rsid w:val="00BB7222"/>
    <w:rsid w:val="00BC3E42"/>
    <w:rsid w:val="00BC6854"/>
    <w:rsid w:val="00BD3076"/>
    <w:rsid w:val="00BD35F7"/>
    <w:rsid w:val="00BD4AC5"/>
    <w:rsid w:val="00BD7902"/>
    <w:rsid w:val="00BD7D37"/>
    <w:rsid w:val="00BE4D72"/>
    <w:rsid w:val="00BF0896"/>
    <w:rsid w:val="00BF2F08"/>
    <w:rsid w:val="00BF5044"/>
    <w:rsid w:val="00BF5189"/>
    <w:rsid w:val="00BF7813"/>
    <w:rsid w:val="00C01C77"/>
    <w:rsid w:val="00C06DD6"/>
    <w:rsid w:val="00C1010F"/>
    <w:rsid w:val="00C11CF7"/>
    <w:rsid w:val="00C17E57"/>
    <w:rsid w:val="00C219C8"/>
    <w:rsid w:val="00C25525"/>
    <w:rsid w:val="00C2686D"/>
    <w:rsid w:val="00C3548F"/>
    <w:rsid w:val="00C358A3"/>
    <w:rsid w:val="00C467BB"/>
    <w:rsid w:val="00C47738"/>
    <w:rsid w:val="00C50687"/>
    <w:rsid w:val="00C50E8D"/>
    <w:rsid w:val="00C53184"/>
    <w:rsid w:val="00C536DE"/>
    <w:rsid w:val="00C5623B"/>
    <w:rsid w:val="00C57FD5"/>
    <w:rsid w:val="00C6072D"/>
    <w:rsid w:val="00C61576"/>
    <w:rsid w:val="00C70457"/>
    <w:rsid w:val="00C740FF"/>
    <w:rsid w:val="00C76053"/>
    <w:rsid w:val="00C86586"/>
    <w:rsid w:val="00CA053A"/>
    <w:rsid w:val="00CC27E2"/>
    <w:rsid w:val="00CC2EBC"/>
    <w:rsid w:val="00CC3A74"/>
    <w:rsid w:val="00CC3C02"/>
    <w:rsid w:val="00CC5E94"/>
    <w:rsid w:val="00CC6B9F"/>
    <w:rsid w:val="00CD0410"/>
    <w:rsid w:val="00CD424C"/>
    <w:rsid w:val="00CD656C"/>
    <w:rsid w:val="00CD7BBB"/>
    <w:rsid w:val="00CE07F1"/>
    <w:rsid w:val="00CE2DD5"/>
    <w:rsid w:val="00CE4826"/>
    <w:rsid w:val="00CE5781"/>
    <w:rsid w:val="00CE5D65"/>
    <w:rsid w:val="00CF44E1"/>
    <w:rsid w:val="00CF4EBE"/>
    <w:rsid w:val="00CF4F46"/>
    <w:rsid w:val="00CF5500"/>
    <w:rsid w:val="00CF56A9"/>
    <w:rsid w:val="00CF5829"/>
    <w:rsid w:val="00CF6C0C"/>
    <w:rsid w:val="00D044BA"/>
    <w:rsid w:val="00D15910"/>
    <w:rsid w:val="00D16FC8"/>
    <w:rsid w:val="00D201F8"/>
    <w:rsid w:val="00D256A1"/>
    <w:rsid w:val="00D25F81"/>
    <w:rsid w:val="00D275C6"/>
    <w:rsid w:val="00D30013"/>
    <w:rsid w:val="00D30485"/>
    <w:rsid w:val="00D30A29"/>
    <w:rsid w:val="00D337BB"/>
    <w:rsid w:val="00D34C2F"/>
    <w:rsid w:val="00D35AD4"/>
    <w:rsid w:val="00D366F0"/>
    <w:rsid w:val="00D409DD"/>
    <w:rsid w:val="00D50225"/>
    <w:rsid w:val="00D5365D"/>
    <w:rsid w:val="00D55C66"/>
    <w:rsid w:val="00D6006E"/>
    <w:rsid w:val="00D6251A"/>
    <w:rsid w:val="00D63239"/>
    <w:rsid w:val="00D65CC7"/>
    <w:rsid w:val="00D7180F"/>
    <w:rsid w:val="00D76423"/>
    <w:rsid w:val="00D76B40"/>
    <w:rsid w:val="00D77D22"/>
    <w:rsid w:val="00D80BE7"/>
    <w:rsid w:val="00D82D1B"/>
    <w:rsid w:val="00D84000"/>
    <w:rsid w:val="00D84DE1"/>
    <w:rsid w:val="00D8618E"/>
    <w:rsid w:val="00D92C68"/>
    <w:rsid w:val="00D9652F"/>
    <w:rsid w:val="00DA0886"/>
    <w:rsid w:val="00DA2B1C"/>
    <w:rsid w:val="00DA47F9"/>
    <w:rsid w:val="00DA6505"/>
    <w:rsid w:val="00DA6C9F"/>
    <w:rsid w:val="00DB15D0"/>
    <w:rsid w:val="00DC4E51"/>
    <w:rsid w:val="00DD10C0"/>
    <w:rsid w:val="00DD15D0"/>
    <w:rsid w:val="00DD3FFA"/>
    <w:rsid w:val="00DE0678"/>
    <w:rsid w:val="00DE0DBF"/>
    <w:rsid w:val="00DE0EBC"/>
    <w:rsid w:val="00DE64CA"/>
    <w:rsid w:val="00DF594D"/>
    <w:rsid w:val="00DF6F83"/>
    <w:rsid w:val="00DF7D0B"/>
    <w:rsid w:val="00E023CD"/>
    <w:rsid w:val="00E0726A"/>
    <w:rsid w:val="00E1021E"/>
    <w:rsid w:val="00E11934"/>
    <w:rsid w:val="00E133C1"/>
    <w:rsid w:val="00E16486"/>
    <w:rsid w:val="00E16DE2"/>
    <w:rsid w:val="00E2046B"/>
    <w:rsid w:val="00E27CEB"/>
    <w:rsid w:val="00E31181"/>
    <w:rsid w:val="00E31249"/>
    <w:rsid w:val="00E31500"/>
    <w:rsid w:val="00E44955"/>
    <w:rsid w:val="00E465BB"/>
    <w:rsid w:val="00E50065"/>
    <w:rsid w:val="00E50071"/>
    <w:rsid w:val="00E54DBE"/>
    <w:rsid w:val="00E64554"/>
    <w:rsid w:val="00E65E3B"/>
    <w:rsid w:val="00E71756"/>
    <w:rsid w:val="00E71E91"/>
    <w:rsid w:val="00E74DCE"/>
    <w:rsid w:val="00E75B66"/>
    <w:rsid w:val="00E76B9A"/>
    <w:rsid w:val="00E819E1"/>
    <w:rsid w:val="00E83241"/>
    <w:rsid w:val="00E83D55"/>
    <w:rsid w:val="00E84E5C"/>
    <w:rsid w:val="00E86479"/>
    <w:rsid w:val="00E92391"/>
    <w:rsid w:val="00E92519"/>
    <w:rsid w:val="00E9623F"/>
    <w:rsid w:val="00E968FD"/>
    <w:rsid w:val="00EB40AF"/>
    <w:rsid w:val="00EB4CBB"/>
    <w:rsid w:val="00EB63D8"/>
    <w:rsid w:val="00EC025E"/>
    <w:rsid w:val="00EC4F34"/>
    <w:rsid w:val="00ED1B4E"/>
    <w:rsid w:val="00ED40CB"/>
    <w:rsid w:val="00ED4F30"/>
    <w:rsid w:val="00ED5379"/>
    <w:rsid w:val="00EE0B0D"/>
    <w:rsid w:val="00EE2F52"/>
    <w:rsid w:val="00EE558D"/>
    <w:rsid w:val="00EE6844"/>
    <w:rsid w:val="00EE7BF7"/>
    <w:rsid w:val="00EF30DC"/>
    <w:rsid w:val="00EF4963"/>
    <w:rsid w:val="00F0191F"/>
    <w:rsid w:val="00F108E8"/>
    <w:rsid w:val="00F109E9"/>
    <w:rsid w:val="00F13302"/>
    <w:rsid w:val="00F15AE5"/>
    <w:rsid w:val="00F24950"/>
    <w:rsid w:val="00F25162"/>
    <w:rsid w:val="00F31B33"/>
    <w:rsid w:val="00F36EDB"/>
    <w:rsid w:val="00F4495C"/>
    <w:rsid w:val="00F46F09"/>
    <w:rsid w:val="00F528AB"/>
    <w:rsid w:val="00F53AEF"/>
    <w:rsid w:val="00F54A9D"/>
    <w:rsid w:val="00F613F1"/>
    <w:rsid w:val="00F63B7A"/>
    <w:rsid w:val="00F648DE"/>
    <w:rsid w:val="00F650CA"/>
    <w:rsid w:val="00F7452B"/>
    <w:rsid w:val="00F75493"/>
    <w:rsid w:val="00F80336"/>
    <w:rsid w:val="00F837D9"/>
    <w:rsid w:val="00F85A17"/>
    <w:rsid w:val="00F872EA"/>
    <w:rsid w:val="00F9020B"/>
    <w:rsid w:val="00F91522"/>
    <w:rsid w:val="00F929F9"/>
    <w:rsid w:val="00F945CD"/>
    <w:rsid w:val="00F94810"/>
    <w:rsid w:val="00F94DF0"/>
    <w:rsid w:val="00FA4526"/>
    <w:rsid w:val="00FA6865"/>
    <w:rsid w:val="00FA69D8"/>
    <w:rsid w:val="00FB366B"/>
    <w:rsid w:val="00FB5F2D"/>
    <w:rsid w:val="00FB628B"/>
    <w:rsid w:val="00FC0AEA"/>
    <w:rsid w:val="00FC3549"/>
    <w:rsid w:val="00FC5FDB"/>
    <w:rsid w:val="00FD1857"/>
    <w:rsid w:val="00FD2DBE"/>
    <w:rsid w:val="00FD4CF6"/>
    <w:rsid w:val="00FD4FAF"/>
    <w:rsid w:val="00FD706F"/>
    <w:rsid w:val="00FD7931"/>
    <w:rsid w:val="00FE0E38"/>
    <w:rsid w:val="00FE2574"/>
    <w:rsid w:val="00FE458D"/>
    <w:rsid w:val="00FF474B"/>
    <w:rsid w:val="00FF5D9E"/>
    <w:rsid w:val="00FF7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3A278"/>
  <w15:chartTrackingRefBased/>
  <w15:docId w15:val="{0038211B-0F07-423F-9449-67BB7F32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2F53"/>
    <w:pPr>
      <w:spacing w:after="0" w:line="240" w:lineRule="auto"/>
    </w:pPr>
  </w:style>
  <w:style w:type="paragraph" w:styleId="ListParagraph">
    <w:name w:val="List Paragraph"/>
    <w:basedOn w:val="Normal"/>
    <w:uiPriority w:val="34"/>
    <w:qFormat/>
    <w:rsid w:val="005E4117"/>
    <w:pPr>
      <w:ind w:left="720"/>
      <w:contextualSpacing/>
    </w:pPr>
  </w:style>
  <w:style w:type="paragraph" w:styleId="FootnoteText">
    <w:name w:val="footnote text"/>
    <w:basedOn w:val="Normal"/>
    <w:link w:val="FootnoteTextChar"/>
    <w:uiPriority w:val="99"/>
    <w:semiHidden/>
    <w:unhideWhenUsed/>
    <w:rsid w:val="001602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02B9"/>
    <w:rPr>
      <w:sz w:val="20"/>
      <w:szCs w:val="20"/>
    </w:rPr>
  </w:style>
  <w:style w:type="character" w:styleId="FootnoteReference">
    <w:name w:val="footnote reference"/>
    <w:basedOn w:val="DefaultParagraphFont"/>
    <w:uiPriority w:val="99"/>
    <w:semiHidden/>
    <w:unhideWhenUsed/>
    <w:rsid w:val="001602B9"/>
    <w:rPr>
      <w:vertAlign w:val="superscript"/>
    </w:rPr>
  </w:style>
  <w:style w:type="paragraph" w:styleId="EndnoteText">
    <w:name w:val="endnote text"/>
    <w:basedOn w:val="Normal"/>
    <w:link w:val="EndnoteTextChar"/>
    <w:uiPriority w:val="99"/>
    <w:unhideWhenUsed/>
    <w:rsid w:val="00A5775E"/>
    <w:pPr>
      <w:spacing w:after="0" w:line="240" w:lineRule="auto"/>
    </w:pPr>
    <w:rPr>
      <w:sz w:val="20"/>
      <w:szCs w:val="20"/>
    </w:rPr>
  </w:style>
  <w:style w:type="character" w:customStyle="1" w:styleId="EndnoteTextChar">
    <w:name w:val="Endnote Text Char"/>
    <w:basedOn w:val="DefaultParagraphFont"/>
    <w:link w:val="EndnoteText"/>
    <w:uiPriority w:val="99"/>
    <w:rsid w:val="00A5775E"/>
    <w:rPr>
      <w:sz w:val="20"/>
      <w:szCs w:val="20"/>
    </w:rPr>
  </w:style>
  <w:style w:type="character" w:styleId="EndnoteReference">
    <w:name w:val="endnote reference"/>
    <w:basedOn w:val="DefaultParagraphFont"/>
    <w:uiPriority w:val="99"/>
    <w:semiHidden/>
    <w:unhideWhenUsed/>
    <w:rsid w:val="00A5775E"/>
    <w:rPr>
      <w:vertAlign w:val="superscript"/>
    </w:rPr>
  </w:style>
  <w:style w:type="paragraph" w:customStyle="1" w:styleId="statutory-body-1em">
    <w:name w:val="statutory-body-1em"/>
    <w:basedOn w:val="Normal"/>
    <w:rsid w:val="00A1724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atutory-body-2em">
    <w:name w:val="statutory-body-2em"/>
    <w:basedOn w:val="Normal"/>
    <w:rsid w:val="00A1724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atutory-body-3em">
    <w:name w:val="statutory-body-3em"/>
    <w:basedOn w:val="Normal"/>
    <w:rsid w:val="00A1724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atutory-body-4em">
    <w:name w:val="statutory-body-4em"/>
    <w:basedOn w:val="Normal"/>
    <w:rsid w:val="00A1724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832D4"/>
    <w:rPr>
      <w:color w:val="0563C1" w:themeColor="hyperlink"/>
      <w:u w:val="single"/>
    </w:rPr>
  </w:style>
  <w:style w:type="character" w:styleId="UnresolvedMention">
    <w:name w:val="Unresolved Mention"/>
    <w:basedOn w:val="DefaultParagraphFont"/>
    <w:uiPriority w:val="99"/>
    <w:semiHidden/>
    <w:unhideWhenUsed/>
    <w:rsid w:val="00A832D4"/>
    <w:rPr>
      <w:color w:val="605E5C"/>
      <w:shd w:val="clear" w:color="auto" w:fill="E1DFDD"/>
    </w:rPr>
  </w:style>
  <w:style w:type="character" w:styleId="FollowedHyperlink">
    <w:name w:val="FollowedHyperlink"/>
    <w:basedOn w:val="DefaultParagraphFont"/>
    <w:uiPriority w:val="99"/>
    <w:semiHidden/>
    <w:unhideWhenUsed/>
    <w:rsid w:val="009C5324"/>
    <w:rPr>
      <w:color w:val="954F72" w:themeColor="followedHyperlink"/>
      <w:u w:val="single"/>
    </w:rPr>
  </w:style>
  <w:style w:type="paragraph" w:customStyle="1" w:styleId="indent-2">
    <w:name w:val="indent-2"/>
    <w:basedOn w:val="Normal"/>
    <w:rsid w:val="00A128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A128DE"/>
  </w:style>
  <w:style w:type="character" w:customStyle="1" w:styleId="paren">
    <w:name w:val="paren"/>
    <w:basedOn w:val="DefaultParagraphFont"/>
    <w:rsid w:val="00A128DE"/>
  </w:style>
  <w:style w:type="table" w:styleId="TableGrid">
    <w:name w:val="Table Grid"/>
    <w:basedOn w:val="TableNormal"/>
    <w:uiPriority w:val="39"/>
    <w:rsid w:val="00111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2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DD1"/>
  </w:style>
  <w:style w:type="paragraph" w:styleId="Footer">
    <w:name w:val="footer"/>
    <w:basedOn w:val="Normal"/>
    <w:link w:val="FooterChar"/>
    <w:uiPriority w:val="99"/>
    <w:unhideWhenUsed/>
    <w:rsid w:val="00632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DD1"/>
  </w:style>
  <w:style w:type="character" w:customStyle="1" w:styleId="wacimagecontainer">
    <w:name w:val="wacimagecontainer"/>
    <w:basedOn w:val="DefaultParagraphFont"/>
    <w:rsid w:val="00ED4F30"/>
  </w:style>
  <w:style w:type="character" w:styleId="CommentReference">
    <w:name w:val="annotation reference"/>
    <w:basedOn w:val="DefaultParagraphFont"/>
    <w:uiPriority w:val="99"/>
    <w:semiHidden/>
    <w:unhideWhenUsed/>
    <w:rsid w:val="00C47738"/>
    <w:rPr>
      <w:sz w:val="16"/>
      <w:szCs w:val="16"/>
    </w:rPr>
  </w:style>
  <w:style w:type="paragraph" w:styleId="CommentText">
    <w:name w:val="annotation text"/>
    <w:basedOn w:val="Normal"/>
    <w:link w:val="CommentTextChar"/>
    <w:uiPriority w:val="99"/>
    <w:unhideWhenUsed/>
    <w:rsid w:val="00C47738"/>
    <w:pPr>
      <w:spacing w:line="240" w:lineRule="auto"/>
    </w:pPr>
    <w:rPr>
      <w:sz w:val="20"/>
      <w:szCs w:val="20"/>
    </w:rPr>
  </w:style>
  <w:style w:type="character" w:customStyle="1" w:styleId="CommentTextChar">
    <w:name w:val="Comment Text Char"/>
    <w:basedOn w:val="DefaultParagraphFont"/>
    <w:link w:val="CommentText"/>
    <w:uiPriority w:val="99"/>
    <w:rsid w:val="00C47738"/>
    <w:rPr>
      <w:sz w:val="20"/>
      <w:szCs w:val="20"/>
    </w:rPr>
  </w:style>
  <w:style w:type="paragraph" w:styleId="CommentSubject">
    <w:name w:val="annotation subject"/>
    <w:basedOn w:val="CommentText"/>
    <w:next w:val="CommentText"/>
    <w:link w:val="CommentSubjectChar"/>
    <w:uiPriority w:val="99"/>
    <w:semiHidden/>
    <w:unhideWhenUsed/>
    <w:rsid w:val="00C47738"/>
    <w:rPr>
      <w:b/>
      <w:bCs/>
    </w:rPr>
  </w:style>
  <w:style w:type="character" w:customStyle="1" w:styleId="CommentSubjectChar">
    <w:name w:val="Comment Subject Char"/>
    <w:basedOn w:val="CommentTextChar"/>
    <w:link w:val="CommentSubject"/>
    <w:uiPriority w:val="99"/>
    <w:semiHidden/>
    <w:rsid w:val="00C47738"/>
    <w:rPr>
      <w:b/>
      <w:bCs/>
      <w:sz w:val="20"/>
      <w:szCs w:val="20"/>
    </w:rPr>
  </w:style>
  <w:style w:type="paragraph" w:styleId="NormalWeb">
    <w:name w:val="Normal (Web)"/>
    <w:basedOn w:val="Normal"/>
    <w:uiPriority w:val="99"/>
    <w:semiHidden/>
    <w:unhideWhenUsed/>
    <w:rsid w:val="00C760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570F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669292">
      <w:bodyDiv w:val="1"/>
      <w:marLeft w:val="0"/>
      <w:marRight w:val="0"/>
      <w:marTop w:val="0"/>
      <w:marBottom w:val="0"/>
      <w:divBdr>
        <w:top w:val="none" w:sz="0" w:space="0" w:color="auto"/>
        <w:left w:val="none" w:sz="0" w:space="0" w:color="auto"/>
        <w:bottom w:val="none" w:sz="0" w:space="0" w:color="auto"/>
        <w:right w:val="none" w:sz="0" w:space="0" w:color="auto"/>
      </w:divBdr>
      <w:divsChild>
        <w:div w:id="809133237">
          <w:marLeft w:val="0"/>
          <w:marRight w:val="0"/>
          <w:marTop w:val="0"/>
          <w:marBottom w:val="0"/>
          <w:divBdr>
            <w:top w:val="none" w:sz="0" w:space="0" w:color="auto"/>
            <w:left w:val="none" w:sz="0" w:space="0" w:color="auto"/>
            <w:bottom w:val="none" w:sz="0" w:space="0" w:color="auto"/>
            <w:right w:val="none" w:sz="0" w:space="0" w:color="auto"/>
          </w:divBdr>
        </w:div>
      </w:divsChild>
    </w:div>
    <w:div w:id="231549883">
      <w:bodyDiv w:val="1"/>
      <w:marLeft w:val="0"/>
      <w:marRight w:val="0"/>
      <w:marTop w:val="0"/>
      <w:marBottom w:val="0"/>
      <w:divBdr>
        <w:top w:val="none" w:sz="0" w:space="0" w:color="auto"/>
        <w:left w:val="none" w:sz="0" w:space="0" w:color="auto"/>
        <w:bottom w:val="none" w:sz="0" w:space="0" w:color="auto"/>
        <w:right w:val="none" w:sz="0" w:space="0" w:color="auto"/>
      </w:divBdr>
    </w:div>
    <w:div w:id="261959127">
      <w:bodyDiv w:val="1"/>
      <w:marLeft w:val="0"/>
      <w:marRight w:val="0"/>
      <w:marTop w:val="0"/>
      <w:marBottom w:val="0"/>
      <w:divBdr>
        <w:top w:val="none" w:sz="0" w:space="0" w:color="auto"/>
        <w:left w:val="none" w:sz="0" w:space="0" w:color="auto"/>
        <w:bottom w:val="none" w:sz="0" w:space="0" w:color="auto"/>
        <w:right w:val="none" w:sz="0" w:space="0" w:color="auto"/>
      </w:divBdr>
    </w:div>
    <w:div w:id="425809837">
      <w:bodyDiv w:val="1"/>
      <w:marLeft w:val="0"/>
      <w:marRight w:val="0"/>
      <w:marTop w:val="0"/>
      <w:marBottom w:val="0"/>
      <w:divBdr>
        <w:top w:val="none" w:sz="0" w:space="0" w:color="auto"/>
        <w:left w:val="none" w:sz="0" w:space="0" w:color="auto"/>
        <w:bottom w:val="none" w:sz="0" w:space="0" w:color="auto"/>
        <w:right w:val="none" w:sz="0" w:space="0" w:color="auto"/>
      </w:divBdr>
    </w:div>
    <w:div w:id="834302639">
      <w:bodyDiv w:val="1"/>
      <w:marLeft w:val="0"/>
      <w:marRight w:val="0"/>
      <w:marTop w:val="0"/>
      <w:marBottom w:val="0"/>
      <w:divBdr>
        <w:top w:val="none" w:sz="0" w:space="0" w:color="auto"/>
        <w:left w:val="none" w:sz="0" w:space="0" w:color="auto"/>
        <w:bottom w:val="none" w:sz="0" w:space="0" w:color="auto"/>
        <w:right w:val="none" w:sz="0" w:space="0" w:color="auto"/>
      </w:divBdr>
    </w:div>
    <w:div w:id="892303973">
      <w:bodyDiv w:val="1"/>
      <w:marLeft w:val="0"/>
      <w:marRight w:val="0"/>
      <w:marTop w:val="0"/>
      <w:marBottom w:val="0"/>
      <w:divBdr>
        <w:top w:val="none" w:sz="0" w:space="0" w:color="auto"/>
        <w:left w:val="none" w:sz="0" w:space="0" w:color="auto"/>
        <w:bottom w:val="none" w:sz="0" w:space="0" w:color="auto"/>
        <w:right w:val="none" w:sz="0" w:space="0" w:color="auto"/>
      </w:divBdr>
      <w:divsChild>
        <w:div w:id="1660962112">
          <w:marLeft w:val="0"/>
          <w:marRight w:val="0"/>
          <w:marTop w:val="0"/>
          <w:marBottom w:val="0"/>
          <w:divBdr>
            <w:top w:val="none" w:sz="0" w:space="0" w:color="auto"/>
            <w:left w:val="none" w:sz="0" w:space="0" w:color="auto"/>
            <w:bottom w:val="none" w:sz="0" w:space="0" w:color="auto"/>
            <w:right w:val="none" w:sz="0" w:space="0" w:color="auto"/>
          </w:divBdr>
        </w:div>
      </w:divsChild>
    </w:div>
    <w:div w:id="926115951">
      <w:bodyDiv w:val="1"/>
      <w:marLeft w:val="0"/>
      <w:marRight w:val="0"/>
      <w:marTop w:val="0"/>
      <w:marBottom w:val="0"/>
      <w:divBdr>
        <w:top w:val="none" w:sz="0" w:space="0" w:color="auto"/>
        <w:left w:val="none" w:sz="0" w:space="0" w:color="auto"/>
        <w:bottom w:val="none" w:sz="0" w:space="0" w:color="auto"/>
        <w:right w:val="none" w:sz="0" w:space="0" w:color="auto"/>
      </w:divBdr>
      <w:divsChild>
        <w:div w:id="586305319">
          <w:marLeft w:val="0"/>
          <w:marRight w:val="0"/>
          <w:marTop w:val="0"/>
          <w:marBottom w:val="0"/>
          <w:divBdr>
            <w:top w:val="none" w:sz="0" w:space="0" w:color="auto"/>
            <w:left w:val="none" w:sz="0" w:space="0" w:color="auto"/>
            <w:bottom w:val="none" w:sz="0" w:space="0" w:color="auto"/>
            <w:right w:val="none" w:sz="0" w:space="0" w:color="auto"/>
          </w:divBdr>
        </w:div>
        <w:div w:id="689378405">
          <w:marLeft w:val="0"/>
          <w:marRight w:val="0"/>
          <w:marTop w:val="0"/>
          <w:marBottom w:val="0"/>
          <w:divBdr>
            <w:top w:val="none" w:sz="0" w:space="0" w:color="auto"/>
            <w:left w:val="none" w:sz="0" w:space="0" w:color="auto"/>
            <w:bottom w:val="none" w:sz="0" w:space="0" w:color="auto"/>
            <w:right w:val="none" w:sz="0" w:space="0" w:color="auto"/>
          </w:divBdr>
        </w:div>
        <w:div w:id="1783109741">
          <w:marLeft w:val="0"/>
          <w:marRight w:val="0"/>
          <w:marTop w:val="0"/>
          <w:marBottom w:val="0"/>
          <w:divBdr>
            <w:top w:val="none" w:sz="0" w:space="0" w:color="auto"/>
            <w:left w:val="none" w:sz="0" w:space="0" w:color="auto"/>
            <w:bottom w:val="none" w:sz="0" w:space="0" w:color="auto"/>
            <w:right w:val="none" w:sz="0" w:space="0" w:color="auto"/>
          </w:divBdr>
        </w:div>
      </w:divsChild>
    </w:div>
    <w:div w:id="1075469656">
      <w:bodyDiv w:val="1"/>
      <w:marLeft w:val="0"/>
      <w:marRight w:val="0"/>
      <w:marTop w:val="0"/>
      <w:marBottom w:val="0"/>
      <w:divBdr>
        <w:top w:val="none" w:sz="0" w:space="0" w:color="auto"/>
        <w:left w:val="none" w:sz="0" w:space="0" w:color="auto"/>
        <w:bottom w:val="none" w:sz="0" w:space="0" w:color="auto"/>
        <w:right w:val="none" w:sz="0" w:space="0" w:color="auto"/>
      </w:divBdr>
    </w:div>
    <w:div w:id="1075858583">
      <w:bodyDiv w:val="1"/>
      <w:marLeft w:val="0"/>
      <w:marRight w:val="0"/>
      <w:marTop w:val="0"/>
      <w:marBottom w:val="0"/>
      <w:divBdr>
        <w:top w:val="none" w:sz="0" w:space="0" w:color="auto"/>
        <w:left w:val="none" w:sz="0" w:space="0" w:color="auto"/>
        <w:bottom w:val="none" w:sz="0" w:space="0" w:color="auto"/>
        <w:right w:val="none" w:sz="0" w:space="0" w:color="auto"/>
      </w:divBdr>
      <w:divsChild>
        <w:div w:id="2051606243">
          <w:marLeft w:val="0"/>
          <w:marRight w:val="0"/>
          <w:marTop w:val="0"/>
          <w:marBottom w:val="0"/>
          <w:divBdr>
            <w:top w:val="none" w:sz="0" w:space="0" w:color="auto"/>
            <w:left w:val="none" w:sz="0" w:space="0" w:color="auto"/>
            <w:bottom w:val="none" w:sz="0" w:space="0" w:color="auto"/>
            <w:right w:val="none" w:sz="0" w:space="0" w:color="auto"/>
          </w:divBdr>
        </w:div>
      </w:divsChild>
    </w:div>
    <w:div w:id="1319502040">
      <w:bodyDiv w:val="1"/>
      <w:marLeft w:val="0"/>
      <w:marRight w:val="0"/>
      <w:marTop w:val="0"/>
      <w:marBottom w:val="0"/>
      <w:divBdr>
        <w:top w:val="none" w:sz="0" w:space="0" w:color="auto"/>
        <w:left w:val="none" w:sz="0" w:space="0" w:color="auto"/>
        <w:bottom w:val="none" w:sz="0" w:space="0" w:color="auto"/>
        <w:right w:val="none" w:sz="0" w:space="0" w:color="auto"/>
      </w:divBdr>
    </w:div>
    <w:div w:id="1558006462">
      <w:bodyDiv w:val="1"/>
      <w:marLeft w:val="0"/>
      <w:marRight w:val="0"/>
      <w:marTop w:val="0"/>
      <w:marBottom w:val="0"/>
      <w:divBdr>
        <w:top w:val="none" w:sz="0" w:space="0" w:color="auto"/>
        <w:left w:val="none" w:sz="0" w:space="0" w:color="auto"/>
        <w:bottom w:val="none" w:sz="0" w:space="0" w:color="auto"/>
        <w:right w:val="none" w:sz="0" w:space="0" w:color="auto"/>
      </w:divBdr>
    </w:div>
    <w:div w:id="1731493188">
      <w:bodyDiv w:val="1"/>
      <w:marLeft w:val="0"/>
      <w:marRight w:val="0"/>
      <w:marTop w:val="0"/>
      <w:marBottom w:val="0"/>
      <w:divBdr>
        <w:top w:val="none" w:sz="0" w:space="0" w:color="auto"/>
        <w:left w:val="none" w:sz="0" w:space="0" w:color="auto"/>
        <w:bottom w:val="none" w:sz="0" w:space="0" w:color="auto"/>
        <w:right w:val="none" w:sz="0" w:space="0" w:color="auto"/>
      </w:divBdr>
    </w:div>
    <w:div w:id="1891452979">
      <w:bodyDiv w:val="1"/>
      <w:marLeft w:val="0"/>
      <w:marRight w:val="0"/>
      <w:marTop w:val="0"/>
      <w:marBottom w:val="0"/>
      <w:divBdr>
        <w:top w:val="none" w:sz="0" w:space="0" w:color="auto"/>
        <w:left w:val="none" w:sz="0" w:space="0" w:color="auto"/>
        <w:bottom w:val="none" w:sz="0" w:space="0" w:color="auto"/>
        <w:right w:val="none" w:sz="0" w:space="0" w:color="auto"/>
      </w:divBdr>
    </w:div>
    <w:div w:id="199101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gov/deed/assets/dwfap-terms-definitions_tcm1045-648050.d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ol.gov/agencies/eta/advisories/training-and-employment-guidance-letter-no-10-09"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whitehouse.gov/wp-content/uploads/2023/07/OMB-Bulletin-23-01.pdf" TargetMode="External"/><Relationship Id="rId1" Type="http://schemas.openxmlformats.org/officeDocument/2006/relationships/hyperlink" Target="https://www.whitehouse.gov/wp-content/uploads/2023/07/OMB-Bulletin-23-0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2C58C-310E-4F97-9C85-57A536850871}">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3100</Words>
  <Characters>17672</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Alec (He/Him/His) (DEED)</dc:creator>
  <cp:keywords/>
  <dc:description/>
  <cp:lastModifiedBy>Smith, Alec (He/Him/His) (DEED)</cp:lastModifiedBy>
  <cp:revision>2</cp:revision>
  <dcterms:created xsi:type="dcterms:W3CDTF">2025-04-16T21:18:00Z</dcterms:created>
  <dcterms:modified xsi:type="dcterms:W3CDTF">2025-04-16T21:18:00Z</dcterms:modified>
</cp:coreProperties>
</file>