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0D3F" w14:textId="77777777" w:rsidR="00A33C83" w:rsidRDefault="00A33C83" w:rsidP="00A33C83">
      <w:pPr>
        <w:jc w:val="center"/>
        <w:rPr>
          <w:b/>
          <w:bCs/>
        </w:rPr>
      </w:pPr>
      <w:bookmarkStart w:id="0" w:name="_Hlk200616012"/>
      <w:r>
        <w:rPr>
          <w:b/>
          <w:bCs/>
        </w:rPr>
        <w:t>Minnesota Office of Broadband Development</w:t>
      </w:r>
    </w:p>
    <w:p w14:paraId="71BB85D0" w14:textId="5A593689" w:rsidR="00A33C83" w:rsidRPr="00A33C83" w:rsidRDefault="00A33C83" w:rsidP="00A33C83">
      <w:pPr>
        <w:jc w:val="center"/>
        <w:rPr>
          <w:b/>
          <w:bCs/>
        </w:rPr>
      </w:pPr>
      <w:r w:rsidRPr="00A33C83">
        <w:rPr>
          <w:b/>
          <w:bCs/>
        </w:rPr>
        <w:t>Broadband Equity, Access, and Deployment (BEAD) Program</w:t>
      </w:r>
    </w:p>
    <w:p w14:paraId="009CC19C" w14:textId="039EFDCF" w:rsidR="00A33C83" w:rsidRPr="00A33C83" w:rsidRDefault="00A33C83" w:rsidP="00A33C83">
      <w:pPr>
        <w:jc w:val="center"/>
        <w:rPr>
          <w:i/>
          <w:iCs/>
        </w:rPr>
      </w:pPr>
      <w:r w:rsidRPr="00A33C83">
        <w:rPr>
          <w:i/>
          <w:iCs/>
        </w:rPr>
        <w:t>Policy Notice on BEAD Restructuring: UFLW and BEAD Location Eligibility</w:t>
      </w:r>
    </w:p>
    <w:p w14:paraId="53D49302" w14:textId="77777777" w:rsidR="000004F7" w:rsidRPr="000004F7" w:rsidRDefault="000004F7" w:rsidP="000004F7">
      <w:pPr>
        <w:pStyle w:val="BodyText"/>
        <w:spacing w:line="259" w:lineRule="auto"/>
        <w:ind w:right="104"/>
        <w:rPr>
          <w:rFonts w:asciiTheme="minorHAnsi" w:hAnsiTheme="minorHAnsi"/>
        </w:rPr>
      </w:pPr>
      <w:r w:rsidRPr="000004F7">
        <w:rPr>
          <w:rFonts w:asciiTheme="minorHAnsi" w:hAnsiTheme="minorHAnsi"/>
          <w:b/>
        </w:rPr>
        <w:t xml:space="preserve">General Statement: </w:t>
      </w:r>
      <w:r w:rsidRPr="000004F7">
        <w:rPr>
          <w:rFonts w:asciiTheme="minorHAnsi" w:hAnsiTheme="minorHAnsi"/>
        </w:rPr>
        <w:t>The following policy notice is provided to meet the Office of Broadband Developments’ (OBD)</w:t>
      </w:r>
      <w:r w:rsidRPr="000004F7">
        <w:rPr>
          <w:rFonts w:asciiTheme="minorHAnsi" w:hAnsiTheme="minorHAnsi"/>
          <w:spacing w:val="-9"/>
        </w:rPr>
        <w:t xml:space="preserve"> </w:t>
      </w:r>
      <w:r w:rsidRPr="000004F7">
        <w:rPr>
          <w:rFonts w:asciiTheme="minorHAnsi" w:hAnsiTheme="minorHAnsi"/>
        </w:rPr>
        <w:t>commitment</w:t>
      </w:r>
      <w:r w:rsidRPr="000004F7">
        <w:rPr>
          <w:rFonts w:asciiTheme="minorHAnsi" w:hAnsiTheme="minorHAnsi"/>
          <w:spacing w:val="-9"/>
        </w:rPr>
        <w:t xml:space="preserve"> </w:t>
      </w:r>
      <w:r w:rsidRPr="000004F7">
        <w:rPr>
          <w:rFonts w:asciiTheme="minorHAnsi" w:hAnsiTheme="minorHAnsi"/>
        </w:rPr>
        <w:t>to</w:t>
      </w:r>
      <w:r w:rsidRPr="000004F7">
        <w:rPr>
          <w:rFonts w:asciiTheme="minorHAnsi" w:hAnsiTheme="minorHAnsi"/>
          <w:spacing w:val="-8"/>
        </w:rPr>
        <w:t xml:space="preserve"> </w:t>
      </w:r>
      <w:r w:rsidRPr="000004F7">
        <w:rPr>
          <w:rFonts w:asciiTheme="minorHAnsi" w:hAnsiTheme="minorHAnsi"/>
        </w:rPr>
        <w:t>and</w:t>
      </w:r>
      <w:r w:rsidRPr="000004F7">
        <w:rPr>
          <w:rFonts w:asciiTheme="minorHAnsi" w:hAnsiTheme="minorHAnsi"/>
          <w:spacing w:val="-10"/>
        </w:rPr>
        <w:t xml:space="preserve"> </w:t>
      </w:r>
      <w:r w:rsidRPr="000004F7">
        <w:rPr>
          <w:rFonts w:asciiTheme="minorHAnsi" w:hAnsiTheme="minorHAnsi"/>
        </w:rPr>
        <w:t>the</w:t>
      </w:r>
      <w:r w:rsidRPr="000004F7">
        <w:rPr>
          <w:rFonts w:asciiTheme="minorHAnsi" w:hAnsiTheme="minorHAnsi"/>
          <w:spacing w:val="-9"/>
        </w:rPr>
        <w:t xml:space="preserve"> </w:t>
      </w:r>
      <w:r w:rsidRPr="000004F7">
        <w:rPr>
          <w:rFonts w:asciiTheme="minorHAnsi" w:hAnsiTheme="minorHAnsi"/>
        </w:rPr>
        <w:t>National</w:t>
      </w:r>
      <w:r w:rsidRPr="000004F7">
        <w:rPr>
          <w:rFonts w:asciiTheme="minorHAnsi" w:hAnsiTheme="minorHAnsi"/>
          <w:spacing w:val="-11"/>
        </w:rPr>
        <w:t xml:space="preserve"> </w:t>
      </w:r>
      <w:r w:rsidRPr="000004F7">
        <w:rPr>
          <w:rFonts w:asciiTheme="minorHAnsi" w:hAnsiTheme="minorHAnsi"/>
        </w:rPr>
        <w:t>Telecommunications</w:t>
      </w:r>
      <w:r w:rsidRPr="000004F7">
        <w:rPr>
          <w:rFonts w:asciiTheme="minorHAnsi" w:hAnsiTheme="minorHAnsi"/>
          <w:spacing w:val="-9"/>
        </w:rPr>
        <w:t xml:space="preserve"> </w:t>
      </w:r>
      <w:r w:rsidRPr="000004F7">
        <w:rPr>
          <w:rFonts w:asciiTheme="minorHAnsi" w:hAnsiTheme="minorHAnsi"/>
        </w:rPr>
        <w:t>and</w:t>
      </w:r>
      <w:r w:rsidRPr="000004F7">
        <w:rPr>
          <w:rFonts w:asciiTheme="minorHAnsi" w:hAnsiTheme="minorHAnsi"/>
          <w:spacing w:val="-11"/>
        </w:rPr>
        <w:t xml:space="preserve"> </w:t>
      </w:r>
      <w:r w:rsidRPr="000004F7">
        <w:rPr>
          <w:rFonts w:asciiTheme="minorHAnsi" w:hAnsiTheme="minorHAnsi"/>
        </w:rPr>
        <w:t>Information</w:t>
      </w:r>
      <w:r w:rsidRPr="000004F7">
        <w:rPr>
          <w:rFonts w:asciiTheme="minorHAnsi" w:hAnsiTheme="minorHAnsi"/>
          <w:spacing w:val="-10"/>
        </w:rPr>
        <w:t xml:space="preserve"> </w:t>
      </w:r>
      <w:r w:rsidRPr="000004F7">
        <w:rPr>
          <w:rFonts w:asciiTheme="minorHAnsi" w:hAnsiTheme="minorHAnsi"/>
        </w:rPr>
        <w:t>Administration’s</w:t>
      </w:r>
      <w:r w:rsidRPr="000004F7">
        <w:rPr>
          <w:rFonts w:asciiTheme="minorHAnsi" w:hAnsiTheme="minorHAnsi"/>
          <w:spacing w:val="-9"/>
        </w:rPr>
        <w:t xml:space="preserve"> </w:t>
      </w:r>
      <w:r w:rsidRPr="000004F7">
        <w:rPr>
          <w:rFonts w:asciiTheme="minorHAnsi" w:hAnsiTheme="minorHAnsi"/>
        </w:rPr>
        <w:t>(NTIA) requirement of a fair, open, equitable, and competitive subgrantee selection process. This policy reinforces</w:t>
      </w:r>
      <w:r w:rsidRPr="000004F7">
        <w:rPr>
          <w:rFonts w:asciiTheme="minorHAnsi" w:hAnsiTheme="minorHAnsi"/>
          <w:spacing w:val="-2"/>
        </w:rPr>
        <w:t xml:space="preserve"> </w:t>
      </w:r>
      <w:r w:rsidRPr="000004F7">
        <w:rPr>
          <w:rFonts w:asciiTheme="minorHAnsi" w:hAnsiTheme="minorHAnsi"/>
        </w:rPr>
        <w:t>the</w:t>
      </w:r>
      <w:r w:rsidRPr="000004F7">
        <w:rPr>
          <w:rFonts w:asciiTheme="minorHAnsi" w:hAnsiTheme="minorHAnsi"/>
          <w:spacing w:val="-2"/>
        </w:rPr>
        <w:t xml:space="preserve"> </w:t>
      </w:r>
      <w:r w:rsidRPr="000004F7">
        <w:rPr>
          <w:rFonts w:asciiTheme="minorHAnsi" w:hAnsiTheme="minorHAnsi"/>
        </w:rPr>
        <w:t>adequate</w:t>
      </w:r>
      <w:r w:rsidRPr="000004F7">
        <w:rPr>
          <w:rFonts w:asciiTheme="minorHAnsi" w:hAnsiTheme="minorHAnsi"/>
          <w:spacing w:val="-5"/>
        </w:rPr>
        <w:t xml:space="preserve"> </w:t>
      </w:r>
      <w:r w:rsidRPr="000004F7">
        <w:rPr>
          <w:rFonts w:asciiTheme="minorHAnsi" w:hAnsiTheme="minorHAnsi"/>
        </w:rPr>
        <w:t>safeguards</w:t>
      </w:r>
      <w:r w:rsidRPr="000004F7">
        <w:rPr>
          <w:rFonts w:asciiTheme="minorHAnsi" w:hAnsiTheme="minorHAnsi"/>
          <w:spacing w:val="-3"/>
        </w:rPr>
        <w:t xml:space="preserve"> </w:t>
      </w:r>
      <w:r w:rsidRPr="000004F7">
        <w:rPr>
          <w:rFonts w:asciiTheme="minorHAnsi" w:hAnsiTheme="minorHAnsi"/>
        </w:rPr>
        <w:t>are</w:t>
      </w:r>
      <w:r w:rsidRPr="000004F7">
        <w:rPr>
          <w:rFonts w:asciiTheme="minorHAnsi" w:hAnsiTheme="minorHAnsi"/>
          <w:spacing w:val="-5"/>
        </w:rPr>
        <w:t xml:space="preserve"> </w:t>
      </w:r>
      <w:r w:rsidRPr="000004F7">
        <w:rPr>
          <w:rFonts w:asciiTheme="minorHAnsi" w:hAnsiTheme="minorHAnsi"/>
        </w:rPr>
        <w:t>in</w:t>
      </w:r>
      <w:r w:rsidRPr="000004F7">
        <w:rPr>
          <w:rFonts w:asciiTheme="minorHAnsi" w:hAnsiTheme="minorHAnsi"/>
          <w:spacing w:val="-3"/>
        </w:rPr>
        <w:t xml:space="preserve"> </w:t>
      </w:r>
      <w:r w:rsidRPr="000004F7">
        <w:rPr>
          <w:rFonts w:asciiTheme="minorHAnsi" w:hAnsiTheme="minorHAnsi"/>
        </w:rPr>
        <w:t>place</w:t>
      </w:r>
      <w:r w:rsidRPr="000004F7">
        <w:rPr>
          <w:rFonts w:asciiTheme="minorHAnsi" w:hAnsiTheme="minorHAnsi"/>
          <w:spacing w:val="-3"/>
        </w:rPr>
        <w:t xml:space="preserve"> </w:t>
      </w:r>
      <w:r w:rsidRPr="000004F7">
        <w:rPr>
          <w:rFonts w:asciiTheme="minorHAnsi" w:hAnsiTheme="minorHAnsi"/>
        </w:rPr>
        <w:t>in</w:t>
      </w:r>
      <w:r w:rsidRPr="000004F7">
        <w:rPr>
          <w:rFonts w:asciiTheme="minorHAnsi" w:hAnsiTheme="minorHAnsi"/>
          <w:spacing w:val="-5"/>
        </w:rPr>
        <w:t xml:space="preserve"> </w:t>
      </w:r>
      <w:r w:rsidRPr="000004F7">
        <w:rPr>
          <w:rFonts w:asciiTheme="minorHAnsi" w:hAnsiTheme="minorHAnsi"/>
        </w:rPr>
        <w:t>Minnesota’s</w:t>
      </w:r>
      <w:r w:rsidRPr="000004F7">
        <w:rPr>
          <w:rFonts w:asciiTheme="minorHAnsi" w:hAnsiTheme="minorHAnsi"/>
          <w:spacing w:val="-3"/>
        </w:rPr>
        <w:t xml:space="preserve"> </w:t>
      </w:r>
      <w:r w:rsidRPr="000004F7">
        <w:rPr>
          <w:rFonts w:asciiTheme="minorHAnsi" w:hAnsiTheme="minorHAnsi"/>
        </w:rPr>
        <w:t>approved</w:t>
      </w:r>
      <w:r w:rsidRPr="000004F7">
        <w:rPr>
          <w:rFonts w:asciiTheme="minorHAnsi" w:hAnsiTheme="minorHAnsi"/>
          <w:spacing w:val="-3"/>
        </w:rPr>
        <w:t xml:space="preserve"> </w:t>
      </w:r>
      <w:r w:rsidRPr="000004F7">
        <w:rPr>
          <w:rFonts w:asciiTheme="minorHAnsi" w:hAnsiTheme="minorHAnsi"/>
        </w:rPr>
        <w:t>BEAD</w:t>
      </w:r>
      <w:r w:rsidRPr="000004F7">
        <w:rPr>
          <w:rFonts w:asciiTheme="minorHAnsi" w:hAnsiTheme="minorHAnsi"/>
          <w:spacing w:val="-5"/>
        </w:rPr>
        <w:t xml:space="preserve"> </w:t>
      </w:r>
      <w:r w:rsidRPr="000004F7">
        <w:rPr>
          <w:rFonts w:asciiTheme="minorHAnsi" w:hAnsiTheme="minorHAnsi"/>
        </w:rPr>
        <w:t>Initial</w:t>
      </w:r>
      <w:r w:rsidRPr="000004F7">
        <w:rPr>
          <w:rFonts w:asciiTheme="minorHAnsi" w:hAnsiTheme="minorHAnsi"/>
          <w:spacing w:val="-3"/>
        </w:rPr>
        <w:t xml:space="preserve"> </w:t>
      </w:r>
      <w:r w:rsidRPr="000004F7">
        <w:rPr>
          <w:rFonts w:asciiTheme="minorHAnsi" w:hAnsiTheme="minorHAnsi"/>
        </w:rPr>
        <w:t>Proposal</w:t>
      </w:r>
      <w:r w:rsidRPr="000004F7">
        <w:rPr>
          <w:rFonts w:asciiTheme="minorHAnsi" w:hAnsiTheme="minorHAnsi"/>
          <w:spacing w:val="-3"/>
        </w:rPr>
        <w:t xml:space="preserve"> </w:t>
      </w:r>
      <w:r w:rsidRPr="000004F7">
        <w:rPr>
          <w:rFonts w:asciiTheme="minorHAnsi" w:hAnsiTheme="minorHAnsi"/>
        </w:rPr>
        <w:t>Volume</w:t>
      </w:r>
      <w:r w:rsidRPr="000004F7">
        <w:rPr>
          <w:rFonts w:asciiTheme="minorHAnsi" w:hAnsiTheme="minorHAnsi"/>
          <w:spacing w:val="-5"/>
        </w:rPr>
        <w:t xml:space="preserve"> </w:t>
      </w:r>
      <w:r w:rsidRPr="000004F7">
        <w:rPr>
          <w:rFonts w:asciiTheme="minorHAnsi" w:hAnsiTheme="minorHAnsi"/>
        </w:rPr>
        <w:t>2 to protect</w:t>
      </w:r>
      <w:r w:rsidRPr="000004F7">
        <w:rPr>
          <w:rFonts w:asciiTheme="minorHAnsi" w:hAnsiTheme="minorHAnsi"/>
          <w:spacing w:val="-7"/>
        </w:rPr>
        <w:t xml:space="preserve"> </w:t>
      </w:r>
      <w:r w:rsidRPr="000004F7">
        <w:rPr>
          <w:rFonts w:asciiTheme="minorHAnsi" w:hAnsiTheme="minorHAnsi"/>
        </w:rPr>
        <w:t>the</w:t>
      </w:r>
      <w:r w:rsidRPr="000004F7">
        <w:rPr>
          <w:rFonts w:asciiTheme="minorHAnsi" w:hAnsiTheme="minorHAnsi"/>
          <w:spacing w:val="-6"/>
        </w:rPr>
        <w:t xml:space="preserve"> </w:t>
      </w:r>
      <w:r w:rsidRPr="000004F7">
        <w:rPr>
          <w:rFonts w:asciiTheme="minorHAnsi" w:hAnsiTheme="minorHAnsi"/>
        </w:rPr>
        <w:t>integrity</w:t>
      </w:r>
      <w:r w:rsidRPr="000004F7">
        <w:rPr>
          <w:rFonts w:asciiTheme="minorHAnsi" w:hAnsiTheme="minorHAnsi"/>
          <w:spacing w:val="-7"/>
        </w:rPr>
        <w:t xml:space="preserve"> </w:t>
      </w:r>
      <w:r w:rsidRPr="000004F7">
        <w:rPr>
          <w:rFonts w:asciiTheme="minorHAnsi" w:hAnsiTheme="minorHAnsi"/>
        </w:rPr>
        <w:t>of</w:t>
      </w:r>
      <w:r w:rsidRPr="000004F7">
        <w:rPr>
          <w:rFonts w:asciiTheme="minorHAnsi" w:hAnsiTheme="minorHAnsi"/>
          <w:spacing w:val="-8"/>
        </w:rPr>
        <w:t xml:space="preserve"> </w:t>
      </w:r>
      <w:r w:rsidRPr="000004F7">
        <w:rPr>
          <w:rFonts w:asciiTheme="minorHAnsi" w:hAnsiTheme="minorHAnsi"/>
        </w:rPr>
        <w:t>the</w:t>
      </w:r>
      <w:r w:rsidRPr="000004F7">
        <w:rPr>
          <w:rFonts w:asciiTheme="minorHAnsi" w:hAnsiTheme="minorHAnsi"/>
          <w:spacing w:val="-8"/>
        </w:rPr>
        <w:t xml:space="preserve"> </w:t>
      </w:r>
      <w:r w:rsidRPr="000004F7">
        <w:rPr>
          <w:rFonts w:asciiTheme="minorHAnsi" w:hAnsiTheme="minorHAnsi"/>
        </w:rPr>
        <w:t>program,</w:t>
      </w:r>
      <w:r w:rsidRPr="000004F7">
        <w:rPr>
          <w:rFonts w:asciiTheme="minorHAnsi" w:hAnsiTheme="minorHAnsi"/>
          <w:spacing w:val="-6"/>
        </w:rPr>
        <w:t xml:space="preserve"> </w:t>
      </w:r>
      <w:r w:rsidRPr="000004F7">
        <w:rPr>
          <w:rFonts w:asciiTheme="minorHAnsi" w:hAnsiTheme="minorHAnsi"/>
        </w:rPr>
        <w:t>including</w:t>
      </w:r>
      <w:r w:rsidRPr="000004F7">
        <w:rPr>
          <w:rFonts w:asciiTheme="minorHAnsi" w:hAnsiTheme="minorHAnsi"/>
          <w:spacing w:val="-7"/>
        </w:rPr>
        <w:t xml:space="preserve"> </w:t>
      </w:r>
      <w:r w:rsidRPr="000004F7">
        <w:rPr>
          <w:rFonts w:asciiTheme="minorHAnsi" w:hAnsiTheme="minorHAnsi"/>
        </w:rPr>
        <w:t>safeguards</w:t>
      </w:r>
      <w:r w:rsidRPr="000004F7">
        <w:rPr>
          <w:rFonts w:asciiTheme="minorHAnsi" w:hAnsiTheme="minorHAnsi"/>
          <w:spacing w:val="-6"/>
        </w:rPr>
        <w:t xml:space="preserve"> </w:t>
      </w:r>
      <w:r w:rsidRPr="000004F7">
        <w:rPr>
          <w:rFonts w:asciiTheme="minorHAnsi" w:hAnsiTheme="minorHAnsi"/>
        </w:rPr>
        <w:t>against</w:t>
      </w:r>
      <w:r w:rsidRPr="000004F7">
        <w:rPr>
          <w:rFonts w:asciiTheme="minorHAnsi" w:hAnsiTheme="minorHAnsi"/>
          <w:spacing w:val="-8"/>
        </w:rPr>
        <w:t xml:space="preserve"> </w:t>
      </w:r>
      <w:r w:rsidRPr="000004F7">
        <w:rPr>
          <w:rFonts w:asciiTheme="minorHAnsi" w:hAnsiTheme="minorHAnsi"/>
        </w:rPr>
        <w:t>collusion,</w:t>
      </w:r>
      <w:r w:rsidRPr="000004F7">
        <w:rPr>
          <w:rFonts w:asciiTheme="minorHAnsi" w:hAnsiTheme="minorHAnsi"/>
          <w:spacing w:val="-6"/>
        </w:rPr>
        <w:t xml:space="preserve"> </w:t>
      </w:r>
      <w:r w:rsidRPr="000004F7">
        <w:rPr>
          <w:rFonts w:asciiTheme="minorHAnsi" w:hAnsiTheme="minorHAnsi"/>
        </w:rPr>
        <w:t>bias,</w:t>
      </w:r>
      <w:r w:rsidRPr="000004F7">
        <w:rPr>
          <w:rFonts w:asciiTheme="minorHAnsi" w:hAnsiTheme="minorHAnsi"/>
          <w:spacing w:val="-6"/>
        </w:rPr>
        <w:t xml:space="preserve"> </w:t>
      </w:r>
      <w:r w:rsidRPr="000004F7">
        <w:rPr>
          <w:rFonts w:asciiTheme="minorHAnsi" w:hAnsiTheme="minorHAnsi"/>
        </w:rPr>
        <w:t>conflicts</w:t>
      </w:r>
      <w:r w:rsidRPr="000004F7">
        <w:rPr>
          <w:rFonts w:asciiTheme="minorHAnsi" w:hAnsiTheme="minorHAnsi"/>
          <w:spacing w:val="-8"/>
        </w:rPr>
        <w:t xml:space="preserve"> </w:t>
      </w:r>
      <w:r w:rsidRPr="000004F7">
        <w:rPr>
          <w:rFonts w:asciiTheme="minorHAnsi" w:hAnsiTheme="minorHAnsi"/>
        </w:rPr>
        <w:t>of</w:t>
      </w:r>
      <w:r w:rsidRPr="000004F7">
        <w:rPr>
          <w:rFonts w:asciiTheme="minorHAnsi" w:hAnsiTheme="minorHAnsi"/>
          <w:spacing w:val="-6"/>
        </w:rPr>
        <w:t xml:space="preserve"> </w:t>
      </w:r>
      <w:r w:rsidRPr="000004F7">
        <w:rPr>
          <w:rFonts w:asciiTheme="minorHAnsi" w:hAnsiTheme="minorHAnsi"/>
        </w:rPr>
        <w:t>interest, arbitrary decisions, and other factors that could undermine confidence in the subgrantee selection process for last-mile broadband deployments.</w:t>
      </w:r>
    </w:p>
    <w:p w14:paraId="1D18895F" w14:textId="66B5B59B" w:rsidR="000004F7" w:rsidRPr="00BA2812" w:rsidRDefault="000004F7" w:rsidP="000004F7">
      <w:pPr>
        <w:pStyle w:val="BodyText"/>
        <w:spacing w:line="259" w:lineRule="auto"/>
        <w:ind w:right="104"/>
        <w:rPr>
          <w:rFonts w:asciiTheme="minorHAnsi" w:hAnsiTheme="minorHAnsi"/>
          <w:b/>
          <w:bCs/>
        </w:rPr>
      </w:pPr>
      <w:r w:rsidRPr="00BA2812">
        <w:rPr>
          <w:rFonts w:asciiTheme="minorHAnsi" w:hAnsiTheme="minorHAnsi"/>
        </w:rPr>
        <w:t xml:space="preserve">On June 6, 2025, NTIA issued Broadband Equity, Access, and Deployment (BEAD) Program: BEAD Restructuring Policy Notice. This Policy Notice modifies and replaces certain requirements outlined in the BEAD Notice of Funding Opportunity (NOFO) and requires each Eligible Entity (states and territories) to comply with this Policy Notice to gain approval of its Final Proposal from the Assistant Secretary of Commerce for Communications and Information. </w:t>
      </w:r>
    </w:p>
    <w:p w14:paraId="18BC3293" w14:textId="235D46CB" w:rsidR="00A33C83" w:rsidRPr="003D5643" w:rsidRDefault="00A33C83" w:rsidP="00A33C83">
      <w:pPr>
        <w:rPr>
          <w:b/>
          <w:bCs/>
        </w:rPr>
      </w:pPr>
    </w:p>
    <w:p w14:paraId="06ECEE06" w14:textId="77777777" w:rsidR="00A33C83" w:rsidRPr="00A33C83" w:rsidRDefault="00A33C83" w:rsidP="00A33C83">
      <w:pPr>
        <w:rPr>
          <w:b/>
          <w:bCs/>
        </w:rPr>
      </w:pPr>
      <w:r w:rsidRPr="00A33C83">
        <w:rPr>
          <w:b/>
          <w:bCs/>
        </w:rPr>
        <w:t xml:space="preserve">BEAD Restructuring: UFLW and BEAD Location Eligibility </w:t>
      </w:r>
    </w:p>
    <w:p w14:paraId="62F51157" w14:textId="1BBA74FD" w:rsidR="00A33C83" w:rsidRDefault="00A33C83" w:rsidP="00A33C83">
      <w:r>
        <w:t xml:space="preserve">Unlicensed fixed wireless (UFLW) providers in the state of Minnesota are notified that this public posting (available on June 12, 2025) initiates the seven calendar day period to indicate to the Minnesota Office of Broadband by email </w:t>
      </w:r>
      <w:hyperlink r:id="rId4" w:history="1">
        <w:r w:rsidRPr="009959B3">
          <w:rPr>
            <w:rStyle w:val="Hyperlink"/>
          </w:rPr>
          <w:t>deed.broadband@state.mn.us</w:t>
        </w:r>
      </w:hyperlink>
      <w:r>
        <w:t xml:space="preserve">, </w:t>
      </w:r>
      <w:r>
        <w:t xml:space="preserve">that they intend to submit evidence that BEAD funding is not required for the locations they serve, consistent with major federal revisions to the BEAD program in the </w:t>
      </w:r>
      <w:hyperlink r:id="rId5" w:history="1">
        <w:r w:rsidRPr="00A33C83">
          <w:rPr>
            <w:rStyle w:val="Hyperlink"/>
          </w:rPr>
          <w:t>BEAD Restructuring Policy Notice</w:t>
        </w:r>
      </w:hyperlink>
      <w:r>
        <w:t xml:space="preserve"> published June 6, 2025 (Section 4: Optimizing BEAD Locations and Appendix A).</w:t>
      </w:r>
    </w:p>
    <w:p w14:paraId="1F5BDB78" w14:textId="6A585D37" w:rsidR="00A33C83" w:rsidRDefault="00A33C83" w:rsidP="00A33C83">
      <w:r>
        <w:t xml:space="preserve">ULFW providers will have seven calendar days from their notice to Minnesota OBD to submit appropriate documentation specified by the notice as well as a list of locations supporting the claim that that the existing ULFW services meet the same technical and service standards required for a BEAD subgrant (see Appendix A of the Restructuring BEAD Policy Notice), and the provider is reasonably capable of delivering the service for at least four years after the date of Final Proposal submission.  </w:t>
      </w:r>
    </w:p>
    <w:p w14:paraId="5AAEEB2C" w14:textId="20045D0F" w:rsidR="00A33C83" w:rsidRDefault="00A33C83" w:rsidP="00A33C83">
      <w:r>
        <w:t xml:space="preserve">As the Policy Notice instructs, the Minnesota Office of Broadband has reviewed the FCC’s National Broadband Map to determine whether an ULFW provider (technology code 70) currently offers service to any BEAD-eligible BSLs in its jurisdiction. The most current list of Locations dated </w:t>
      </w:r>
      <w:r w:rsidRPr="00C41E31">
        <w:t xml:space="preserve">June 10, 2026 is available on the Minnesota Office of Broadband’s BEAD webpage under </w:t>
      </w:r>
      <w:hyperlink r:id="rId6" w:history="1">
        <w:r w:rsidRPr="00C41E31">
          <w:rPr>
            <w:rStyle w:val="Hyperlink"/>
          </w:rPr>
          <w:t>UFLW BEAD Location Eligibility Policy Notice Locations</w:t>
        </w:r>
      </w:hyperlink>
      <w:r w:rsidRPr="00C41E31">
        <w:t>. Only</w:t>
      </w:r>
      <w:r>
        <w:t xml:space="preserve"> locations </w:t>
      </w:r>
      <w:r>
        <w:lastRenderedPageBreak/>
        <w:t>where the FCC National Broadband Map indicates potentially qualifying unlicensed fixed wireless service is currently available as of this posting will be considered in terms of determining BEAD eligibility.</w:t>
      </w:r>
    </w:p>
    <w:p w14:paraId="0380D8C5" w14:textId="77777777" w:rsidR="00A33C83" w:rsidRDefault="00A33C83" w:rsidP="00A33C83">
      <w:r>
        <w:t>If a ULFW service provider demonstrates that it meets the requirements specified by this Policy Notice, the served locations will be ineligible for BEAD Program funding. If the provider does not respond or fails to meet the requirements specified by this Policy Notice herein, the locations in question will remain BEAD eligible</w:t>
      </w:r>
    </w:p>
    <w:p w14:paraId="38A7B919" w14:textId="0108B29F" w:rsidR="00483E2D" w:rsidRDefault="00A33C83" w:rsidP="00A33C83">
      <w:r>
        <w:t xml:space="preserve"> (June 12, 2025)</w:t>
      </w:r>
      <w:bookmarkEnd w:id="0"/>
    </w:p>
    <w:sectPr w:rsidR="00483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83"/>
    <w:rsid w:val="000004F7"/>
    <w:rsid w:val="003D5643"/>
    <w:rsid w:val="00483E2D"/>
    <w:rsid w:val="00742823"/>
    <w:rsid w:val="00A33C83"/>
    <w:rsid w:val="00A825A4"/>
    <w:rsid w:val="00C4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E249"/>
  <w15:chartTrackingRefBased/>
  <w15:docId w15:val="{370987EC-FD7E-4FFD-811B-E94AE1E2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C83"/>
    <w:rPr>
      <w:rFonts w:eastAsiaTheme="majorEastAsia" w:cstheme="majorBidi"/>
      <w:color w:val="272727" w:themeColor="text1" w:themeTint="D8"/>
    </w:rPr>
  </w:style>
  <w:style w:type="paragraph" w:styleId="Title">
    <w:name w:val="Title"/>
    <w:basedOn w:val="Normal"/>
    <w:next w:val="Normal"/>
    <w:link w:val="TitleChar"/>
    <w:uiPriority w:val="10"/>
    <w:qFormat/>
    <w:rsid w:val="00A33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C83"/>
    <w:pPr>
      <w:spacing w:before="160"/>
      <w:jc w:val="center"/>
    </w:pPr>
    <w:rPr>
      <w:i/>
      <w:iCs/>
      <w:color w:val="404040" w:themeColor="text1" w:themeTint="BF"/>
    </w:rPr>
  </w:style>
  <w:style w:type="character" w:customStyle="1" w:styleId="QuoteChar">
    <w:name w:val="Quote Char"/>
    <w:basedOn w:val="DefaultParagraphFont"/>
    <w:link w:val="Quote"/>
    <w:uiPriority w:val="29"/>
    <w:rsid w:val="00A33C83"/>
    <w:rPr>
      <w:i/>
      <w:iCs/>
      <w:color w:val="404040" w:themeColor="text1" w:themeTint="BF"/>
    </w:rPr>
  </w:style>
  <w:style w:type="paragraph" w:styleId="ListParagraph">
    <w:name w:val="List Paragraph"/>
    <w:basedOn w:val="Normal"/>
    <w:uiPriority w:val="34"/>
    <w:qFormat/>
    <w:rsid w:val="00A33C83"/>
    <w:pPr>
      <w:ind w:left="720"/>
      <w:contextualSpacing/>
    </w:pPr>
  </w:style>
  <w:style w:type="character" w:styleId="IntenseEmphasis">
    <w:name w:val="Intense Emphasis"/>
    <w:basedOn w:val="DefaultParagraphFont"/>
    <w:uiPriority w:val="21"/>
    <w:qFormat/>
    <w:rsid w:val="00A33C83"/>
    <w:rPr>
      <w:i/>
      <w:iCs/>
      <w:color w:val="0F4761" w:themeColor="accent1" w:themeShade="BF"/>
    </w:rPr>
  </w:style>
  <w:style w:type="paragraph" w:styleId="IntenseQuote">
    <w:name w:val="Intense Quote"/>
    <w:basedOn w:val="Normal"/>
    <w:next w:val="Normal"/>
    <w:link w:val="IntenseQuoteChar"/>
    <w:uiPriority w:val="30"/>
    <w:qFormat/>
    <w:rsid w:val="00A33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C83"/>
    <w:rPr>
      <w:i/>
      <w:iCs/>
      <w:color w:val="0F4761" w:themeColor="accent1" w:themeShade="BF"/>
    </w:rPr>
  </w:style>
  <w:style w:type="character" w:styleId="IntenseReference">
    <w:name w:val="Intense Reference"/>
    <w:basedOn w:val="DefaultParagraphFont"/>
    <w:uiPriority w:val="32"/>
    <w:qFormat/>
    <w:rsid w:val="00A33C83"/>
    <w:rPr>
      <w:b/>
      <w:bCs/>
      <w:smallCaps/>
      <w:color w:val="0F4761" w:themeColor="accent1" w:themeShade="BF"/>
      <w:spacing w:val="5"/>
    </w:rPr>
  </w:style>
  <w:style w:type="character" w:styleId="Hyperlink">
    <w:name w:val="Hyperlink"/>
    <w:basedOn w:val="DefaultParagraphFont"/>
    <w:uiPriority w:val="99"/>
    <w:unhideWhenUsed/>
    <w:rsid w:val="00A33C83"/>
    <w:rPr>
      <w:color w:val="467886" w:themeColor="hyperlink"/>
      <w:u w:val="single"/>
    </w:rPr>
  </w:style>
  <w:style w:type="character" w:styleId="UnresolvedMention">
    <w:name w:val="Unresolved Mention"/>
    <w:basedOn w:val="DefaultParagraphFont"/>
    <w:uiPriority w:val="99"/>
    <w:semiHidden/>
    <w:unhideWhenUsed/>
    <w:rsid w:val="00A33C83"/>
    <w:rPr>
      <w:color w:val="605E5C"/>
      <w:shd w:val="clear" w:color="auto" w:fill="E1DFDD"/>
    </w:rPr>
  </w:style>
  <w:style w:type="paragraph" w:styleId="BodyText">
    <w:name w:val="Body Text"/>
    <w:basedOn w:val="Normal"/>
    <w:link w:val="BodyTextChar"/>
    <w:uiPriority w:val="1"/>
    <w:qFormat/>
    <w:rsid w:val="003D5643"/>
    <w:pPr>
      <w:widowControl w:val="0"/>
      <w:autoSpaceDE w:val="0"/>
      <w:autoSpaceDN w:val="0"/>
      <w:spacing w:after="0" w:line="240" w:lineRule="auto"/>
      <w:ind w:left="10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3D5643"/>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n.gov/deed/assets/bead-eligibility-policy-notice-locations_tcm1045-693284.xlsx" TargetMode="External"/><Relationship Id="rId5" Type="http://schemas.openxmlformats.org/officeDocument/2006/relationships/hyperlink" Target="https://www.ntia.gov/sites/default/files/2025-06/bead-restructuring-policy-notice.pdf" TargetMode="External"/><Relationship Id="rId4" Type="http://schemas.openxmlformats.org/officeDocument/2006/relationships/hyperlink" Target="mailto:deed.broadband@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Jennifer (DEED)</dc:creator>
  <cp:keywords/>
  <dc:description/>
  <cp:lastModifiedBy>Frost, Jennifer (DEED)</cp:lastModifiedBy>
  <cp:revision>2</cp:revision>
  <dcterms:created xsi:type="dcterms:W3CDTF">2025-06-12T13:26:00Z</dcterms:created>
  <dcterms:modified xsi:type="dcterms:W3CDTF">2025-06-12T17:43:00Z</dcterms:modified>
</cp:coreProperties>
</file>