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7FD5" w14:textId="77777777" w:rsidR="00385201" w:rsidRDefault="00385201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F85F83E" wp14:editId="31913F70">
            <wp:extent cx="4129405" cy="777240"/>
            <wp:effectExtent l="0" t="0" r="4445" b="3810"/>
            <wp:docPr id="1" name="Picture 1" descr="Minnesota Department of Employment and Economic Develop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nesota Department of Employment and Economic Develop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4735D" w14:textId="77777777" w:rsidR="00E45CF4" w:rsidRDefault="00900FFE" w:rsidP="00615EFD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Addendum </w:t>
      </w:r>
      <w:r w:rsidR="007869A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Updates to tentative dates listed for the </w:t>
      </w:r>
      <w:r w:rsidRPr="00DD439C">
        <w:rPr>
          <w:b/>
          <w:bCs/>
          <w:sz w:val="28"/>
          <w:szCs w:val="28"/>
        </w:rPr>
        <w:t>Broadband Equity Access and Deployment Request for Proposals (RFP)</w:t>
      </w:r>
      <w:r w:rsidRPr="00F70286">
        <w:rPr>
          <w:i/>
          <w:iCs/>
          <w:sz w:val="24"/>
          <w:szCs w:val="24"/>
        </w:rPr>
        <w:br/>
      </w:r>
    </w:p>
    <w:p w14:paraId="4A459B44" w14:textId="27537AA2" w:rsidR="00615EFD" w:rsidRDefault="00900FFE" w:rsidP="00615EFD">
      <w:pPr>
        <w:rPr>
          <w:i/>
          <w:iCs/>
          <w:sz w:val="28"/>
          <w:szCs w:val="28"/>
        </w:rPr>
      </w:pPr>
      <w:r w:rsidRPr="002767C1">
        <w:rPr>
          <w:i/>
          <w:iCs/>
          <w:sz w:val="28"/>
          <w:szCs w:val="28"/>
        </w:rPr>
        <w:t xml:space="preserve">Note:  </w:t>
      </w:r>
      <w:r w:rsidR="007869A5">
        <w:rPr>
          <w:i/>
          <w:iCs/>
          <w:sz w:val="28"/>
          <w:szCs w:val="28"/>
        </w:rPr>
        <w:t xml:space="preserve">The RFP was amended for the third time on May 28, 2025. </w:t>
      </w:r>
      <w:r w:rsidR="002C0FBA" w:rsidRPr="002C0FBA">
        <w:rPr>
          <w:i/>
          <w:iCs/>
          <w:sz w:val="28"/>
          <w:szCs w:val="28"/>
        </w:rPr>
        <w:t xml:space="preserve">The RFP posted on February 14, </w:t>
      </w:r>
      <w:proofErr w:type="gramStart"/>
      <w:r w:rsidR="002C0FBA" w:rsidRPr="002C0FBA">
        <w:rPr>
          <w:i/>
          <w:iCs/>
          <w:sz w:val="28"/>
          <w:szCs w:val="28"/>
        </w:rPr>
        <w:t>2025</w:t>
      </w:r>
      <w:proofErr w:type="gramEnd"/>
      <w:r w:rsidR="002C0FBA" w:rsidRPr="002C0FBA">
        <w:rPr>
          <w:i/>
          <w:iCs/>
          <w:sz w:val="28"/>
          <w:szCs w:val="28"/>
        </w:rPr>
        <w:t xml:space="preserve"> and was amended on February 25, 2025</w:t>
      </w:r>
      <w:r w:rsidR="002C0FBA">
        <w:rPr>
          <w:i/>
          <w:iCs/>
          <w:sz w:val="28"/>
          <w:szCs w:val="28"/>
        </w:rPr>
        <w:t xml:space="preserve"> and May 5, 2025.</w:t>
      </w:r>
      <w:r w:rsidR="00615EFD">
        <w:rPr>
          <w:i/>
          <w:iCs/>
          <w:sz w:val="28"/>
          <w:szCs w:val="28"/>
        </w:rPr>
        <w:t xml:space="preserve"> All dates continue to be tentative and subject to change due to NTIA guidance. </w:t>
      </w:r>
    </w:p>
    <w:p w14:paraId="6603A498" w14:textId="77777777" w:rsidR="00900FFE" w:rsidRPr="0032429B" w:rsidRDefault="00900FFE" w:rsidP="00900FFE">
      <w:pPr>
        <w:pStyle w:val="Heading3"/>
        <w:tabs>
          <w:tab w:val="left" w:leader="dot" w:pos="7920"/>
        </w:tabs>
        <w:rPr>
          <w:i/>
          <w:iCs/>
        </w:rPr>
      </w:pPr>
      <w:r w:rsidRPr="0032429B">
        <w:rPr>
          <w:i/>
          <w:iCs/>
        </w:rPr>
        <w:t>Subround 11a:</w:t>
      </w:r>
    </w:p>
    <w:p w14:paraId="34CE519B" w14:textId="38118DE0" w:rsidR="00900FFE" w:rsidRPr="0032429B" w:rsidRDefault="00900FFE" w:rsidP="00900FFE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 xml:space="preserve">OBD decides whether application likely to be included in Final Proposal: </w:t>
      </w:r>
      <w:r w:rsidR="001C2816">
        <w:rPr>
          <w:sz w:val="24"/>
          <w:szCs w:val="24"/>
        </w:rPr>
        <w:t>TBA</w:t>
      </w:r>
      <w:r w:rsidR="007869A5">
        <w:rPr>
          <w:sz w:val="24"/>
          <w:szCs w:val="24"/>
        </w:rPr>
        <w:t xml:space="preserve"> </w:t>
      </w:r>
      <w:r w:rsidRPr="0032429B">
        <w:rPr>
          <w:sz w:val="24"/>
          <w:szCs w:val="24"/>
        </w:rPr>
        <w:t>(</w:t>
      </w:r>
      <w:r w:rsidRPr="0032429B">
        <w:rPr>
          <w:i/>
          <w:iCs/>
          <w:sz w:val="24"/>
          <w:szCs w:val="24"/>
        </w:rPr>
        <w:t xml:space="preserve">previously </w:t>
      </w:r>
      <w:r w:rsidR="001C2816">
        <w:rPr>
          <w:i/>
          <w:iCs/>
          <w:sz w:val="24"/>
          <w:szCs w:val="24"/>
        </w:rPr>
        <w:t>May 27</w:t>
      </w:r>
      <w:r w:rsidRPr="0032429B">
        <w:rPr>
          <w:i/>
          <w:iCs/>
          <w:sz w:val="24"/>
          <w:szCs w:val="24"/>
        </w:rPr>
        <w:t>, 2025)</w:t>
      </w:r>
    </w:p>
    <w:p w14:paraId="6A1D80D8" w14:textId="730F10B3" w:rsidR="00900FFE" w:rsidRPr="0032429B" w:rsidRDefault="00900FFE" w:rsidP="00900FFE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 xml:space="preserve">Selected applicants undergo pre-award risk assessment: </w:t>
      </w:r>
      <w:r w:rsidR="001C2816">
        <w:rPr>
          <w:sz w:val="24"/>
          <w:szCs w:val="24"/>
        </w:rPr>
        <w:t>TBA</w:t>
      </w:r>
      <w:r w:rsidRPr="0032429B">
        <w:rPr>
          <w:sz w:val="24"/>
          <w:szCs w:val="24"/>
        </w:rPr>
        <w:t xml:space="preserve"> (</w:t>
      </w:r>
      <w:r w:rsidRPr="0032429B">
        <w:rPr>
          <w:i/>
          <w:iCs/>
          <w:sz w:val="24"/>
          <w:szCs w:val="24"/>
        </w:rPr>
        <w:t xml:space="preserve">previously </w:t>
      </w:r>
      <w:r w:rsidR="001C2816">
        <w:rPr>
          <w:i/>
          <w:iCs/>
          <w:sz w:val="24"/>
          <w:szCs w:val="24"/>
        </w:rPr>
        <w:t>May 27</w:t>
      </w:r>
      <w:r w:rsidRPr="0032429B">
        <w:rPr>
          <w:i/>
          <w:iCs/>
          <w:sz w:val="24"/>
          <w:szCs w:val="24"/>
        </w:rPr>
        <w:t>, 2025)</w:t>
      </w:r>
    </w:p>
    <w:p w14:paraId="08E4E0FF" w14:textId="77777777" w:rsidR="00900FFE" w:rsidRPr="0032429B" w:rsidRDefault="00900FFE" w:rsidP="00900FFE">
      <w:pPr>
        <w:pStyle w:val="Heading3"/>
        <w:tabs>
          <w:tab w:val="left" w:leader="dot" w:pos="7920"/>
        </w:tabs>
        <w:rPr>
          <w:i/>
          <w:iCs/>
        </w:rPr>
      </w:pPr>
      <w:r w:rsidRPr="0032429B">
        <w:rPr>
          <w:i/>
          <w:iCs/>
        </w:rPr>
        <w:t>Subround 11b:</w:t>
      </w:r>
    </w:p>
    <w:p w14:paraId="4F985A26" w14:textId="1FCD8D4E" w:rsidR="00900FFE" w:rsidRPr="0032429B" w:rsidRDefault="00900FFE" w:rsidP="00900FFE">
      <w:pPr>
        <w:tabs>
          <w:tab w:val="left" w:leader="dot" w:pos="7920"/>
        </w:tabs>
        <w:rPr>
          <w:i/>
          <w:iCs/>
          <w:sz w:val="24"/>
          <w:szCs w:val="24"/>
        </w:rPr>
      </w:pPr>
      <w:r w:rsidRPr="0032429B">
        <w:rPr>
          <w:sz w:val="24"/>
          <w:szCs w:val="24"/>
        </w:rPr>
        <w:t xml:space="preserve">Establish project areas for application and window opens for subround 11b: </w:t>
      </w:r>
      <w:r w:rsidR="001C2816">
        <w:rPr>
          <w:sz w:val="24"/>
          <w:szCs w:val="24"/>
        </w:rPr>
        <w:t>TBA</w:t>
      </w:r>
      <w:r w:rsidRPr="0032429B">
        <w:rPr>
          <w:sz w:val="24"/>
          <w:szCs w:val="24"/>
        </w:rPr>
        <w:t xml:space="preserve"> </w:t>
      </w:r>
      <w:r w:rsidRPr="0032429B">
        <w:rPr>
          <w:i/>
          <w:iCs/>
          <w:sz w:val="24"/>
          <w:szCs w:val="24"/>
        </w:rPr>
        <w:t xml:space="preserve">(previously </w:t>
      </w:r>
      <w:r w:rsidR="001C2816">
        <w:rPr>
          <w:i/>
          <w:iCs/>
          <w:sz w:val="24"/>
          <w:szCs w:val="24"/>
        </w:rPr>
        <w:t>May 20</w:t>
      </w:r>
      <w:r w:rsidRPr="0032429B">
        <w:rPr>
          <w:i/>
          <w:iCs/>
          <w:sz w:val="24"/>
          <w:szCs w:val="24"/>
        </w:rPr>
        <w:t>, 2025)</w:t>
      </w:r>
    </w:p>
    <w:p w14:paraId="22C73089" w14:textId="692A993A" w:rsidR="00900FFE" w:rsidRPr="0032429B" w:rsidRDefault="00900FFE" w:rsidP="00900FFE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 xml:space="preserve">Window opens for subround 11b: </w:t>
      </w:r>
      <w:r w:rsidR="001C2816">
        <w:rPr>
          <w:sz w:val="24"/>
          <w:szCs w:val="24"/>
        </w:rPr>
        <w:t xml:space="preserve">TBA </w:t>
      </w:r>
      <w:r w:rsidRPr="0032429B">
        <w:rPr>
          <w:sz w:val="24"/>
          <w:szCs w:val="24"/>
        </w:rPr>
        <w:t>(</w:t>
      </w:r>
      <w:r w:rsidRPr="0032429B">
        <w:rPr>
          <w:i/>
          <w:iCs/>
          <w:sz w:val="24"/>
          <w:szCs w:val="24"/>
        </w:rPr>
        <w:t xml:space="preserve">previously </w:t>
      </w:r>
      <w:r w:rsidR="001C2816">
        <w:rPr>
          <w:i/>
          <w:iCs/>
          <w:sz w:val="24"/>
          <w:szCs w:val="24"/>
        </w:rPr>
        <w:t>May 27</w:t>
      </w:r>
      <w:r w:rsidRPr="0032429B">
        <w:rPr>
          <w:i/>
          <w:iCs/>
          <w:sz w:val="24"/>
          <w:szCs w:val="24"/>
        </w:rPr>
        <w:t>, 2025)</w:t>
      </w:r>
      <w:r w:rsidRPr="0032429B">
        <w:rPr>
          <w:sz w:val="24"/>
          <w:szCs w:val="24"/>
        </w:rPr>
        <w:t xml:space="preserve"> </w:t>
      </w:r>
    </w:p>
    <w:p w14:paraId="4E9DAB3F" w14:textId="08CC3302" w:rsidR="00900FFE" w:rsidRPr="0032429B" w:rsidRDefault="00900FFE" w:rsidP="00900FFE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 xml:space="preserve">Questions on subround 11b due: </w:t>
      </w:r>
      <w:r w:rsidR="001C2816">
        <w:rPr>
          <w:sz w:val="24"/>
          <w:szCs w:val="24"/>
        </w:rPr>
        <w:t>TBA</w:t>
      </w:r>
      <w:r w:rsidRPr="0032429B">
        <w:rPr>
          <w:sz w:val="24"/>
          <w:szCs w:val="24"/>
        </w:rPr>
        <w:t xml:space="preserve"> (</w:t>
      </w:r>
      <w:r w:rsidRPr="0032429B">
        <w:rPr>
          <w:i/>
          <w:iCs/>
          <w:sz w:val="24"/>
          <w:szCs w:val="24"/>
        </w:rPr>
        <w:t xml:space="preserve">previously </w:t>
      </w:r>
      <w:r w:rsidR="001C2816">
        <w:rPr>
          <w:i/>
          <w:iCs/>
          <w:sz w:val="24"/>
          <w:szCs w:val="24"/>
        </w:rPr>
        <w:t>June 6</w:t>
      </w:r>
      <w:r w:rsidRPr="0032429B">
        <w:rPr>
          <w:i/>
          <w:iCs/>
          <w:sz w:val="24"/>
          <w:szCs w:val="24"/>
        </w:rPr>
        <w:t>, 2025)</w:t>
      </w:r>
    </w:p>
    <w:p w14:paraId="11BF6190" w14:textId="77777777" w:rsidR="00900FFE" w:rsidRPr="0032429B" w:rsidRDefault="00900FFE" w:rsidP="00900FFE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>FAQs and webinar: See webpage</w:t>
      </w:r>
    </w:p>
    <w:p w14:paraId="760E8456" w14:textId="6308B171" w:rsidR="00900FFE" w:rsidRPr="0032429B" w:rsidRDefault="00900FFE" w:rsidP="00900FFE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 xml:space="preserve">BEAD subround 11b applications due no later than 4:30 pm Central Time: </w:t>
      </w:r>
      <w:r w:rsidR="001C2816">
        <w:rPr>
          <w:sz w:val="24"/>
          <w:szCs w:val="24"/>
        </w:rPr>
        <w:t>TBA</w:t>
      </w:r>
      <w:r w:rsidRPr="0032429B">
        <w:rPr>
          <w:sz w:val="24"/>
          <w:szCs w:val="24"/>
        </w:rPr>
        <w:t xml:space="preserve"> (</w:t>
      </w:r>
      <w:r w:rsidRPr="0032429B">
        <w:rPr>
          <w:i/>
          <w:iCs/>
          <w:sz w:val="24"/>
          <w:szCs w:val="24"/>
        </w:rPr>
        <w:t xml:space="preserve">previously </w:t>
      </w:r>
      <w:r w:rsidR="001C2816">
        <w:rPr>
          <w:i/>
          <w:iCs/>
          <w:sz w:val="24"/>
          <w:szCs w:val="24"/>
        </w:rPr>
        <w:t>June 16</w:t>
      </w:r>
      <w:r w:rsidRPr="0032429B">
        <w:rPr>
          <w:i/>
          <w:iCs/>
          <w:sz w:val="24"/>
          <w:szCs w:val="24"/>
        </w:rPr>
        <w:t>, 2025)</w:t>
      </w:r>
    </w:p>
    <w:p w14:paraId="25F7CBD5" w14:textId="161B777C" w:rsidR="00900FFE" w:rsidRPr="0032429B" w:rsidRDefault="00900FFE" w:rsidP="00900FFE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 xml:space="preserve">OBD decides whether application likely to be included in Final Proposal: </w:t>
      </w:r>
      <w:r w:rsidR="001C2816">
        <w:rPr>
          <w:sz w:val="24"/>
          <w:szCs w:val="24"/>
        </w:rPr>
        <w:t>TBA</w:t>
      </w:r>
      <w:r w:rsidRPr="0032429B">
        <w:rPr>
          <w:sz w:val="24"/>
          <w:szCs w:val="24"/>
        </w:rPr>
        <w:t xml:space="preserve"> (</w:t>
      </w:r>
      <w:r w:rsidRPr="0032429B">
        <w:rPr>
          <w:i/>
          <w:iCs/>
          <w:sz w:val="24"/>
          <w:szCs w:val="24"/>
        </w:rPr>
        <w:t xml:space="preserve">previously </w:t>
      </w:r>
      <w:r w:rsidR="001C2816">
        <w:rPr>
          <w:i/>
          <w:iCs/>
          <w:sz w:val="24"/>
          <w:szCs w:val="24"/>
        </w:rPr>
        <w:t>July 7</w:t>
      </w:r>
      <w:r w:rsidRPr="0032429B">
        <w:rPr>
          <w:i/>
          <w:iCs/>
          <w:sz w:val="24"/>
          <w:szCs w:val="24"/>
        </w:rPr>
        <w:t>, 2025)</w:t>
      </w:r>
    </w:p>
    <w:p w14:paraId="2E537622" w14:textId="7641ADCD" w:rsidR="00900FFE" w:rsidRPr="0032429B" w:rsidRDefault="00900FFE" w:rsidP="00900FFE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 xml:space="preserve">Selected applicants undergo pre-award risk assessment: </w:t>
      </w:r>
      <w:r w:rsidR="0071652C">
        <w:rPr>
          <w:sz w:val="24"/>
          <w:szCs w:val="24"/>
        </w:rPr>
        <w:t xml:space="preserve">TBA </w:t>
      </w:r>
      <w:r w:rsidRPr="0032429B">
        <w:rPr>
          <w:sz w:val="24"/>
          <w:szCs w:val="24"/>
        </w:rPr>
        <w:t>(</w:t>
      </w:r>
      <w:r w:rsidRPr="0032429B">
        <w:rPr>
          <w:i/>
          <w:iCs/>
          <w:sz w:val="24"/>
          <w:szCs w:val="24"/>
        </w:rPr>
        <w:t>previously Ju</w:t>
      </w:r>
      <w:r w:rsidR="0071652C">
        <w:rPr>
          <w:i/>
          <w:iCs/>
          <w:sz w:val="24"/>
          <w:szCs w:val="24"/>
        </w:rPr>
        <w:t xml:space="preserve">ly </w:t>
      </w:r>
      <w:r w:rsidRPr="0032429B">
        <w:rPr>
          <w:i/>
          <w:iCs/>
          <w:sz w:val="24"/>
          <w:szCs w:val="24"/>
        </w:rPr>
        <w:t>7, 2025)</w:t>
      </w:r>
    </w:p>
    <w:p w14:paraId="52E7C254" w14:textId="77777777" w:rsidR="00900FFE" w:rsidRPr="0032429B" w:rsidRDefault="00900FFE" w:rsidP="00900FFE">
      <w:pPr>
        <w:pStyle w:val="Heading3"/>
        <w:tabs>
          <w:tab w:val="left" w:leader="dot" w:pos="7920"/>
        </w:tabs>
        <w:rPr>
          <w:i/>
          <w:iCs/>
        </w:rPr>
      </w:pPr>
      <w:r w:rsidRPr="0032429B">
        <w:rPr>
          <w:i/>
          <w:iCs/>
        </w:rPr>
        <w:t>Subround 11c:</w:t>
      </w:r>
    </w:p>
    <w:p w14:paraId="2016F166" w14:textId="3498E60D" w:rsidR="00900FFE" w:rsidRPr="0032429B" w:rsidRDefault="00900FFE" w:rsidP="00900FFE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 xml:space="preserve">Publish remaining eligible locations and project areas and window opens for subround 11c: </w:t>
      </w:r>
      <w:r w:rsidR="0071652C">
        <w:rPr>
          <w:sz w:val="24"/>
          <w:szCs w:val="24"/>
        </w:rPr>
        <w:t>TBA</w:t>
      </w:r>
      <w:r w:rsidRPr="0032429B">
        <w:rPr>
          <w:sz w:val="24"/>
          <w:szCs w:val="24"/>
        </w:rPr>
        <w:t xml:space="preserve"> (</w:t>
      </w:r>
      <w:r w:rsidRPr="0032429B">
        <w:rPr>
          <w:i/>
          <w:iCs/>
          <w:sz w:val="24"/>
          <w:szCs w:val="24"/>
        </w:rPr>
        <w:t xml:space="preserve">previously </w:t>
      </w:r>
      <w:r w:rsidR="0071652C">
        <w:rPr>
          <w:i/>
          <w:iCs/>
          <w:sz w:val="24"/>
          <w:szCs w:val="24"/>
        </w:rPr>
        <w:t>July 7</w:t>
      </w:r>
      <w:r w:rsidRPr="0032429B">
        <w:rPr>
          <w:i/>
          <w:iCs/>
          <w:sz w:val="24"/>
          <w:szCs w:val="24"/>
        </w:rPr>
        <w:t>, 2025)</w:t>
      </w:r>
    </w:p>
    <w:p w14:paraId="2B37AA93" w14:textId="03E8AA1A" w:rsidR="00900FFE" w:rsidRPr="0032429B" w:rsidRDefault="00900FFE" w:rsidP="00900FFE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 xml:space="preserve">Establish Extremely High Cost Per Location Threshold: </w:t>
      </w:r>
      <w:r w:rsidR="0071652C">
        <w:rPr>
          <w:sz w:val="24"/>
          <w:szCs w:val="24"/>
        </w:rPr>
        <w:t>TBA</w:t>
      </w:r>
      <w:r w:rsidRPr="0032429B">
        <w:rPr>
          <w:sz w:val="24"/>
          <w:szCs w:val="24"/>
        </w:rPr>
        <w:t xml:space="preserve"> (</w:t>
      </w:r>
      <w:r w:rsidRPr="0032429B">
        <w:rPr>
          <w:i/>
          <w:iCs/>
          <w:sz w:val="24"/>
          <w:szCs w:val="24"/>
        </w:rPr>
        <w:t xml:space="preserve">previously June </w:t>
      </w:r>
      <w:r w:rsidR="0071652C">
        <w:rPr>
          <w:i/>
          <w:iCs/>
          <w:sz w:val="24"/>
          <w:szCs w:val="24"/>
        </w:rPr>
        <w:t>24</w:t>
      </w:r>
      <w:r w:rsidRPr="0032429B">
        <w:rPr>
          <w:i/>
          <w:iCs/>
          <w:sz w:val="24"/>
          <w:szCs w:val="24"/>
        </w:rPr>
        <w:t>, 2025)</w:t>
      </w:r>
    </w:p>
    <w:p w14:paraId="11979F0C" w14:textId="0CA14405" w:rsidR="00900FFE" w:rsidRPr="0032429B" w:rsidRDefault="00900FFE" w:rsidP="00900FFE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 xml:space="preserve">Questions on subround 11c due: </w:t>
      </w:r>
      <w:r w:rsidR="009001AA">
        <w:rPr>
          <w:sz w:val="24"/>
          <w:szCs w:val="24"/>
        </w:rPr>
        <w:t>TBA</w:t>
      </w:r>
      <w:r w:rsidRPr="0032429B">
        <w:rPr>
          <w:sz w:val="24"/>
          <w:szCs w:val="24"/>
        </w:rPr>
        <w:t xml:space="preserve"> (</w:t>
      </w:r>
      <w:r w:rsidRPr="0032429B">
        <w:rPr>
          <w:i/>
          <w:iCs/>
          <w:sz w:val="24"/>
          <w:szCs w:val="24"/>
        </w:rPr>
        <w:t xml:space="preserve">previously </w:t>
      </w:r>
      <w:r w:rsidR="009001AA">
        <w:rPr>
          <w:i/>
          <w:iCs/>
          <w:sz w:val="24"/>
          <w:szCs w:val="24"/>
        </w:rPr>
        <w:t>July 18</w:t>
      </w:r>
      <w:r w:rsidRPr="0032429B">
        <w:rPr>
          <w:i/>
          <w:iCs/>
          <w:sz w:val="24"/>
          <w:szCs w:val="24"/>
        </w:rPr>
        <w:t>, 2025)</w:t>
      </w:r>
    </w:p>
    <w:p w14:paraId="00BD5A71" w14:textId="77777777" w:rsidR="00900FFE" w:rsidRPr="0032429B" w:rsidRDefault="00900FFE" w:rsidP="00900FFE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>FAQs and webinar: see webpage</w:t>
      </w:r>
    </w:p>
    <w:p w14:paraId="7B4354AC" w14:textId="5D2BE15B" w:rsidR="00900FFE" w:rsidRDefault="00900FFE" w:rsidP="00900FFE">
      <w:pPr>
        <w:tabs>
          <w:tab w:val="left" w:leader="dot" w:pos="7920"/>
        </w:tabs>
        <w:rPr>
          <w:i/>
          <w:iCs/>
          <w:sz w:val="24"/>
          <w:szCs w:val="24"/>
        </w:rPr>
      </w:pPr>
      <w:r w:rsidRPr="0032429B">
        <w:rPr>
          <w:sz w:val="24"/>
          <w:szCs w:val="24"/>
        </w:rPr>
        <w:t xml:space="preserve">BEAD subround 11c applications due no later than </w:t>
      </w:r>
      <w:r w:rsidR="009001AA">
        <w:rPr>
          <w:sz w:val="24"/>
          <w:szCs w:val="24"/>
        </w:rPr>
        <w:t xml:space="preserve">TBA </w:t>
      </w:r>
      <w:r w:rsidRPr="0032429B">
        <w:rPr>
          <w:sz w:val="24"/>
          <w:szCs w:val="24"/>
        </w:rPr>
        <w:t>(</w:t>
      </w:r>
      <w:r w:rsidRPr="0032429B">
        <w:rPr>
          <w:i/>
          <w:iCs/>
          <w:sz w:val="24"/>
          <w:szCs w:val="24"/>
        </w:rPr>
        <w:t xml:space="preserve">previously July </w:t>
      </w:r>
      <w:r w:rsidR="009001AA">
        <w:rPr>
          <w:i/>
          <w:iCs/>
          <w:sz w:val="24"/>
          <w:szCs w:val="24"/>
        </w:rPr>
        <w:t>24</w:t>
      </w:r>
      <w:r w:rsidRPr="0032429B">
        <w:rPr>
          <w:i/>
          <w:iCs/>
          <w:sz w:val="24"/>
          <w:szCs w:val="24"/>
        </w:rPr>
        <w:t>, 2025)</w:t>
      </w:r>
    </w:p>
    <w:p w14:paraId="60ED6558" w14:textId="47F614D8" w:rsidR="00A04298" w:rsidRPr="00725EE7" w:rsidRDefault="00A04298" w:rsidP="00A04298">
      <w:pPr>
        <w:tabs>
          <w:tab w:val="left" w:leader="dot" w:pos="7920"/>
        </w:tabs>
        <w:rPr>
          <w:sz w:val="24"/>
          <w:szCs w:val="24"/>
        </w:rPr>
      </w:pPr>
      <w:r w:rsidRPr="00725EE7">
        <w:rPr>
          <w:sz w:val="24"/>
          <w:szCs w:val="24"/>
        </w:rPr>
        <w:t>OBD decides whether application likely to be included in Final Proposal</w:t>
      </w:r>
      <w:r w:rsidR="00725EE7">
        <w:rPr>
          <w:sz w:val="24"/>
          <w:szCs w:val="24"/>
        </w:rPr>
        <w:t xml:space="preserve">: TBA </w:t>
      </w:r>
      <w:r w:rsidR="00725EE7" w:rsidRPr="00725EE7">
        <w:rPr>
          <w:i/>
          <w:iCs/>
          <w:sz w:val="24"/>
          <w:szCs w:val="24"/>
        </w:rPr>
        <w:t xml:space="preserve">(previously </w:t>
      </w:r>
      <w:r w:rsidRPr="00725EE7">
        <w:rPr>
          <w:i/>
          <w:iCs/>
          <w:sz w:val="24"/>
          <w:szCs w:val="24"/>
        </w:rPr>
        <w:t>August 20, 2025</w:t>
      </w:r>
      <w:r w:rsidR="00725EE7" w:rsidRPr="00725EE7">
        <w:rPr>
          <w:i/>
          <w:iCs/>
          <w:sz w:val="24"/>
          <w:szCs w:val="24"/>
        </w:rPr>
        <w:t>)</w:t>
      </w:r>
    </w:p>
    <w:p w14:paraId="0E55C42D" w14:textId="6F56A8D5" w:rsidR="00A04298" w:rsidRPr="00725EE7" w:rsidRDefault="00A04298" w:rsidP="00A04298">
      <w:pPr>
        <w:tabs>
          <w:tab w:val="left" w:leader="dot" w:pos="7920"/>
        </w:tabs>
        <w:rPr>
          <w:sz w:val="24"/>
          <w:szCs w:val="24"/>
        </w:rPr>
      </w:pPr>
      <w:r w:rsidRPr="00725EE7">
        <w:rPr>
          <w:sz w:val="24"/>
          <w:szCs w:val="24"/>
        </w:rPr>
        <w:t>Selected applicants undergo pre-award risk assessment</w:t>
      </w:r>
      <w:r w:rsidR="00725EE7">
        <w:rPr>
          <w:sz w:val="24"/>
          <w:szCs w:val="24"/>
        </w:rPr>
        <w:t xml:space="preserve">: TBA </w:t>
      </w:r>
      <w:r w:rsidR="00725EE7" w:rsidRPr="00725EE7">
        <w:rPr>
          <w:i/>
          <w:iCs/>
          <w:sz w:val="24"/>
          <w:szCs w:val="24"/>
        </w:rPr>
        <w:t>(previously August 20, 2025)</w:t>
      </w:r>
    </w:p>
    <w:p w14:paraId="0B53B8B5" w14:textId="77777777" w:rsidR="00A04298" w:rsidRPr="009D6AC0" w:rsidRDefault="00A04298" w:rsidP="00A04298">
      <w:pPr>
        <w:pStyle w:val="Heading3"/>
        <w:tabs>
          <w:tab w:val="left" w:leader="dot" w:pos="7920"/>
        </w:tabs>
        <w:rPr>
          <w:i/>
          <w:iCs/>
        </w:rPr>
      </w:pPr>
      <w:r w:rsidRPr="009D6AC0">
        <w:rPr>
          <w:i/>
          <w:iCs/>
        </w:rPr>
        <w:t>Final Proposal:</w:t>
      </w:r>
    </w:p>
    <w:p w14:paraId="25E1C0BC" w14:textId="0F5479D7" w:rsidR="00A04298" w:rsidRPr="00725EE7" w:rsidRDefault="00A04298" w:rsidP="00A04298">
      <w:pPr>
        <w:tabs>
          <w:tab w:val="left" w:leader="dot" w:pos="7920"/>
        </w:tabs>
        <w:rPr>
          <w:sz w:val="24"/>
          <w:szCs w:val="24"/>
        </w:rPr>
      </w:pPr>
      <w:r w:rsidRPr="00725EE7">
        <w:rPr>
          <w:sz w:val="24"/>
          <w:szCs w:val="24"/>
        </w:rPr>
        <w:t>Applicants submitted to Commissioner for Review</w:t>
      </w:r>
      <w:r w:rsidR="00F02DD7">
        <w:rPr>
          <w:sz w:val="24"/>
          <w:szCs w:val="24"/>
        </w:rPr>
        <w:t xml:space="preserve">: </w:t>
      </w:r>
      <w:proofErr w:type="gramStart"/>
      <w:r w:rsidR="00F02DD7">
        <w:rPr>
          <w:sz w:val="24"/>
          <w:szCs w:val="24"/>
        </w:rPr>
        <w:t xml:space="preserve">TBA  </w:t>
      </w:r>
      <w:r w:rsidR="00F02DD7" w:rsidRPr="00725EE7">
        <w:rPr>
          <w:i/>
          <w:iCs/>
          <w:sz w:val="24"/>
          <w:szCs w:val="24"/>
        </w:rPr>
        <w:t>(</w:t>
      </w:r>
      <w:proofErr w:type="gramEnd"/>
      <w:r w:rsidR="00F02DD7" w:rsidRPr="00725EE7">
        <w:rPr>
          <w:i/>
          <w:iCs/>
          <w:sz w:val="24"/>
          <w:szCs w:val="24"/>
        </w:rPr>
        <w:t>previously August 20, 2025)</w:t>
      </w:r>
    </w:p>
    <w:p w14:paraId="60ABC2FD" w14:textId="608226E5" w:rsidR="00A04298" w:rsidRPr="00725EE7" w:rsidRDefault="00A04298" w:rsidP="00A04298">
      <w:pPr>
        <w:tabs>
          <w:tab w:val="left" w:leader="dot" w:pos="7920"/>
        </w:tabs>
        <w:rPr>
          <w:sz w:val="24"/>
          <w:szCs w:val="24"/>
        </w:rPr>
      </w:pPr>
      <w:r w:rsidRPr="00725EE7">
        <w:rPr>
          <w:sz w:val="24"/>
          <w:szCs w:val="24"/>
        </w:rPr>
        <w:lastRenderedPageBreak/>
        <w:t>NTIA Required Public Comment Period on BEAD Final Proposal:</w:t>
      </w:r>
      <w:r w:rsidR="00F02DD7">
        <w:rPr>
          <w:sz w:val="24"/>
          <w:szCs w:val="24"/>
        </w:rPr>
        <w:t xml:space="preserve"> TBA </w:t>
      </w:r>
      <w:r w:rsidR="00F02DD7" w:rsidRPr="00F02DD7">
        <w:rPr>
          <w:i/>
          <w:iCs/>
          <w:sz w:val="24"/>
          <w:szCs w:val="24"/>
        </w:rPr>
        <w:t xml:space="preserve">(Previously </w:t>
      </w:r>
      <w:r w:rsidRPr="00F02DD7">
        <w:rPr>
          <w:i/>
          <w:iCs/>
          <w:sz w:val="24"/>
          <w:szCs w:val="24"/>
        </w:rPr>
        <w:t>September 3-17, 2025</w:t>
      </w:r>
      <w:r w:rsidR="00F02DD7" w:rsidRPr="00F02DD7">
        <w:rPr>
          <w:i/>
          <w:iCs/>
          <w:sz w:val="24"/>
          <w:szCs w:val="24"/>
        </w:rPr>
        <w:t>)</w:t>
      </w:r>
    </w:p>
    <w:p w14:paraId="4C0B19E6" w14:textId="77218345" w:rsidR="00A04298" w:rsidRPr="0032429B" w:rsidRDefault="00A04298" w:rsidP="00900FFE">
      <w:pPr>
        <w:tabs>
          <w:tab w:val="left" w:leader="dot" w:pos="7920"/>
        </w:tabs>
        <w:rPr>
          <w:sz w:val="24"/>
          <w:szCs w:val="24"/>
        </w:rPr>
      </w:pPr>
      <w:r w:rsidRPr="00725EE7">
        <w:rPr>
          <w:sz w:val="24"/>
          <w:szCs w:val="24"/>
        </w:rPr>
        <w:t xml:space="preserve">Submit Final Proposal to NTIA for approval: </w:t>
      </w:r>
      <w:r w:rsidR="00F02DD7">
        <w:rPr>
          <w:sz w:val="24"/>
          <w:szCs w:val="24"/>
        </w:rPr>
        <w:t xml:space="preserve">TBA </w:t>
      </w:r>
      <w:r w:rsidR="00F02DD7" w:rsidRPr="00F02DD7">
        <w:rPr>
          <w:i/>
          <w:iCs/>
          <w:sz w:val="24"/>
          <w:szCs w:val="24"/>
        </w:rPr>
        <w:t xml:space="preserve">(Previously </w:t>
      </w:r>
      <w:r w:rsidRPr="00F02DD7">
        <w:rPr>
          <w:i/>
          <w:iCs/>
          <w:sz w:val="24"/>
          <w:szCs w:val="24"/>
        </w:rPr>
        <w:t>Oct 3, 2025</w:t>
      </w:r>
      <w:r w:rsidR="00F02DD7" w:rsidRPr="00F02DD7">
        <w:rPr>
          <w:i/>
          <w:iCs/>
          <w:sz w:val="24"/>
          <w:szCs w:val="24"/>
        </w:rPr>
        <w:t>)</w:t>
      </w:r>
    </w:p>
    <w:p w14:paraId="5A08B813" w14:textId="77777777" w:rsidR="00900FFE" w:rsidRDefault="00900FFE" w:rsidP="0084605D">
      <w:pPr>
        <w:rPr>
          <w:b/>
          <w:bCs/>
          <w:sz w:val="28"/>
          <w:szCs w:val="28"/>
        </w:rPr>
      </w:pPr>
    </w:p>
    <w:p w14:paraId="2DD9A29C" w14:textId="45648B03" w:rsidR="00900FFE" w:rsidRPr="005B0B6D" w:rsidRDefault="005B0B6D" w:rsidP="0084605D">
      <w:pPr>
        <w:rPr>
          <w:b/>
          <w:bCs/>
          <w:i/>
          <w:iCs/>
          <w:sz w:val="28"/>
          <w:szCs w:val="28"/>
        </w:rPr>
      </w:pPr>
      <w:r w:rsidRPr="00A51605">
        <w:rPr>
          <w:b/>
          <w:bCs/>
          <w:i/>
          <w:iCs/>
          <w:sz w:val="28"/>
          <w:szCs w:val="28"/>
        </w:rPr>
        <w:t>Prior Addendum</w:t>
      </w:r>
      <w:r w:rsidR="00E45CF4">
        <w:rPr>
          <w:b/>
          <w:bCs/>
          <w:i/>
          <w:iCs/>
          <w:sz w:val="28"/>
          <w:szCs w:val="28"/>
        </w:rPr>
        <w:t>s</w:t>
      </w:r>
      <w:r w:rsidRPr="00A51605">
        <w:rPr>
          <w:b/>
          <w:bCs/>
          <w:i/>
          <w:iCs/>
          <w:sz w:val="28"/>
          <w:szCs w:val="28"/>
        </w:rPr>
        <w:t xml:space="preserve"> </w:t>
      </w:r>
    </w:p>
    <w:p w14:paraId="53ECB33D" w14:textId="1B8A9097" w:rsidR="00044542" w:rsidRDefault="00385201" w:rsidP="008460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Addendum </w:t>
      </w:r>
      <w:r w:rsidR="003543D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AB2982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174058">
        <w:rPr>
          <w:b/>
          <w:bCs/>
          <w:sz w:val="28"/>
          <w:szCs w:val="28"/>
        </w:rPr>
        <w:t xml:space="preserve">Updates to tentative dates listed </w:t>
      </w:r>
      <w:r w:rsidR="004B2C1D">
        <w:rPr>
          <w:b/>
          <w:bCs/>
          <w:sz w:val="28"/>
          <w:szCs w:val="28"/>
        </w:rPr>
        <w:t xml:space="preserve">for </w:t>
      </w:r>
      <w:r w:rsidR="00AB2982">
        <w:rPr>
          <w:b/>
          <w:bCs/>
          <w:sz w:val="28"/>
          <w:szCs w:val="28"/>
        </w:rPr>
        <w:t>the</w:t>
      </w:r>
      <w:r w:rsidR="00C15978">
        <w:rPr>
          <w:b/>
          <w:bCs/>
          <w:sz w:val="28"/>
          <w:szCs w:val="28"/>
        </w:rPr>
        <w:t xml:space="preserve"> </w:t>
      </w:r>
      <w:r w:rsidR="000931D3" w:rsidRPr="00DD439C">
        <w:rPr>
          <w:b/>
          <w:bCs/>
          <w:sz w:val="28"/>
          <w:szCs w:val="28"/>
        </w:rPr>
        <w:t>Broadband Equity Access</w:t>
      </w:r>
      <w:r w:rsidR="00DD439C" w:rsidRPr="00DD439C">
        <w:rPr>
          <w:b/>
          <w:bCs/>
          <w:sz w:val="28"/>
          <w:szCs w:val="28"/>
        </w:rPr>
        <w:t xml:space="preserve"> and</w:t>
      </w:r>
      <w:r w:rsidR="000931D3" w:rsidRPr="00DD439C">
        <w:rPr>
          <w:b/>
          <w:bCs/>
          <w:sz w:val="28"/>
          <w:szCs w:val="28"/>
        </w:rPr>
        <w:t xml:space="preserve"> De</w:t>
      </w:r>
      <w:r w:rsidR="00DD439C" w:rsidRPr="00DD439C">
        <w:rPr>
          <w:b/>
          <w:bCs/>
          <w:sz w:val="28"/>
          <w:szCs w:val="28"/>
        </w:rPr>
        <w:t>ployment</w:t>
      </w:r>
      <w:r w:rsidR="000931D3" w:rsidRPr="00DD439C">
        <w:rPr>
          <w:b/>
          <w:bCs/>
          <w:sz w:val="28"/>
          <w:szCs w:val="28"/>
        </w:rPr>
        <w:t xml:space="preserve"> </w:t>
      </w:r>
      <w:r w:rsidR="00C15978" w:rsidRPr="00DD439C">
        <w:rPr>
          <w:b/>
          <w:bCs/>
          <w:sz w:val="28"/>
          <w:szCs w:val="28"/>
        </w:rPr>
        <w:t xml:space="preserve">Request </w:t>
      </w:r>
      <w:r w:rsidR="0006547C" w:rsidRPr="00DD439C">
        <w:rPr>
          <w:b/>
          <w:bCs/>
          <w:sz w:val="28"/>
          <w:szCs w:val="28"/>
        </w:rPr>
        <w:t>for Proposals (RFP)</w:t>
      </w:r>
      <w:r w:rsidR="00B46AFD" w:rsidRPr="00F70286">
        <w:rPr>
          <w:i/>
          <w:iCs/>
          <w:sz w:val="24"/>
          <w:szCs w:val="24"/>
        </w:rPr>
        <w:br/>
      </w:r>
    </w:p>
    <w:p w14:paraId="30D22511" w14:textId="2AA65015" w:rsidR="00837AB1" w:rsidRDefault="002767C1" w:rsidP="0021369B">
      <w:pPr>
        <w:rPr>
          <w:i/>
          <w:iCs/>
          <w:sz w:val="28"/>
          <w:szCs w:val="28"/>
        </w:rPr>
      </w:pPr>
      <w:r w:rsidRPr="002767C1">
        <w:rPr>
          <w:i/>
          <w:iCs/>
          <w:sz w:val="28"/>
          <w:szCs w:val="28"/>
        </w:rPr>
        <w:t xml:space="preserve">Note:  </w:t>
      </w:r>
      <w:r w:rsidR="0084052C">
        <w:rPr>
          <w:i/>
          <w:iCs/>
          <w:sz w:val="28"/>
          <w:szCs w:val="28"/>
        </w:rPr>
        <w:t xml:space="preserve">The RFP was amended </w:t>
      </w:r>
      <w:r w:rsidR="00225412">
        <w:rPr>
          <w:i/>
          <w:iCs/>
          <w:sz w:val="28"/>
          <w:szCs w:val="28"/>
        </w:rPr>
        <w:t>for the</w:t>
      </w:r>
      <w:r w:rsidR="005C4B7C">
        <w:rPr>
          <w:i/>
          <w:iCs/>
          <w:sz w:val="28"/>
          <w:szCs w:val="28"/>
        </w:rPr>
        <w:t xml:space="preserve"> second time </w:t>
      </w:r>
      <w:r w:rsidR="0084052C">
        <w:rPr>
          <w:i/>
          <w:iCs/>
          <w:sz w:val="28"/>
          <w:szCs w:val="28"/>
        </w:rPr>
        <w:t xml:space="preserve">on May </w:t>
      </w:r>
      <w:r w:rsidR="00A17A40">
        <w:rPr>
          <w:i/>
          <w:iCs/>
          <w:sz w:val="28"/>
          <w:szCs w:val="28"/>
        </w:rPr>
        <w:t>5</w:t>
      </w:r>
      <w:r w:rsidR="0084052C">
        <w:rPr>
          <w:i/>
          <w:iCs/>
          <w:sz w:val="28"/>
          <w:szCs w:val="28"/>
        </w:rPr>
        <w:t>, 2025</w:t>
      </w:r>
      <w:r w:rsidR="00AB2982">
        <w:rPr>
          <w:i/>
          <w:iCs/>
          <w:sz w:val="28"/>
          <w:szCs w:val="28"/>
        </w:rPr>
        <w:t xml:space="preserve">. </w:t>
      </w:r>
      <w:r w:rsidR="0032429B">
        <w:rPr>
          <w:i/>
          <w:iCs/>
          <w:sz w:val="28"/>
          <w:szCs w:val="28"/>
        </w:rPr>
        <w:t xml:space="preserve">Initial posting of the RFP was February 14, 2025. First amendment was February 25, 2025. </w:t>
      </w:r>
      <w:r w:rsidR="00CD709A">
        <w:rPr>
          <w:i/>
          <w:iCs/>
          <w:sz w:val="28"/>
          <w:szCs w:val="28"/>
        </w:rPr>
        <w:t>All dates continue to be tentative and subject to change due to NTIA guidance.</w:t>
      </w:r>
      <w:r w:rsidR="004B2C1D">
        <w:rPr>
          <w:i/>
          <w:iCs/>
          <w:sz w:val="28"/>
          <w:szCs w:val="28"/>
        </w:rPr>
        <w:t xml:space="preserve"> </w:t>
      </w:r>
    </w:p>
    <w:p w14:paraId="671FC5CE" w14:textId="682B09AF" w:rsidR="008754DB" w:rsidRPr="0032429B" w:rsidRDefault="008754DB" w:rsidP="008754DB">
      <w:pPr>
        <w:pStyle w:val="Heading3"/>
        <w:tabs>
          <w:tab w:val="left" w:leader="dot" w:pos="7920"/>
        </w:tabs>
        <w:rPr>
          <w:i/>
          <w:iCs/>
        </w:rPr>
      </w:pPr>
      <w:r w:rsidRPr="0032429B">
        <w:rPr>
          <w:i/>
          <w:iCs/>
        </w:rPr>
        <w:t>Subround 11a:</w:t>
      </w:r>
    </w:p>
    <w:p w14:paraId="1CCCB96B" w14:textId="785836BD" w:rsidR="0017116C" w:rsidRPr="0032429B" w:rsidRDefault="0017116C" w:rsidP="0017116C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>OBD decides whether application likely to be included in Final Proposal</w:t>
      </w:r>
      <w:r w:rsidR="006947E1" w:rsidRPr="0032429B">
        <w:rPr>
          <w:sz w:val="24"/>
          <w:szCs w:val="24"/>
        </w:rPr>
        <w:t>:</w:t>
      </w:r>
      <w:r w:rsidR="000C7D70" w:rsidRPr="0032429B">
        <w:rPr>
          <w:sz w:val="24"/>
          <w:szCs w:val="24"/>
        </w:rPr>
        <w:t xml:space="preserve"> </w:t>
      </w:r>
      <w:r w:rsidRPr="0032429B">
        <w:rPr>
          <w:sz w:val="24"/>
          <w:szCs w:val="24"/>
        </w:rPr>
        <w:t xml:space="preserve">May 27, </w:t>
      </w:r>
      <w:r w:rsidR="00D91A2C" w:rsidRPr="0032429B">
        <w:rPr>
          <w:sz w:val="24"/>
          <w:szCs w:val="24"/>
        </w:rPr>
        <w:t>2025</w:t>
      </w:r>
      <w:r w:rsidR="00154EFC" w:rsidRPr="0032429B">
        <w:rPr>
          <w:sz w:val="24"/>
          <w:szCs w:val="24"/>
        </w:rPr>
        <w:t xml:space="preserve"> </w:t>
      </w:r>
      <w:r w:rsidR="00D91A2C" w:rsidRPr="0032429B">
        <w:rPr>
          <w:sz w:val="24"/>
          <w:szCs w:val="24"/>
        </w:rPr>
        <w:t>(</w:t>
      </w:r>
      <w:r w:rsidR="0024750B" w:rsidRPr="0032429B">
        <w:rPr>
          <w:i/>
          <w:iCs/>
          <w:sz w:val="24"/>
          <w:szCs w:val="24"/>
        </w:rPr>
        <w:t>previously</w:t>
      </w:r>
      <w:r w:rsidR="00987A7B" w:rsidRPr="0032429B">
        <w:rPr>
          <w:i/>
          <w:iCs/>
          <w:sz w:val="24"/>
          <w:szCs w:val="24"/>
        </w:rPr>
        <w:t xml:space="preserve"> April </w:t>
      </w:r>
      <w:r w:rsidR="00BC1CE6" w:rsidRPr="0032429B">
        <w:rPr>
          <w:i/>
          <w:iCs/>
          <w:sz w:val="24"/>
          <w:szCs w:val="24"/>
        </w:rPr>
        <w:t>21</w:t>
      </w:r>
      <w:r w:rsidR="00C53D0C" w:rsidRPr="0032429B">
        <w:rPr>
          <w:i/>
          <w:iCs/>
          <w:sz w:val="24"/>
          <w:szCs w:val="24"/>
        </w:rPr>
        <w:t>, 2025</w:t>
      </w:r>
      <w:r w:rsidR="00D91A2C" w:rsidRPr="0032429B">
        <w:rPr>
          <w:i/>
          <w:iCs/>
          <w:sz w:val="24"/>
          <w:szCs w:val="24"/>
        </w:rPr>
        <w:t>)</w:t>
      </w:r>
    </w:p>
    <w:p w14:paraId="74F2013B" w14:textId="37D91442" w:rsidR="0017116C" w:rsidRPr="0032429B" w:rsidRDefault="0017116C" w:rsidP="0017116C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>Selected applicants undergo pre-award risk assessment</w:t>
      </w:r>
      <w:r w:rsidR="002A0BA0" w:rsidRPr="0032429B">
        <w:rPr>
          <w:sz w:val="24"/>
          <w:szCs w:val="24"/>
        </w:rPr>
        <w:t>:</w:t>
      </w:r>
      <w:r w:rsidR="000C7D70" w:rsidRPr="0032429B">
        <w:rPr>
          <w:sz w:val="24"/>
          <w:szCs w:val="24"/>
        </w:rPr>
        <w:t xml:space="preserve"> </w:t>
      </w:r>
      <w:r w:rsidRPr="0032429B">
        <w:rPr>
          <w:sz w:val="24"/>
          <w:szCs w:val="24"/>
        </w:rPr>
        <w:t>May 27, 2025</w:t>
      </w:r>
      <w:r w:rsidR="00154EFC" w:rsidRPr="0032429B">
        <w:rPr>
          <w:sz w:val="24"/>
          <w:szCs w:val="24"/>
        </w:rPr>
        <w:t xml:space="preserve"> (</w:t>
      </w:r>
      <w:r w:rsidR="000C7D70" w:rsidRPr="0032429B">
        <w:rPr>
          <w:i/>
          <w:iCs/>
          <w:sz w:val="24"/>
          <w:szCs w:val="24"/>
        </w:rPr>
        <w:t xml:space="preserve">previously </w:t>
      </w:r>
      <w:r w:rsidR="00D91A2C" w:rsidRPr="0032429B">
        <w:rPr>
          <w:i/>
          <w:iCs/>
          <w:sz w:val="24"/>
          <w:szCs w:val="24"/>
        </w:rPr>
        <w:t>April 21, 2025</w:t>
      </w:r>
      <w:r w:rsidR="00154EFC" w:rsidRPr="0032429B">
        <w:rPr>
          <w:i/>
          <w:iCs/>
          <w:sz w:val="24"/>
          <w:szCs w:val="24"/>
        </w:rPr>
        <w:t>)</w:t>
      </w:r>
    </w:p>
    <w:p w14:paraId="03261997" w14:textId="77777777" w:rsidR="0017116C" w:rsidRPr="0032429B" w:rsidRDefault="0017116C" w:rsidP="0017116C">
      <w:pPr>
        <w:pStyle w:val="Heading3"/>
        <w:tabs>
          <w:tab w:val="left" w:leader="dot" w:pos="7920"/>
        </w:tabs>
        <w:rPr>
          <w:i/>
          <w:iCs/>
        </w:rPr>
      </w:pPr>
      <w:r w:rsidRPr="0032429B">
        <w:rPr>
          <w:i/>
          <w:iCs/>
        </w:rPr>
        <w:t>Subround 11b:</w:t>
      </w:r>
    </w:p>
    <w:p w14:paraId="67B071B9" w14:textId="1DEAEFE9" w:rsidR="0017116C" w:rsidRPr="0032429B" w:rsidRDefault="0017116C" w:rsidP="0017116C">
      <w:pPr>
        <w:tabs>
          <w:tab w:val="left" w:leader="dot" w:pos="7920"/>
        </w:tabs>
        <w:rPr>
          <w:i/>
          <w:iCs/>
          <w:sz w:val="24"/>
          <w:szCs w:val="24"/>
        </w:rPr>
      </w:pPr>
      <w:r w:rsidRPr="0032429B">
        <w:rPr>
          <w:sz w:val="24"/>
          <w:szCs w:val="24"/>
        </w:rPr>
        <w:t>Establish project areas for application and window opens for subround 11b: May 20, 2025</w:t>
      </w:r>
      <w:r w:rsidR="00154EFC" w:rsidRPr="0032429B">
        <w:rPr>
          <w:sz w:val="24"/>
          <w:szCs w:val="24"/>
        </w:rPr>
        <w:t xml:space="preserve"> </w:t>
      </w:r>
      <w:r w:rsidR="00154EFC" w:rsidRPr="0032429B">
        <w:rPr>
          <w:i/>
          <w:iCs/>
          <w:sz w:val="24"/>
          <w:szCs w:val="24"/>
        </w:rPr>
        <w:t xml:space="preserve">(previously </w:t>
      </w:r>
      <w:r w:rsidR="006947E1" w:rsidRPr="0032429B">
        <w:rPr>
          <w:i/>
          <w:iCs/>
          <w:sz w:val="24"/>
          <w:szCs w:val="24"/>
        </w:rPr>
        <w:t>April 23, 2025)</w:t>
      </w:r>
    </w:p>
    <w:p w14:paraId="7707A511" w14:textId="1908A7EE" w:rsidR="0017116C" w:rsidRPr="0032429B" w:rsidRDefault="0017116C" w:rsidP="0017116C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>Window opens for subround 11b: May 27, 2025</w:t>
      </w:r>
      <w:r w:rsidR="006947E1" w:rsidRPr="0032429B">
        <w:rPr>
          <w:sz w:val="24"/>
          <w:szCs w:val="24"/>
        </w:rPr>
        <w:t xml:space="preserve"> (</w:t>
      </w:r>
      <w:r w:rsidR="006947E1" w:rsidRPr="0032429B">
        <w:rPr>
          <w:i/>
          <w:iCs/>
          <w:sz w:val="24"/>
          <w:szCs w:val="24"/>
        </w:rPr>
        <w:t xml:space="preserve">previously </w:t>
      </w:r>
      <w:r w:rsidR="001D604A" w:rsidRPr="0032429B">
        <w:rPr>
          <w:i/>
          <w:iCs/>
          <w:sz w:val="24"/>
          <w:szCs w:val="24"/>
        </w:rPr>
        <w:t>April 23</w:t>
      </w:r>
      <w:r w:rsidR="006947E1" w:rsidRPr="0032429B">
        <w:rPr>
          <w:i/>
          <w:iCs/>
          <w:sz w:val="24"/>
          <w:szCs w:val="24"/>
        </w:rPr>
        <w:t>, 2025)</w:t>
      </w:r>
      <w:r w:rsidR="006947E1" w:rsidRPr="0032429B">
        <w:rPr>
          <w:sz w:val="24"/>
          <w:szCs w:val="24"/>
        </w:rPr>
        <w:t xml:space="preserve"> </w:t>
      </w:r>
    </w:p>
    <w:p w14:paraId="7B546C5E" w14:textId="586146BD" w:rsidR="0017116C" w:rsidRPr="0032429B" w:rsidRDefault="0017116C" w:rsidP="0017116C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>Questions on subround 11b due:</w:t>
      </w:r>
      <w:r w:rsidR="002A0BA0" w:rsidRPr="0032429B">
        <w:rPr>
          <w:sz w:val="24"/>
          <w:szCs w:val="24"/>
        </w:rPr>
        <w:t xml:space="preserve"> </w:t>
      </w:r>
      <w:r w:rsidRPr="0032429B">
        <w:rPr>
          <w:sz w:val="24"/>
          <w:szCs w:val="24"/>
        </w:rPr>
        <w:t xml:space="preserve">June </w:t>
      </w:r>
      <w:r w:rsidR="001D216D" w:rsidRPr="0032429B">
        <w:rPr>
          <w:sz w:val="24"/>
          <w:szCs w:val="24"/>
        </w:rPr>
        <w:t>6</w:t>
      </w:r>
      <w:r w:rsidRPr="0032429B">
        <w:rPr>
          <w:sz w:val="24"/>
          <w:szCs w:val="24"/>
        </w:rPr>
        <w:t>, 2025</w:t>
      </w:r>
      <w:r w:rsidR="006947E1" w:rsidRPr="0032429B">
        <w:rPr>
          <w:sz w:val="24"/>
          <w:szCs w:val="24"/>
        </w:rPr>
        <w:t xml:space="preserve"> (</w:t>
      </w:r>
      <w:r w:rsidR="006947E1" w:rsidRPr="0032429B">
        <w:rPr>
          <w:i/>
          <w:iCs/>
          <w:sz w:val="24"/>
          <w:szCs w:val="24"/>
        </w:rPr>
        <w:t xml:space="preserve">previously </w:t>
      </w:r>
      <w:r w:rsidR="001D604A" w:rsidRPr="0032429B">
        <w:rPr>
          <w:i/>
          <w:iCs/>
          <w:sz w:val="24"/>
          <w:szCs w:val="24"/>
        </w:rPr>
        <w:t>May 7</w:t>
      </w:r>
      <w:r w:rsidR="006947E1" w:rsidRPr="0032429B">
        <w:rPr>
          <w:i/>
          <w:iCs/>
          <w:sz w:val="24"/>
          <w:szCs w:val="24"/>
        </w:rPr>
        <w:t>, 2025)</w:t>
      </w:r>
    </w:p>
    <w:p w14:paraId="70CE4144" w14:textId="4879F1B1" w:rsidR="0017116C" w:rsidRPr="0032429B" w:rsidRDefault="0017116C" w:rsidP="0017116C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>FAQs and webinar: See webpage</w:t>
      </w:r>
    </w:p>
    <w:p w14:paraId="33AAB5EE" w14:textId="5BE13C10" w:rsidR="0017116C" w:rsidRPr="0032429B" w:rsidRDefault="0017116C" w:rsidP="0017116C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>BEAD subround 11b applications due no later than 4:30 pm Central Time:</w:t>
      </w:r>
      <w:r w:rsidR="004B5300" w:rsidRPr="0032429B">
        <w:rPr>
          <w:sz w:val="24"/>
          <w:szCs w:val="24"/>
        </w:rPr>
        <w:t xml:space="preserve"> </w:t>
      </w:r>
      <w:r w:rsidRPr="0032429B">
        <w:rPr>
          <w:sz w:val="24"/>
          <w:szCs w:val="24"/>
        </w:rPr>
        <w:t>June 16, 2025</w:t>
      </w:r>
      <w:r w:rsidR="004B5300" w:rsidRPr="0032429B">
        <w:rPr>
          <w:sz w:val="24"/>
          <w:szCs w:val="24"/>
        </w:rPr>
        <w:t xml:space="preserve"> (</w:t>
      </w:r>
      <w:r w:rsidR="004B5300" w:rsidRPr="0032429B">
        <w:rPr>
          <w:i/>
          <w:iCs/>
          <w:sz w:val="24"/>
          <w:szCs w:val="24"/>
        </w:rPr>
        <w:t>previously May 21, 2025</w:t>
      </w:r>
      <w:r w:rsidR="00DD74DC" w:rsidRPr="0032429B">
        <w:rPr>
          <w:i/>
          <w:iCs/>
          <w:sz w:val="24"/>
          <w:szCs w:val="24"/>
        </w:rPr>
        <w:t>)</w:t>
      </w:r>
    </w:p>
    <w:p w14:paraId="3712386A" w14:textId="338CD683" w:rsidR="0017116C" w:rsidRPr="0032429B" w:rsidRDefault="0017116C" w:rsidP="0017116C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>OBD decides whether application likely to be included in Final Proposal</w:t>
      </w:r>
      <w:r w:rsidR="00DD74DC" w:rsidRPr="0032429B">
        <w:rPr>
          <w:sz w:val="24"/>
          <w:szCs w:val="24"/>
        </w:rPr>
        <w:t xml:space="preserve">: </w:t>
      </w:r>
      <w:r w:rsidRPr="0032429B">
        <w:rPr>
          <w:sz w:val="24"/>
          <w:szCs w:val="24"/>
        </w:rPr>
        <w:t>July 7, 2025</w:t>
      </w:r>
      <w:r w:rsidR="004B5300" w:rsidRPr="0032429B">
        <w:rPr>
          <w:sz w:val="24"/>
          <w:szCs w:val="24"/>
        </w:rPr>
        <w:t xml:space="preserve"> (</w:t>
      </w:r>
      <w:r w:rsidR="004B5300" w:rsidRPr="0032429B">
        <w:rPr>
          <w:i/>
          <w:iCs/>
          <w:sz w:val="24"/>
          <w:szCs w:val="24"/>
        </w:rPr>
        <w:t xml:space="preserve">previously </w:t>
      </w:r>
      <w:r w:rsidR="00954290" w:rsidRPr="0032429B">
        <w:rPr>
          <w:i/>
          <w:iCs/>
          <w:sz w:val="24"/>
          <w:szCs w:val="24"/>
        </w:rPr>
        <w:t>June 17</w:t>
      </w:r>
      <w:r w:rsidR="004B5300" w:rsidRPr="0032429B">
        <w:rPr>
          <w:i/>
          <w:iCs/>
          <w:sz w:val="24"/>
          <w:szCs w:val="24"/>
        </w:rPr>
        <w:t>, 2025</w:t>
      </w:r>
      <w:r w:rsidR="00DD74DC" w:rsidRPr="0032429B">
        <w:rPr>
          <w:i/>
          <w:iCs/>
          <w:sz w:val="24"/>
          <w:szCs w:val="24"/>
        </w:rPr>
        <w:t>)</w:t>
      </w:r>
    </w:p>
    <w:p w14:paraId="510B02E3" w14:textId="7BDB3DD8" w:rsidR="0017116C" w:rsidRPr="0032429B" w:rsidRDefault="0017116C" w:rsidP="0017116C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>Selected applicants undergo pre-award risk assessment</w:t>
      </w:r>
      <w:r w:rsidR="00DD74DC" w:rsidRPr="0032429B">
        <w:rPr>
          <w:sz w:val="24"/>
          <w:szCs w:val="24"/>
        </w:rPr>
        <w:t xml:space="preserve">: </w:t>
      </w:r>
      <w:r w:rsidRPr="0032429B">
        <w:rPr>
          <w:sz w:val="24"/>
          <w:szCs w:val="24"/>
        </w:rPr>
        <w:t>July 7, 2025</w:t>
      </w:r>
      <w:r w:rsidR="004B5300" w:rsidRPr="0032429B">
        <w:rPr>
          <w:sz w:val="24"/>
          <w:szCs w:val="24"/>
        </w:rPr>
        <w:t xml:space="preserve"> (</w:t>
      </w:r>
      <w:r w:rsidR="004B5300" w:rsidRPr="0032429B">
        <w:rPr>
          <w:i/>
          <w:iCs/>
          <w:sz w:val="24"/>
          <w:szCs w:val="24"/>
        </w:rPr>
        <w:t xml:space="preserve">previously </w:t>
      </w:r>
      <w:r w:rsidR="00954290" w:rsidRPr="0032429B">
        <w:rPr>
          <w:i/>
          <w:iCs/>
          <w:sz w:val="24"/>
          <w:szCs w:val="24"/>
        </w:rPr>
        <w:t>June 17</w:t>
      </w:r>
      <w:r w:rsidR="004B5300" w:rsidRPr="0032429B">
        <w:rPr>
          <w:i/>
          <w:iCs/>
          <w:sz w:val="24"/>
          <w:szCs w:val="24"/>
        </w:rPr>
        <w:t>, 2025</w:t>
      </w:r>
      <w:r w:rsidR="00DD74DC" w:rsidRPr="0032429B">
        <w:rPr>
          <w:i/>
          <w:iCs/>
          <w:sz w:val="24"/>
          <w:szCs w:val="24"/>
        </w:rPr>
        <w:t>)</w:t>
      </w:r>
    </w:p>
    <w:p w14:paraId="2E7AAA23" w14:textId="77777777" w:rsidR="0017116C" w:rsidRPr="0032429B" w:rsidRDefault="0017116C" w:rsidP="0017116C">
      <w:pPr>
        <w:pStyle w:val="Heading3"/>
        <w:tabs>
          <w:tab w:val="left" w:leader="dot" w:pos="7920"/>
        </w:tabs>
        <w:rPr>
          <w:i/>
          <w:iCs/>
        </w:rPr>
      </w:pPr>
      <w:r w:rsidRPr="0032429B">
        <w:rPr>
          <w:i/>
          <w:iCs/>
        </w:rPr>
        <w:t>Subround 11c:</w:t>
      </w:r>
    </w:p>
    <w:p w14:paraId="32DDDB3B" w14:textId="6291E68E" w:rsidR="0017116C" w:rsidRPr="0032429B" w:rsidRDefault="0017116C" w:rsidP="0017116C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>Publish remaining eligible locations and project areas and window opens for subround 11c:</w:t>
      </w:r>
      <w:r w:rsidR="00E00B43" w:rsidRPr="0032429B">
        <w:rPr>
          <w:sz w:val="24"/>
          <w:szCs w:val="24"/>
        </w:rPr>
        <w:t xml:space="preserve"> </w:t>
      </w:r>
      <w:r w:rsidRPr="0032429B">
        <w:rPr>
          <w:sz w:val="24"/>
          <w:szCs w:val="24"/>
        </w:rPr>
        <w:t>July 7, 2025</w:t>
      </w:r>
      <w:r w:rsidR="00954290" w:rsidRPr="0032429B">
        <w:rPr>
          <w:sz w:val="24"/>
          <w:szCs w:val="24"/>
        </w:rPr>
        <w:t xml:space="preserve"> (</w:t>
      </w:r>
      <w:r w:rsidR="00954290" w:rsidRPr="0032429B">
        <w:rPr>
          <w:i/>
          <w:iCs/>
          <w:sz w:val="24"/>
          <w:szCs w:val="24"/>
        </w:rPr>
        <w:t>previously June 19, 2025)</w:t>
      </w:r>
    </w:p>
    <w:p w14:paraId="04302A19" w14:textId="6F91BBF5" w:rsidR="0017116C" w:rsidRPr="0032429B" w:rsidRDefault="0017116C" w:rsidP="0017116C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>Establish Extremely High Cost Per Location Threshold:</w:t>
      </w:r>
      <w:r w:rsidR="00E00B43" w:rsidRPr="0032429B">
        <w:rPr>
          <w:sz w:val="24"/>
          <w:szCs w:val="24"/>
        </w:rPr>
        <w:t xml:space="preserve"> </w:t>
      </w:r>
      <w:r w:rsidRPr="0032429B">
        <w:rPr>
          <w:sz w:val="24"/>
          <w:szCs w:val="24"/>
        </w:rPr>
        <w:t>July 24, 2025</w:t>
      </w:r>
      <w:r w:rsidR="00954290" w:rsidRPr="0032429B">
        <w:rPr>
          <w:sz w:val="24"/>
          <w:szCs w:val="24"/>
        </w:rPr>
        <w:t xml:space="preserve"> (</w:t>
      </w:r>
      <w:r w:rsidR="00954290" w:rsidRPr="0032429B">
        <w:rPr>
          <w:i/>
          <w:iCs/>
          <w:sz w:val="24"/>
          <w:szCs w:val="24"/>
        </w:rPr>
        <w:t>previously June 19, 2025)</w:t>
      </w:r>
    </w:p>
    <w:p w14:paraId="46CBB562" w14:textId="7B1EA699" w:rsidR="0017116C" w:rsidRPr="0032429B" w:rsidRDefault="0017116C" w:rsidP="0017116C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>Questions on subround 11c due:</w:t>
      </w:r>
      <w:r w:rsidR="00E00B43" w:rsidRPr="0032429B">
        <w:rPr>
          <w:sz w:val="24"/>
          <w:szCs w:val="24"/>
        </w:rPr>
        <w:t xml:space="preserve"> </w:t>
      </w:r>
      <w:r w:rsidR="00241275" w:rsidRPr="0032429B">
        <w:rPr>
          <w:sz w:val="24"/>
          <w:szCs w:val="24"/>
        </w:rPr>
        <w:t>July 18</w:t>
      </w:r>
      <w:r w:rsidRPr="0032429B">
        <w:rPr>
          <w:sz w:val="24"/>
          <w:szCs w:val="24"/>
        </w:rPr>
        <w:t>, 2025</w:t>
      </w:r>
      <w:r w:rsidR="00241275" w:rsidRPr="0032429B">
        <w:rPr>
          <w:sz w:val="24"/>
          <w:szCs w:val="24"/>
        </w:rPr>
        <w:t xml:space="preserve"> (</w:t>
      </w:r>
      <w:r w:rsidR="00241275" w:rsidRPr="0032429B">
        <w:rPr>
          <w:i/>
          <w:iCs/>
          <w:sz w:val="24"/>
          <w:szCs w:val="24"/>
        </w:rPr>
        <w:t xml:space="preserve">previously June </w:t>
      </w:r>
      <w:r w:rsidR="00080725" w:rsidRPr="0032429B">
        <w:rPr>
          <w:i/>
          <w:iCs/>
          <w:sz w:val="24"/>
          <w:szCs w:val="24"/>
        </w:rPr>
        <w:t>26</w:t>
      </w:r>
      <w:r w:rsidR="00241275" w:rsidRPr="0032429B">
        <w:rPr>
          <w:i/>
          <w:iCs/>
          <w:sz w:val="24"/>
          <w:szCs w:val="24"/>
        </w:rPr>
        <w:t>, 2025)</w:t>
      </w:r>
    </w:p>
    <w:p w14:paraId="0FFA4234" w14:textId="2221D0D1" w:rsidR="0017116C" w:rsidRPr="0032429B" w:rsidRDefault="0017116C" w:rsidP="0017116C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>FAQs and webinar:</w:t>
      </w:r>
      <w:r w:rsidR="00E00B43" w:rsidRPr="0032429B">
        <w:rPr>
          <w:sz w:val="24"/>
          <w:szCs w:val="24"/>
        </w:rPr>
        <w:t xml:space="preserve"> </w:t>
      </w:r>
      <w:r w:rsidRPr="0032429B">
        <w:rPr>
          <w:sz w:val="24"/>
          <w:szCs w:val="24"/>
        </w:rPr>
        <w:t>see webpage</w:t>
      </w:r>
    </w:p>
    <w:p w14:paraId="106BF663" w14:textId="26A180A3" w:rsidR="00080725" w:rsidRPr="0032429B" w:rsidRDefault="0017116C" w:rsidP="00080725">
      <w:pPr>
        <w:tabs>
          <w:tab w:val="left" w:leader="dot" w:pos="7920"/>
        </w:tabs>
        <w:rPr>
          <w:sz w:val="24"/>
          <w:szCs w:val="24"/>
        </w:rPr>
      </w:pPr>
      <w:r w:rsidRPr="0032429B">
        <w:rPr>
          <w:sz w:val="24"/>
          <w:szCs w:val="24"/>
        </w:rPr>
        <w:t>BEAD subround 11c applications due no later than 4:30pm Central Time:</w:t>
      </w:r>
      <w:r w:rsidR="00E00B43" w:rsidRPr="0032429B">
        <w:rPr>
          <w:sz w:val="24"/>
          <w:szCs w:val="24"/>
        </w:rPr>
        <w:t xml:space="preserve"> </w:t>
      </w:r>
      <w:r w:rsidRPr="0032429B">
        <w:rPr>
          <w:sz w:val="24"/>
          <w:szCs w:val="24"/>
        </w:rPr>
        <w:t xml:space="preserve">July </w:t>
      </w:r>
      <w:r w:rsidR="007C5645">
        <w:rPr>
          <w:sz w:val="24"/>
          <w:szCs w:val="24"/>
        </w:rPr>
        <w:t>24</w:t>
      </w:r>
      <w:r w:rsidRPr="0032429B">
        <w:rPr>
          <w:sz w:val="24"/>
          <w:szCs w:val="24"/>
        </w:rPr>
        <w:t>, 2025</w:t>
      </w:r>
      <w:r w:rsidR="00080725" w:rsidRPr="0032429B">
        <w:rPr>
          <w:sz w:val="24"/>
          <w:szCs w:val="24"/>
        </w:rPr>
        <w:t xml:space="preserve"> (</w:t>
      </w:r>
      <w:r w:rsidR="00080725" w:rsidRPr="0032429B">
        <w:rPr>
          <w:i/>
          <w:iCs/>
          <w:sz w:val="24"/>
          <w:szCs w:val="24"/>
        </w:rPr>
        <w:t>previously Ju</w:t>
      </w:r>
      <w:r w:rsidR="00E00B43" w:rsidRPr="0032429B">
        <w:rPr>
          <w:i/>
          <w:iCs/>
          <w:sz w:val="24"/>
          <w:szCs w:val="24"/>
        </w:rPr>
        <w:t>ly</w:t>
      </w:r>
      <w:r w:rsidR="00080725" w:rsidRPr="0032429B">
        <w:rPr>
          <w:i/>
          <w:iCs/>
          <w:sz w:val="24"/>
          <w:szCs w:val="24"/>
        </w:rPr>
        <w:t xml:space="preserve"> </w:t>
      </w:r>
      <w:r w:rsidR="00E00B43" w:rsidRPr="0032429B">
        <w:rPr>
          <w:i/>
          <w:iCs/>
          <w:sz w:val="24"/>
          <w:szCs w:val="24"/>
        </w:rPr>
        <w:t>1</w:t>
      </w:r>
      <w:r w:rsidR="008320F3">
        <w:rPr>
          <w:i/>
          <w:iCs/>
          <w:sz w:val="24"/>
          <w:szCs w:val="24"/>
        </w:rPr>
        <w:t>0</w:t>
      </w:r>
      <w:r w:rsidR="00080725" w:rsidRPr="0032429B">
        <w:rPr>
          <w:i/>
          <w:iCs/>
          <w:sz w:val="24"/>
          <w:szCs w:val="24"/>
        </w:rPr>
        <w:t>, 2025)</w:t>
      </w:r>
    </w:p>
    <w:p w14:paraId="15317282" w14:textId="77777777" w:rsidR="009566E3" w:rsidRDefault="009566E3" w:rsidP="00714AD8">
      <w:pPr>
        <w:rPr>
          <w:b/>
          <w:bCs/>
          <w:sz w:val="28"/>
          <w:szCs w:val="28"/>
        </w:rPr>
      </w:pPr>
    </w:p>
    <w:p w14:paraId="0299BD1D" w14:textId="25029C4D" w:rsidR="00714AD8" w:rsidRDefault="00714AD8" w:rsidP="00714A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Addendum 1 - </w:t>
      </w:r>
      <w:r w:rsidRPr="002B68A0">
        <w:rPr>
          <w:b/>
          <w:bCs/>
          <w:sz w:val="28"/>
          <w:szCs w:val="28"/>
        </w:rPr>
        <w:t xml:space="preserve">Questions and Answers </w:t>
      </w:r>
      <w:r>
        <w:rPr>
          <w:b/>
          <w:bCs/>
          <w:sz w:val="28"/>
          <w:szCs w:val="28"/>
        </w:rPr>
        <w:t xml:space="preserve">Regarding the </w:t>
      </w:r>
      <w:r w:rsidRPr="00DD439C">
        <w:rPr>
          <w:b/>
          <w:bCs/>
          <w:sz w:val="28"/>
          <w:szCs w:val="28"/>
        </w:rPr>
        <w:t>Broadband Equity Access and Deployment Request for Proposals (RFP)</w:t>
      </w:r>
      <w:r w:rsidRPr="00F70286">
        <w:rPr>
          <w:i/>
          <w:iCs/>
          <w:sz w:val="24"/>
          <w:szCs w:val="24"/>
        </w:rPr>
        <w:br/>
      </w:r>
    </w:p>
    <w:p w14:paraId="5EF8B17D" w14:textId="77777777" w:rsidR="00714AD8" w:rsidRDefault="00714AD8" w:rsidP="00714AD8">
      <w:pPr>
        <w:rPr>
          <w:i/>
          <w:iCs/>
          <w:sz w:val="28"/>
          <w:szCs w:val="28"/>
        </w:rPr>
      </w:pPr>
      <w:r w:rsidRPr="002767C1">
        <w:rPr>
          <w:i/>
          <w:iCs/>
          <w:sz w:val="28"/>
          <w:szCs w:val="28"/>
        </w:rPr>
        <w:t>Note:  The RFP</w:t>
      </w:r>
      <w:r>
        <w:rPr>
          <w:i/>
          <w:iCs/>
          <w:sz w:val="28"/>
          <w:szCs w:val="28"/>
        </w:rPr>
        <w:t xml:space="preserve"> posted on February 14, </w:t>
      </w:r>
      <w:proofErr w:type="gramStart"/>
      <w:r>
        <w:rPr>
          <w:i/>
          <w:iCs/>
          <w:sz w:val="28"/>
          <w:szCs w:val="28"/>
        </w:rPr>
        <w:t>2025</w:t>
      </w:r>
      <w:proofErr w:type="gramEnd"/>
      <w:r>
        <w:rPr>
          <w:i/>
          <w:iCs/>
          <w:sz w:val="28"/>
          <w:szCs w:val="28"/>
        </w:rPr>
        <w:t xml:space="preserve"> and was amended on February 25, 2025.</w:t>
      </w:r>
    </w:p>
    <w:p w14:paraId="05BDEBD9" w14:textId="77777777" w:rsidR="00714AD8" w:rsidRDefault="00714AD8" w:rsidP="00714AD8">
      <w:pPr>
        <w:tabs>
          <w:tab w:val="left" w:pos="720"/>
        </w:tabs>
        <w:ind w:left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Pre-Qualification end date is being extended from Thursday, February 27, </w:t>
      </w:r>
      <w:proofErr w:type="gramStart"/>
      <w:r>
        <w:rPr>
          <w:i/>
          <w:iCs/>
          <w:sz w:val="28"/>
          <w:szCs w:val="28"/>
        </w:rPr>
        <w:t>2025</w:t>
      </w:r>
      <w:proofErr w:type="gramEnd"/>
      <w:r>
        <w:rPr>
          <w:i/>
          <w:iCs/>
          <w:sz w:val="28"/>
          <w:szCs w:val="28"/>
        </w:rPr>
        <w:t xml:space="preserve"> to </w:t>
      </w:r>
      <w:r w:rsidRPr="000931D3">
        <w:rPr>
          <w:i/>
          <w:iCs/>
          <w:sz w:val="28"/>
          <w:szCs w:val="28"/>
        </w:rPr>
        <w:t>Thursday, March 13, 2025.</w:t>
      </w:r>
    </w:p>
    <w:p w14:paraId="620D895F" w14:textId="77777777" w:rsidR="00714AD8" w:rsidRDefault="00714AD8" w:rsidP="00714AD8">
      <w:pPr>
        <w:tabs>
          <w:tab w:val="left" w:pos="720"/>
        </w:tabs>
        <w:ind w:left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Subgrantee selection subround 11a is being changed from March 10, 2025-April 7, </w:t>
      </w:r>
      <w:proofErr w:type="gramStart"/>
      <w:r>
        <w:rPr>
          <w:i/>
          <w:iCs/>
          <w:sz w:val="28"/>
          <w:szCs w:val="28"/>
        </w:rPr>
        <w:t>2025</w:t>
      </w:r>
      <w:proofErr w:type="gramEnd"/>
      <w:r>
        <w:rPr>
          <w:i/>
          <w:iCs/>
          <w:sz w:val="28"/>
          <w:szCs w:val="28"/>
        </w:rPr>
        <w:t xml:space="preserve"> to March 24, 2025-April 21, 2025.  </w:t>
      </w:r>
    </w:p>
    <w:p w14:paraId="3C5BDB6D" w14:textId="77777777" w:rsidR="00714AD8" w:rsidRPr="002767C1" w:rsidRDefault="00714AD8" w:rsidP="00714AD8">
      <w:pPr>
        <w:tabs>
          <w:tab w:val="left" w:pos="720"/>
        </w:tabs>
        <w:ind w:left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OBD defined project areas posted is being changed from April 23, 2025-May 21, </w:t>
      </w:r>
      <w:proofErr w:type="gramStart"/>
      <w:r>
        <w:rPr>
          <w:i/>
          <w:iCs/>
          <w:sz w:val="28"/>
          <w:szCs w:val="28"/>
        </w:rPr>
        <w:t>2025</w:t>
      </w:r>
      <w:proofErr w:type="gramEnd"/>
      <w:r>
        <w:rPr>
          <w:i/>
          <w:iCs/>
          <w:sz w:val="28"/>
          <w:szCs w:val="28"/>
        </w:rPr>
        <w:t xml:space="preserve"> to May 7, 2025-May 21, 2025.  </w:t>
      </w:r>
    </w:p>
    <w:p w14:paraId="2AFDBD3D" w14:textId="77777777" w:rsidR="00714AD8" w:rsidRDefault="00714AD8" w:rsidP="00714AD8">
      <w:pPr>
        <w:spacing w:after="0" w:line="240" w:lineRule="auto"/>
        <w:ind w:left="360"/>
        <w:rPr>
          <w:b/>
          <w:bCs/>
        </w:rPr>
      </w:pPr>
    </w:p>
    <w:p w14:paraId="6351A26D" w14:textId="77777777" w:rsidR="00714AD8" w:rsidRDefault="00714AD8" w:rsidP="00714AD8">
      <w:pPr>
        <w:spacing w:after="0" w:line="240" w:lineRule="auto"/>
        <w:rPr>
          <w:b/>
          <w:bCs/>
        </w:rPr>
      </w:pPr>
    </w:p>
    <w:p w14:paraId="4DD1248F" w14:textId="77777777" w:rsidR="00714AD8" w:rsidRPr="002C7913" w:rsidRDefault="00714AD8" w:rsidP="00714AD8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2C7913">
        <w:rPr>
          <w:b/>
          <w:bCs/>
          <w:i/>
          <w:iCs/>
          <w:sz w:val="28"/>
          <w:szCs w:val="28"/>
        </w:rPr>
        <w:t>Questions:</w:t>
      </w:r>
    </w:p>
    <w:p w14:paraId="6B74708B" w14:textId="77777777" w:rsidR="00714AD8" w:rsidRDefault="00714AD8" w:rsidP="00714AD8">
      <w:pPr>
        <w:spacing w:after="0" w:line="240" w:lineRule="auto"/>
        <w:rPr>
          <w:i/>
          <w:iCs/>
          <w:sz w:val="28"/>
          <w:szCs w:val="28"/>
        </w:rPr>
      </w:pPr>
      <w:r w:rsidRPr="00DD439C">
        <w:rPr>
          <w:i/>
          <w:iCs/>
          <w:sz w:val="28"/>
          <w:szCs w:val="28"/>
        </w:rPr>
        <w:t xml:space="preserve">FAQ Form link: FAQs should be submitted using this form  </w:t>
      </w:r>
      <w:hyperlink r:id="rId9" w:history="1">
        <w:r w:rsidRPr="00DD439C">
          <w:rPr>
            <w:rStyle w:val="Hyperlink"/>
            <w:i/>
            <w:iCs/>
            <w:sz w:val="28"/>
            <w:szCs w:val="28"/>
          </w:rPr>
          <w:t>https://forms.office.com/pages/responsepage.aspx?id=RrAU68QkGUWPJricIVmCjA4DiC_nFNpHmvjyxugkpX5UMERFNEhTOVhCSUxBM1RDQlNDR0FaOUxQRC4u&amp;route=shorturl</w:t>
        </w:r>
      </w:hyperlink>
      <w:r w:rsidRPr="00DD439C">
        <w:rPr>
          <w:i/>
          <w:iCs/>
          <w:sz w:val="28"/>
          <w:szCs w:val="28"/>
        </w:rPr>
        <w:t xml:space="preserve">.  FAQs will be updated weekly to accommodate NTIA review of answers to all questions.  </w:t>
      </w:r>
      <w:r>
        <w:rPr>
          <w:i/>
          <w:iCs/>
          <w:sz w:val="28"/>
          <w:szCs w:val="28"/>
        </w:rPr>
        <w:t xml:space="preserve">Plan to submit all questions related to Pre-Qualification by Thursday March 6, </w:t>
      </w:r>
      <w:proofErr w:type="gramStart"/>
      <w:r>
        <w:rPr>
          <w:i/>
          <w:iCs/>
          <w:sz w:val="28"/>
          <w:szCs w:val="28"/>
        </w:rPr>
        <w:t>2025</w:t>
      </w:r>
      <w:proofErr w:type="gramEnd"/>
      <w:r>
        <w:rPr>
          <w:i/>
          <w:iCs/>
          <w:sz w:val="28"/>
          <w:szCs w:val="28"/>
        </w:rPr>
        <w:t xml:space="preserve"> to allow for a timely response.  </w:t>
      </w:r>
    </w:p>
    <w:p w14:paraId="5CD56BE9" w14:textId="77777777" w:rsidR="00714AD8" w:rsidRPr="00DD439C" w:rsidRDefault="00714AD8" w:rsidP="0017116C">
      <w:pPr>
        <w:spacing w:after="0" w:line="240" w:lineRule="auto"/>
        <w:rPr>
          <w:i/>
          <w:iCs/>
          <w:sz w:val="28"/>
          <w:szCs w:val="28"/>
        </w:rPr>
      </w:pPr>
    </w:p>
    <w:sectPr w:rsidR="00714AD8" w:rsidRPr="00DD439C" w:rsidSect="002B68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66"/>
    <w:multiLevelType w:val="hybridMultilevel"/>
    <w:tmpl w:val="5792046A"/>
    <w:lvl w:ilvl="0" w:tplc="A1BE87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6B"/>
    <w:multiLevelType w:val="hybridMultilevel"/>
    <w:tmpl w:val="207A3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0868"/>
    <w:multiLevelType w:val="hybridMultilevel"/>
    <w:tmpl w:val="37B0D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052F9"/>
    <w:multiLevelType w:val="hybridMultilevel"/>
    <w:tmpl w:val="CCA2FC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2846F2"/>
    <w:multiLevelType w:val="hybridMultilevel"/>
    <w:tmpl w:val="CBDE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71889"/>
    <w:multiLevelType w:val="hybridMultilevel"/>
    <w:tmpl w:val="A3440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350D8"/>
    <w:multiLevelType w:val="hybridMultilevel"/>
    <w:tmpl w:val="4E58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04B01"/>
    <w:multiLevelType w:val="hybridMultilevel"/>
    <w:tmpl w:val="47C26E86"/>
    <w:lvl w:ilvl="0" w:tplc="72604AA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E30FC9"/>
    <w:multiLevelType w:val="hybridMultilevel"/>
    <w:tmpl w:val="A46677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8862009">
    <w:abstractNumId w:val="1"/>
  </w:num>
  <w:num w:numId="2" w16cid:durableId="1543201545">
    <w:abstractNumId w:val="8"/>
  </w:num>
  <w:num w:numId="3" w16cid:durableId="468128130">
    <w:abstractNumId w:val="0"/>
  </w:num>
  <w:num w:numId="4" w16cid:durableId="1730302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5153107">
    <w:abstractNumId w:val="5"/>
  </w:num>
  <w:num w:numId="6" w16cid:durableId="406222659">
    <w:abstractNumId w:val="4"/>
  </w:num>
  <w:num w:numId="7" w16cid:durableId="1685666277">
    <w:abstractNumId w:val="6"/>
  </w:num>
  <w:num w:numId="8" w16cid:durableId="669139703">
    <w:abstractNumId w:val="4"/>
  </w:num>
  <w:num w:numId="9" w16cid:durableId="1177381546">
    <w:abstractNumId w:val="5"/>
  </w:num>
  <w:num w:numId="10" w16cid:durableId="1361475263">
    <w:abstractNumId w:val="3"/>
  </w:num>
  <w:num w:numId="11" w16cid:durableId="128788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7C"/>
    <w:rsid w:val="0003353B"/>
    <w:rsid w:val="00044542"/>
    <w:rsid w:val="0006547C"/>
    <w:rsid w:val="00080725"/>
    <w:rsid w:val="000931D3"/>
    <w:rsid w:val="000A0335"/>
    <w:rsid w:val="000B0FE1"/>
    <w:rsid w:val="000C7D70"/>
    <w:rsid w:val="001229AE"/>
    <w:rsid w:val="00154EFC"/>
    <w:rsid w:val="001666AD"/>
    <w:rsid w:val="0017116C"/>
    <w:rsid w:val="00174058"/>
    <w:rsid w:val="001C2816"/>
    <w:rsid w:val="001D216D"/>
    <w:rsid w:val="001D604A"/>
    <w:rsid w:val="00212FC3"/>
    <w:rsid w:val="0021369B"/>
    <w:rsid w:val="00225412"/>
    <w:rsid w:val="002404C0"/>
    <w:rsid w:val="00241275"/>
    <w:rsid w:val="0024750B"/>
    <w:rsid w:val="002743E2"/>
    <w:rsid w:val="002767C1"/>
    <w:rsid w:val="00295B85"/>
    <w:rsid w:val="002A0BA0"/>
    <w:rsid w:val="002B68A0"/>
    <w:rsid w:val="002C0FBA"/>
    <w:rsid w:val="002C7913"/>
    <w:rsid w:val="002D332F"/>
    <w:rsid w:val="002F5739"/>
    <w:rsid w:val="00316269"/>
    <w:rsid w:val="0032429B"/>
    <w:rsid w:val="00331FD0"/>
    <w:rsid w:val="003452FF"/>
    <w:rsid w:val="003543DA"/>
    <w:rsid w:val="003744FC"/>
    <w:rsid w:val="00381B1C"/>
    <w:rsid w:val="00385201"/>
    <w:rsid w:val="003C1EB2"/>
    <w:rsid w:val="003D3535"/>
    <w:rsid w:val="003E442B"/>
    <w:rsid w:val="003F02B5"/>
    <w:rsid w:val="004350FA"/>
    <w:rsid w:val="00446B22"/>
    <w:rsid w:val="004B2C1D"/>
    <w:rsid w:val="004B5300"/>
    <w:rsid w:val="004D11A9"/>
    <w:rsid w:val="004D5D8A"/>
    <w:rsid w:val="004F2B32"/>
    <w:rsid w:val="00567176"/>
    <w:rsid w:val="005B0B6D"/>
    <w:rsid w:val="005C09F4"/>
    <w:rsid w:val="005C4B7C"/>
    <w:rsid w:val="00615EFD"/>
    <w:rsid w:val="006306DC"/>
    <w:rsid w:val="006926B5"/>
    <w:rsid w:val="006947E1"/>
    <w:rsid w:val="0070173E"/>
    <w:rsid w:val="00714AD8"/>
    <w:rsid w:val="0071652C"/>
    <w:rsid w:val="00724137"/>
    <w:rsid w:val="00725EE7"/>
    <w:rsid w:val="007767D1"/>
    <w:rsid w:val="007869A5"/>
    <w:rsid w:val="00791B87"/>
    <w:rsid w:val="007B2070"/>
    <w:rsid w:val="007C05B0"/>
    <w:rsid w:val="007C4C0B"/>
    <w:rsid w:val="007C5645"/>
    <w:rsid w:val="007D5377"/>
    <w:rsid w:val="007E2736"/>
    <w:rsid w:val="008320F3"/>
    <w:rsid w:val="00837AB1"/>
    <w:rsid w:val="0084052C"/>
    <w:rsid w:val="0084257B"/>
    <w:rsid w:val="0084605D"/>
    <w:rsid w:val="00851ED6"/>
    <w:rsid w:val="008754DB"/>
    <w:rsid w:val="0088554E"/>
    <w:rsid w:val="008858A6"/>
    <w:rsid w:val="008B2A2E"/>
    <w:rsid w:val="008E0013"/>
    <w:rsid w:val="008E6092"/>
    <w:rsid w:val="008F2F23"/>
    <w:rsid w:val="009001AA"/>
    <w:rsid w:val="00900FFE"/>
    <w:rsid w:val="00920E8D"/>
    <w:rsid w:val="009465C2"/>
    <w:rsid w:val="00954290"/>
    <w:rsid w:val="009566E3"/>
    <w:rsid w:val="00967BD3"/>
    <w:rsid w:val="009738BC"/>
    <w:rsid w:val="00987A7B"/>
    <w:rsid w:val="00996B46"/>
    <w:rsid w:val="009D6AC0"/>
    <w:rsid w:val="00A04298"/>
    <w:rsid w:val="00A06176"/>
    <w:rsid w:val="00A125FB"/>
    <w:rsid w:val="00A17A40"/>
    <w:rsid w:val="00A24EF6"/>
    <w:rsid w:val="00A51605"/>
    <w:rsid w:val="00A5529A"/>
    <w:rsid w:val="00A944A4"/>
    <w:rsid w:val="00AA0119"/>
    <w:rsid w:val="00AB2982"/>
    <w:rsid w:val="00AC3684"/>
    <w:rsid w:val="00AE675E"/>
    <w:rsid w:val="00B0541E"/>
    <w:rsid w:val="00B36B7E"/>
    <w:rsid w:val="00B46AFD"/>
    <w:rsid w:val="00B76533"/>
    <w:rsid w:val="00B77487"/>
    <w:rsid w:val="00BC1CE6"/>
    <w:rsid w:val="00BC2307"/>
    <w:rsid w:val="00BD68C1"/>
    <w:rsid w:val="00BE57F0"/>
    <w:rsid w:val="00C15978"/>
    <w:rsid w:val="00C279CB"/>
    <w:rsid w:val="00C53D0C"/>
    <w:rsid w:val="00C66944"/>
    <w:rsid w:val="00C73697"/>
    <w:rsid w:val="00CC57CB"/>
    <w:rsid w:val="00CD709A"/>
    <w:rsid w:val="00CE7E0C"/>
    <w:rsid w:val="00D10DF7"/>
    <w:rsid w:val="00D11974"/>
    <w:rsid w:val="00D70EC5"/>
    <w:rsid w:val="00D7726A"/>
    <w:rsid w:val="00D87E43"/>
    <w:rsid w:val="00D91A2C"/>
    <w:rsid w:val="00DA0514"/>
    <w:rsid w:val="00DB0325"/>
    <w:rsid w:val="00DD439C"/>
    <w:rsid w:val="00DD74DC"/>
    <w:rsid w:val="00DF76D3"/>
    <w:rsid w:val="00E00B43"/>
    <w:rsid w:val="00E43014"/>
    <w:rsid w:val="00E45CF4"/>
    <w:rsid w:val="00E80231"/>
    <w:rsid w:val="00EE250C"/>
    <w:rsid w:val="00F02DD7"/>
    <w:rsid w:val="00F22E92"/>
    <w:rsid w:val="00F70286"/>
    <w:rsid w:val="00F83D1C"/>
    <w:rsid w:val="00F92860"/>
    <w:rsid w:val="00FA6012"/>
    <w:rsid w:val="00FC101D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F880"/>
  <w15:chartTrackingRefBased/>
  <w15:docId w15:val="{37E5F5C5-AC3E-4C6A-AB0C-D4A5AF91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1"/>
    <w:qFormat/>
    <w:rsid w:val="0017116C"/>
    <w:pPr>
      <w:keepNext/>
      <w:spacing w:before="240" w:after="60" w:line="271" w:lineRule="auto"/>
      <w:outlineLvl w:val="2"/>
    </w:pPr>
    <w:rPr>
      <w:rFonts w:eastAsiaTheme="majorEastAsia" w:cs="Arial"/>
      <w:b/>
      <w:color w:val="4472C4" w:themeColor="accent1"/>
      <w:sz w:val="28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0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F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6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B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454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17116C"/>
    <w:rPr>
      <w:rFonts w:eastAsiaTheme="majorEastAsia" w:cs="Arial"/>
      <w:b/>
      <w:color w:val="4472C4" w:themeColor="accent1"/>
      <w:sz w:val="28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cc02.safelinks.protection.outlook.com/?url=https%3A%2F%2Fforms.office.com%2Fpages%2Fresponsepage.aspx%3Fid%3DRrAU68QkGUWPJricIVmCjA4DiC_nFNpHmvjyxugkpX5UMERFNEhTOVhCSUxBM1RDQlNDR0FaOUxQRC4u%26route%3Dshorturl&amp;data=05%7C02%7CMichelle.M.Rebholz%40state.mn.us%7C23d982a7a9994d18506608dd55d687ef%7Ceb14b04624c445198f26b89c2159828c%7C0%7C0%7C638761102352418136%7CUnknown%7CTWFpbGZsb3d8eyJFbXB0eU1hcGkiOnRydWUsIlYiOiIwLjAuMDAwMCIsIlAiOiJXaW4zMiIsIkFOIjoiTWFpbCIsIldUIjoyfQ%3D%3D%7C0%7C%7C%7C&amp;sdata=xcVBxuRNVkKLqNbTvXgYSpeNJmq0u0FWx%2FbWbDBLZm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d301a-0848-4203-abec-d585f09d46c8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11D3305932B42A77D665BACAEE930" ma:contentTypeVersion="18" ma:contentTypeDescription="Create a new document." ma:contentTypeScope="" ma:versionID="ce041bf00397e247bada967cfb9d0823">
  <xsd:schema xmlns:xsd="http://www.w3.org/2001/XMLSchema" xmlns:xs="http://www.w3.org/2001/XMLSchema" xmlns:p="http://schemas.microsoft.com/office/2006/metadata/properties" xmlns:ns2="92ad301a-0848-4203-abec-d585f09d46c8" xmlns:ns3="0a2b9cc4-9546-41d4-b07c-49cc4f5b6cec" targetNamespace="http://schemas.microsoft.com/office/2006/metadata/properties" ma:root="true" ma:fieldsID="13e22b3c8020e51fed60c581f15d9ea0" ns2:_="" ns3:_="">
    <xsd:import namespace="92ad301a-0848-4203-abec-d585f09d46c8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301a-0848-4203-abec-d585f09d4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3AACBC9-AEE1-4CB3-9E01-1C76CA3846C3}">
  <ds:schemaRefs>
    <ds:schemaRef ds:uri="http://schemas.microsoft.com/office/2006/metadata/properties"/>
    <ds:schemaRef ds:uri="http://schemas.microsoft.com/office/infopath/2007/PartnerControls"/>
    <ds:schemaRef ds:uri="92ad301a-0848-4203-abec-d585f09d46c8"/>
    <ds:schemaRef ds:uri="0a2b9cc4-9546-41d4-b07c-49cc4f5b6cec"/>
  </ds:schemaRefs>
</ds:datastoreItem>
</file>

<file path=customXml/itemProps2.xml><?xml version="1.0" encoding="utf-8"?>
<ds:datastoreItem xmlns:ds="http://schemas.openxmlformats.org/officeDocument/2006/customXml" ds:itemID="{DA2A95B0-88FC-4E01-BEC5-31362F43F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d301a-0848-4203-abec-d585f09d46c8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802F0F-52FF-4898-8FCA-813F7BFA88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Kokotovich, Milla (DEED)</dc:creator>
  <cp:keywords/>
  <dc:description/>
  <cp:lastModifiedBy>Frost, Jennifer (DEED)</cp:lastModifiedBy>
  <cp:revision>2</cp:revision>
  <dcterms:created xsi:type="dcterms:W3CDTF">2025-05-28T17:34:00Z</dcterms:created>
  <dcterms:modified xsi:type="dcterms:W3CDTF">2025-05-28T17:34:00Z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0x0101002CB11D3305932B42A77D665BACAEE930</vt:lpwstr>
  </property>
  <property fmtid="{D5CDD505-2E9C-101B-9397-08002B2CF9AE}" pid="4" name="MediaServiceImageTags">
    <vt:lpwstr/>
  </property>
</Properties>
</file>