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BAAB" w14:textId="2BE5D32A" w:rsidR="00DA37B6" w:rsidRDefault="00DA37B6" w:rsidP="00DA37B6">
      <w:pPr>
        <w:spacing w:after="0" w:line="240" w:lineRule="auto"/>
        <w:rPr>
          <w:rFonts w:ascii="Times New Roman" w:hAnsi="Times New Roman" w:cs="Times New Roman"/>
        </w:rPr>
      </w:pPr>
      <w:r w:rsidRPr="00DA37B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65D929A" wp14:editId="5C8BB2B7">
                <wp:simplePos x="0" y="0"/>
                <wp:positionH relativeFrom="column">
                  <wp:posOffset>5822950</wp:posOffset>
                </wp:positionH>
                <wp:positionV relativeFrom="paragraph">
                  <wp:posOffset>0</wp:posOffset>
                </wp:positionV>
                <wp:extent cx="538480" cy="51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514350"/>
                        </a:xfrm>
                        <a:prstGeom prst="rect">
                          <a:avLst/>
                        </a:prstGeom>
                        <a:solidFill>
                          <a:srgbClr val="FFFFFF"/>
                        </a:solidFill>
                        <a:ln w="9525">
                          <a:noFill/>
                          <a:miter lim="800000"/>
                          <a:headEnd/>
                          <a:tailEnd/>
                        </a:ln>
                      </wps:spPr>
                      <wps:txbx>
                        <w:txbxContent>
                          <w:p w14:paraId="7864A66D" w14:textId="2C86A059" w:rsidR="00DA37B6" w:rsidRPr="00DA37B6" w:rsidRDefault="00DA37B6">
                            <w:pPr>
                              <w:rPr>
                                <w:rFonts w:ascii="Times New Roman" w:hAnsi="Times New Roman" w:cs="Times New Roman"/>
                                <w:sz w:val="48"/>
                                <w:szCs w:val="48"/>
                              </w:rPr>
                            </w:pPr>
                            <w:r w:rsidRPr="00DA37B6">
                              <w:rPr>
                                <w:rFonts w:ascii="Times New Roman" w:hAnsi="Times New Roman" w:cs="Times New Roman"/>
                                <w:sz w:val="48"/>
                                <w:szCs w:val="48"/>
                              </w:rPr>
                              <w:t>9d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D929A" id="_x0000_t202" coordsize="21600,21600" o:spt="202" path="m,l,21600r21600,l21600,xe">
                <v:stroke joinstyle="miter"/>
                <v:path gradientshapeok="t" o:connecttype="rect"/>
              </v:shapetype>
              <v:shape id="Text Box 2" o:spid="_x0000_s1026" type="#_x0000_t202" style="position:absolute;margin-left:458.5pt;margin-top:0;width:42.4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TEDAIAAPUDAAAOAAAAZHJzL2Uyb0RvYy54bWysU9tu2zAMfR+wfxD0vjhJ4y014hRdugwD&#10;ugvQ7gNkWY6FyaJGKbGzrx8lp2nQvRXTg0CK1BF5eLS6GTrDDgq9Blvy2WTKmbISam13Jf/5uH23&#10;5MwHYWthwKqSH5XnN+u3b1a9K9QcWjC1QkYg1he9K3kbgiuyzMtWdcJPwClLwQawE4Fc3GU1ip7Q&#10;O5PNp9P3WQ9YOwSpvKfTuzHI1wm/aZQM35vGq8BMyam2kHZMexX3bL0SxQ6Fa7U8lSFeUUUntKVH&#10;z1B3Igi2R/0PVKclgocmTCR0GTSNlir1QN3Mpi+6eWiFU6kXIse7M03+/8HKb4cH9wNZGD7CQANM&#10;TXh3D/KXZxY2rbA7dYsIfatETQ/PImVZ73xxuhqp9oWPIFX/FWoastgHSEBDg11khfpkhE4DOJ5J&#10;V0Ngkg7zq+ViSRFJoXy2uMrTUDJRPF126MNnBR2LRsmRZprAxeHeh1iMKJ5S4lsejK632pjk4K7a&#10;GGQHQfPfppXqf5FmLOtLfp3P84RsId5P0uh0IH0a3ZV8OY1rVEwk45OtU0oQ2ow2VWLsiZ1IyEhN&#10;GKqBEiNLFdRH4glh1CH9GzJawD+c9aTBkvvfe4GKM/PFEtfXs8UiijY5i/zDnBy8jFSXEWElQZU8&#10;cDaam5CEHnmwcEszaXTi67mSU62krUTj6R9E8V76Kev5t67/AgAA//8DAFBLAwQUAAYACAAAACEA&#10;csDWD90AAAAIAQAADwAAAGRycy9kb3ducmV2LnhtbEyPy07DQAxF90j8w8hIbBCdCYKmDXEqQAKx&#10;7eMDnGSaRGQ8UWbapH+Pu4KNJeta1+fkm9n16mzH0HlGSBYGlOXK1x03CIf95+MKVIjENfWeLcLF&#10;BtgUtzc5ZbWfeGvPu9goKeGQEUIb45BpHarWOgoLP1iW7OhHR1HWsdH1SJOUu14/GbPUjjqWDy0N&#10;9qO11c/u5BCO39PDy3oqv+Ih3T4v36lLS39BvL+b315BRTvHv2O44gs6FMJU+hPXQfUI6yQVl4gg&#10;8xobk4hKibBKDOgi1/8Fil8AAAD//wMAUEsBAi0AFAAGAAgAAAAhALaDOJL+AAAA4QEAABMAAAAA&#10;AAAAAAAAAAAAAAAAAFtDb250ZW50X1R5cGVzXS54bWxQSwECLQAUAAYACAAAACEAOP0h/9YAAACU&#10;AQAACwAAAAAAAAAAAAAAAAAvAQAAX3JlbHMvLnJlbHNQSwECLQAUAAYACAAAACEAlkT0xAwCAAD1&#10;AwAADgAAAAAAAAAAAAAAAAAuAgAAZHJzL2Uyb0RvYy54bWxQSwECLQAUAAYACAAAACEAcsDWD90A&#10;AAAIAQAADwAAAAAAAAAAAAAAAABmBAAAZHJzL2Rvd25yZXYueG1sUEsFBgAAAAAEAAQA8wAAAHAF&#10;AAAAAA==&#10;" stroked="f">
                <v:textbox>
                  <w:txbxContent>
                    <w:p w14:paraId="7864A66D" w14:textId="2C86A059" w:rsidR="00DA37B6" w:rsidRPr="00DA37B6" w:rsidRDefault="00DA37B6">
                      <w:pPr>
                        <w:rPr>
                          <w:rFonts w:ascii="Times New Roman" w:hAnsi="Times New Roman" w:cs="Times New Roman"/>
                          <w:sz w:val="48"/>
                          <w:szCs w:val="48"/>
                        </w:rPr>
                      </w:pPr>
                      <w:r w:rsidRPr="00DA37B6">
                        <w:rPr>
                          <w:rFonts w:ascii="Times New Roman" w:hAnsi="Times New Roman" w:cs="Times New Roman"/>
                          <w:sz w:val="48"/>
                          <w:szCs w:val="48"/>
                        </w:rPr>
                        <w:t>9d</w:t>
                      </w:r>
                    </w:p>
                  </w:txbxContent>
                </v:textbox>
                <w10:wrap type="square"/>
              </v:shape>
            </w:pict>
          </mc:Fallback>
        </mc:AlternateContent>
      </w:r>
      <w:r w:rsidRPr="00DA37B6">
        <w:rPr>
          <w:rFonts w:ascii="Times New Roman" w:hAnsi="Times New Roman" w:cs="Times New Roman"/>
        </w:rPr>
        <w:t xml:space="preserve">The MPCA has </w:t>
      </w:r>
      <w:proofErr w:type="gramStart"/>
      <w:r w:rsidRPr="00DA37B6">
        <w:rPr>
          <w:rFonts w:ascii="Times New Roman" w:hAnsi="Times New Roman" w:cs="Times New Roman"/>
        </w:rPr>
        <w:t>a number of</w:t>
      </w:r>
      <w:proofErr w:type="gramEnd"/>
      <w:r w:rsidRPr="00DA37B6">
        <w:rPr>
          <w:rFonts w:ascii="Times New Roman" w:hAnsi="Times New Roman" w:cs="Times New Roman"/>
        </w:rPr>
        <w:t xml:space="preserve"> grants and available for communities and facilities operating in Minnesota. All available grant and loan opportunities can be reviewed at </w:t>
      </w:r>
      <w:hyperlink r:id="rId4" w:history="1">
        <w:r w:rsidRPr="00DA37B6">
          <w:rPr>
            <w:rStyle w:val="Hyperlink"/>
            <w:rFonts w:ascii="Times New Roman" w:hAnsi="Times New Roman" w:cs="Times New Roman"/>
          </w:rPr>
          <w:t>https://www.pca.state.mn.us/business-with-us/grants-loans-and-contracts</w:t>
        </w:r>
      </w:hyperlink>
      <w:r w:rsidRPr="00DA37B6">
        <w:rPr>
          <w:rFonts w:ascii="Times New Roman" w:hAnsi="Times New Roman" w:cs="Times New Roman"/>
        </w:rPr>
        <w:t>.</w:t>
      </w:r>
    </w:p>
    <w:p w14:paraId="7117A5F3" w14:textId="239B5408" w:rsidR="00DA37B6" w:rsidRPr="00DA37B6" w:rsidRDefault="00DA37B6" w:rsidP="00DA37B6">
      <w:pPr>
        <w:spacing w:after="0" w:line="240" w:lineRule="auto"/>
        <w:rPr>
          <w:rFonts w:ascii="Times New Roman" w:hAnsi="Times New Roman" w:cs="Times New Roman"/>
        </w:rPr>
      </w:pPr>
    </w:p>
    <w:p w14:paraId="170AE71D" w14:textId="6E6E31EF" w:rsid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The following specific grants may of interest to energy transition communities.</w:t>
      </w:r>
    </w:p>
    <w:p w14:paraId="2C197C0D" w14:textId="22B243F5" w:rsidR="00DA37B6" w:rsidRPr="00DA37B6" w:rsidRDefault="00DA37B6" w:rsidP="00DA37B6">
      <w:pPr>
        <w:spacing w:after="0" w:line="240" w:lineRule="auto"/>
        <w:rPr>
          <w:rFonts w:ascii="Times New Roman" w:hAnsi="Times New Roman" w:cs="Times New Roman"/>
        </w:rPr>
      </w:pPr>
    </w:p>
    <w:p w14:paraId="1851101E"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Electric vehicle fast chargers grant</w:t>
      </w:r>
    </w:p>
    <w:p w14:paraId="78E3FFF0"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Application deadline: December 9, 2025</w:t>
      </w:r>
    </w:p>
    <w:p w14:paraId="5DDE82C0"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 xml:space="preserve">The MPCA has approximately $1.89 million available to install EV direct current fast-charging stations in public places in select Minnesota locations along key charging corridors. </w:t>
      </w:r>
      <w:proofErr w:type="gramStart"/>
      <w:r w:rsidRPr="00DA37B6">
        <w:rPr>
          <w:rFonts w:ascii="Times New Roman" w:hAnsi="Times New Roman" w:cs="Times New Roman"/>
        </w:rPr>
        <w:t>For the purpose of</w:t>
      </w:r>
      <w:proofErr w:type="gramEnd"/>
      <w:r w:rsidRPr="00DA37B6">
        <w:rPr>
          <w:rFonts w:ascii="Times New Roman" w:hAnsi="Times New Roman" w:cs="Times New Roman"/>
        </w:rPr>
        <w:t xml:space="preserve"> this request for proposal, roadways have been assigned into “EV corridors.” These fast-charging corridors along major roadways will allow eventual travel by EV drivers over long distances throughout the state, making it feasible for more Minnesotans to drive electric vehicles. Eligible entities are for-profit, nonprofit, and public entities, including state, local, and Tribal governments.</w:t>
      </w:r>
    </w:p>
    <w:p w14:paraId="3C4AD8D7" w14:textId="77777777" w:rsidR="00DA37B6" w:rsidRPr="00DA37B6" w:rsidRDefault="00DA37B6" w:rsidP="00DA37B6">
      <w:pPr>
        <w:spacing w:after="0" w:line="240" w:lineRule="auto"/>
        <w:rPr>
          <w:rFonts w:ascii="Times New Roman" w:hAnsi="Times New Roman" w:cs="Times New Roman"/>
        </w:rPr>
      </w:pPr>
    </w:p>
    <w:p w14:paraId="1E6D88D3"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Greater MN waste reduction, reuse, recycling, and composting grants</w:t>
      </w:r>
    </w:p>
    <w:p w14:paraId="6B26BC86"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Application deadline: October 7, 2025</w:t>
      </w:r>
    </w:p>
    <w:p w14:paraId="481B5186"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 xml:space="preserve">MPCA has approximately $1 million for projects that increase the efficiency or effectiveness of waste reduction, reuse, recycling, or composting programs in Greater Minnesota. Reducing the </w:t>
      </w:r>
      <w:proofErr w:type="gramStart"/>
      <w:r w:rsidRPr="00DA37B6">
        <w:rPr>
          <w:rFonts w:ascii="Times New Roman" w:hAnsi="Times New Roman" w:cs="Times New Roman"/>
        </w:rPr>
        <w:t>amount</w:t>
      </w:r>
      <w:proofErr w:type="gramEnd"/>
      <w:r w:rsidRPr="00DA37B6">
        <w:rPr>
          <w:rFonts w:ascii="Times New Roman" w:hAnsi="Times New Roman" w:cs="Times New Roman"/>
        </w:rPr>
        <w:t xml:space="preserve"> of materials entering landfills in Greater Minnesota communities benefits the environment as well as local economies. Minnesota counties, cities, townships, and Tribal Nations located outside of the Twin Cities metro area may apply.</w:t>
      </w:r>
    </w:p>
    <w:p w14:paraId="5B134A6F" w14:textId="77777777" w:rsidR="00DA37B6" w:rsidRPr="00DA37B6" w:rsidRDefault="00DA37B6" w:rsidP="00DA37B6">
      <w:pPr>
        <w:spacing w:after="0" w:line="240" w:lineRule="auto"/>
        <w:rPr>
          <w:rFonts w:ascii="Times New Roman" w:hAnsi="Times New Roman" w:cs="Times New Roman"/>
        </w:rPr>
      </w:pPr>
    </w:p>
    <w:p w14:paraId="0E1B6C7A"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Statewide organics recycling for multifamily buildings</w:t>
      </w:r>
    </w:p>
    <w:p w14:paraId="4D1D4A3A"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Application deadline: September 25, 2025</w:t>
      </w:r>
    </w:p>
    <w:p w14:paraId="77B57EF7"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The MPCA anticipates awarding approximately $563,000 for increasing access to or expanding participation in organics recycling for residents of multifamily buildings. This grant program aims to reduce the amount of organic material being disposed of through landfilling or incineration while providing more opportunities for residents of multifamily buildings to participate in organics recycling programming. Eligible entities are 501(c)(3) not-for-profit and non-profit organizations located in Minnesota or serving Minnesota, political subdivisions of the state (including counties, cities, towns, etc.), an owner of a multifamily building(s) in Minnesota, a for-profit business that owns a multifamily building(s) in Minnesota, and applicants located in, serving, or who are members of Tribal communities are eligible and encouraged to apply. However, Tribal governments are not eligible applicants.</w:t>
      </w:r>
    </w:p>
    <w:p w14:paraId="08D4B927" w14:textId="77777777" w:rsidR="00DA37B6" w:rsidRPr="00DA37B6" w:rsidRDefault="00DA37B6" w:rsidP="00DA37B6">
      <w:pPr>
        <w:spacing w:after="0" w:line="240" w:lineRule="auto"/>
        <w:rPr>
          <w:rFonts w:ascii="Times New Roman" w:hAnsi="Times New Roman" w:cs="Times New Roman"/>
        </w:rPr>
      </w:pPr>
    </w:p>
    <w:p w14:paraId="63CFC48A"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Funding for brownfield investigation</w:t>
      </w:r>
    </w:p>
    <w:p w14:paraId="34B3C4E4"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 xml:space="preserve">Brownfields are abandoned, idled, or underused properties where reuse is complicated by actual or suspected contamination. The Minnesota Pollution Control Agency (MPCA) has grant money from the U.S. Environmental Protection Agency (EPA) available to pay for assessment of contaminated properties to support redevelopment and reuse. The work is overseen by the MPCA Brownfield Program and performed by MPCA contractors at no cost to the recipients. Eligible sites in Minnesota can be publicly or privately owned with known or suspected contamination. Applicants cannot be responsible for the contamination. Preferred projects for funding are those that have community support; enhance the neighborhood without resulting in gentrification; </w:t>
      </w:r>
      <w:r w:rsidRPr="00DA37B6">
        <w:rPr>
          <w:rFonts w:ascii="Times New Roman" w:hAnsi="Times New Roman" w:cs="Times New Roman"/>
        </w:rPr>
        <w:lastRenderedPageBreak/>
        <w:t>provide essential services such as affordable housing, social services, or youth enrichment; or support small business owners. Target applicants are typically those with limited financial resources. Typical funding requests range from $10,000-50,000 but any request is considered provided it meets eligibility requirements.</w:t>
      </w:r>
    </w:p>
    <w:p w14:paraId="6F9521BD" w14:textId="77777777" w:rsidR="00DA37B6" w:rsidRPr="00DA37B6" w:rsidRDefault="00DA37B6" w:rsidP="00DA37B6">
      <w:pPr>
        <w:spacing w:after="0" w:line="240" w:lineRule="auto"/>
        <w:rPr>
          <w:rFonts w:ascii="Times New Roman" w:hAnsi="Times New Roman" w:cs="Times New Roman"/>
        </w:rPr>
      </w:pPr>
    </w:p>
    <w:p w14:paraId="473C315E"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Small business environmental improvement loans</w:t>
      </w:r>
    </w:p>
    <w:p w14:paraId="6B3EB797"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The MPCA provides loans at zero-percent interest to small businesses for capital equipment purchases that help the company meet or exceed environmental regulations, and covering costs associated with the investigation and cleanup of contaminated sites. The loan program can be used for clean-ups for contaminated sites or projects that reduce on-site air emissions or waste generation. It’s not intended for projects where energy efficiency is the sole environmental benefit, such as the purchase of vehicles or upgrades of lighting or HVAC systems. Loan terms and conditions: loan amount between $1,000 and $75,000; interest rate: Zero percent (0%); repayment term up to seven years; flexibility in the types of collateral accepted; awarded throughout the year</w:t>
      </w:r>
    </w:p>
    <w:p w14:paraId="601610E4" w14:textId="77777777" w:rsidR="00DA37B6" w:rsidRPr="00DA37B6" w:rsidRDefault="00DA37B6" w:rsidP="00DA37B6">
      <w:pPr>
        <w:spacing w:after="0" w:line="240" w:lineRule="auto"/>
        <w:rPr>
          <w:rFonts w:ascii="Times New Roman" w:hAnsi="Times New Roman" w:cs="Times New Roman"/>
        </w:rPr>
      </w:pPr>
    </w:p>
    <w:p w14:paraId="4992F08A"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Environmental assistance loans</w:t>
      </w:r>
    </w:p>
    <w:p w14:paraId="2522C5B0"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 xml:space="preserve">Financial assistance to accelerate the application and/or improvement of environmental processes and technologies in Minnesota by </w:t>
      </w:r>
      <w:proofErr w:type="gramStart"/>
      <w:r w:rsidRPr="00DA37B6">
        <w:rPr>
          <w:rFonts w:ascii="Times New Roman" w:hAnsi="Times New Roman" w:cs="Times New Roman"/>
        </w:rPr>
        <w:t>providing assistance</w:t>
      </w:r>
      <w:proofErr w:type="gramEnd"/>
      <w:r w:rsidRPr="00DA37B6">
        <w:rPr>
          <w:rFonts w:ascii="Times New Roman" w:hAnsi="Times New Roman" w:cs="Times New Roman"/>
        </w:rPr>
        <w:t xml:space="preserve"> for the capital costs (machinery and equipment) of eligible projects. MPCA partners with private financial institutions to offer loans resulting in substantially reduced interest rates for projects that will improve the environmental and economic quality of Minnesota. Priority eligible projects: green chemistry, pollution prevention, source reduction, recycling, and source-separated compostable materials. Eligible loan costs are limited to the capital costs of implementing waste or pollution prevention technologies in Minnesota — the costs of acquisition of machinery and equipment, including freight and installation, and related improvements.</w:t>
      </w:r>
    </w:p>
    <w:p w14:paraId="4206A576" w14:textId="77777777" w:rsidR="00DA37B6" w:rsidRPr="00DA37B6" w:rsidRDefault="00DA37B6" w:rsidP="00DA37B6">
      <w:pPr>
        <w:spacing w:after="0" w:line="240" w:lineRule="auto"/>
        <w:rPr>
          <w:rFonts w:ascii="Times New Roman" w:hAnsi="Times New Roman" w:cs="Times New Roman"/>
        </w:rPr>
      </w:pPr>
    </w:p>
    <w:p w14:paraId="1406865F"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Climate-Smart Food System Grant from EPA:</w:t>
      </w:r>
    </w:p>
    <w:p w14:paraId="595DB092"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EPA approved Minnesota’s work plan for this $200 million federal grant, under the Climate Pollution Reduction Grant Program. The MPCA is now working to transfer the funds to the partner state agencies (MDH, DNR, MDA, and BWSR) so those agencies can begin building their capacity to grant the funds to Minnesotans. The first round of grants became available in late spring to summer of 2025.</w:t>
      </w:r>
    </w:p>
    <w:p w14:paraId="7A4BA482" w14:textId="77777777" w:rsidR="00DA37B6" w:rsidRPr="00DA37B6" w:rsidRDefault="00DA37B6" w:rsidP="00DA37B6">
      <w:pPr>
        <w:spacing w:after="0" w:line="240" w:lineRule="auto"/>
        <w:rPr>
          <w:rFonts w:ascii="Times New Roman" w:hAnsi="Times New Roman" w:cs="Times New Roman"/>
        </w:rPr>
      </w:pPr>
    </w:p>
    <w:p w14:paraId="42F2F667"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Climate Action Framework Update:</w:t>
      </w:r>
    </w:p>
    <w:p w14:paraId="7DE3ABE6"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 xml:space="preserve">The Climate Subcabinet is seeking public comments on the update for Minnesota’s Climate Action Framework, which was released in September 2022. Minnesotans can provide their input at the following webpage: </w:t>
      </w:r>
      <w:hyperlink r:id="rId5" w:history="1">
        <w:r w:rsidRPr="00DA37B6">
          <w:rPr>
            <w:rStyle w:val="Hyperlink"/>
            <w:rFonts w:ascii="Times New Roman" w:hAnsi="Times New Roman" w:cs="Times New Roman"/>
          </w:rPr>
          <w:t>https://engage.eqb.state.mn.us/climate-action-framework-update</w:t>
        </w:r>
      </w:hyperlink>
      <w:r w:rsidRPr="00DA37B6">
        <w:rPr>
          <w:rFonts w:ascii="Times New Roman" w:hAnsi="Times New Roman" w:cs="Times New Roman"/>
        </w:rPr>
        <w:t xml:space="preserve"> and a final public comment period is scheduled for mid-to-late October. The Climate Subcabinet intends to release the updated Climate Action Framework in January 2026.</w:t>
      </w:r>
    </w:p>
    <w:p w14:paraId="224698A2" w14:textId="77777777" w:rsidR="00DA37B6" w:rsidRPr="00DA37B6" w:rsidRDefault="00DA37B6" w:rsidP="00DA37B6">
      <w:pPr>
        <w:spacing w:after="0" w:line="240" w:lineRule="auto"/>
        <w:rPr>
          <w:rFonts w:ascii="Times New Roman" w:hAnsi="Times New Roman" w:cs="Times New Roman"/>
        </w:rPr>
      </w:pPr>
    </w:p>
    <w:p w14:paraId="095A3EEB"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----END UPDATE-----</w:t>
      </w:r>
    </w:p>
    <w:p w14:paraId="662C7C75" w14:textId="77777777" w:rsidR="00DA37B6" w:rsidRPr="00DA37B6" w:rsidRDefault="00DA37B6" w:rsidP="00DA37B6">
      <w:pPr>
        <w:spacing w:after="0" w:line="240" w:lineRule="auto"/>
        <w:rPr>
          <w:rFonts w:ascii="Times New Roman" w:hAnsi="Times New Roman" w:cs="Times New Roman"/>
        </w:rPr>
      </w:pPr>
    </w:p>
    <w:p w14:paraId="53AF9275"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Thanks,</w:t>
      </w:r>
    </w:p>
    <w:p w14:paraId="1192794F" w14:textId="77777777" w:rsidR="00DA37B6" w:rsidRPr="00DA37B6" w:rsidRDefault="00DA37B6" w:rsidP="00DA37B6">
      <w:pPr>
        <w:spacing w:after="0" w:line="240" w:lineRule="auto"/>
        <w:rPr>
          <w:rFonts w:ascii="Times New Roman" w:hAnsi="Times New Roman" w:cs="Times New Roman"/>
        </w:rPr>
      </w:pPr>
      <w:r w:rsidRPr="00DA37B6">
        <w:rPr>
          <w:rFonts w:ascii="Times New Roman" w:hAnsi="Times New Roman" w:cs="Times New Roman"/>
        </w:rPr>
        <w:t>Frank</w:t>
      </w:r>
    </w:p>
    <w:p w14:paraId="254F7A5B" w14:textId="77777777" w:rsidR="006425AE" w:rsidRDefault="006425AE"/>
    <w:sectPr w:rsidR="00642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B6"/>
    <w:rsid w:val="00360D98"/>
    <w:rsid w:val="00373D79"/>
    <w:rsid w:val="006425AE"/>
    <w:rsid w:val="008A42E1"/>
    <w:rsid w:val="00B21274"/>
    <w:rsid w:val="00DA37B6"/>
    <w:rsid w:val="00F5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B07B"/>
  <w15:chartTrackingRefBased/>
  <w15:docId w15:val="{D950779B-069A-4E5F-975A-B27B8DF5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7B6"/>
    <w:rPr>
      <w:rFonts w:eastAsiaTheme="majorEastAsia" w:cstheme="majorBidi"/>
      <w:color w:val="272727" w:themeColor="text1" w:themeTint="D8"/>
    </w:rPr>
  </w:style>
  <w:style w:type="paragraph" w:styleId="Title">
    <w:name w:val="Title"/>
    <w:basedOn w:val="Normal"/>
    <w:next w:val="Normal"/>
    <w:link w:val="TitleChar"/>
    <w:uiPriority w:val="10"/>
    <w:qFormat/>
    <w:rsid w:val="00DA3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7B6"/>
    <w:pPr>
      <w:spacing w:before="160"/>
      <w:jc w:val="center"/>
    </w:pPr>
    <w:rPr>
      <w:i/>
      <w:iCs/>
      <w:color w:val="404040" w:themeColor="text1" w:themeTint="BF"/>
    </w:rPr>
  </w:style>
  <w:style w:type="character" w:customStyle="1" w:styleId="QuoteChar">
    <w:name w:val="Quote Char"/>
    <w:basedOn w:val="DefaultParagraphFont"/>
    <w:link w:val="Quote"/>
    <w:uiPriority w:val="29"/>
    <w:rsid w:val="00DA37B6"/>
    <w:rPr>
      <w:i/>
      <w:iCs/>
      <w:color w:val="404040" w:themeColor="text1" w:themeTint="BF"/>
    </w:rPr>
  </w:style>
  <w:style w:type="paragraph" w:styleId="ListParagraph">
    <w:name w:val="List Paragraph"/>
    <w:basedOn w:val="Normal"/>
    <w:uiPriority w:val="34"/>
    <w:qFormat/>
    <w:rsid w:val="00DA37B6"/>
    <w:pPr>
      <w:ind w:left="720"/>
      <w:contextualSpacing/>
    </w:pPr>
  </w:style>
  <w:style w:type="character" w:styleId="IntenseEmphasis">
    <w:name w:val="Intense Emphasis"/>
    <w:basedOn w:val="DefaultParagraphFont"/>
    <w:uiPriority w:val="21"/>
    <w:qFormat/>
    <w:rsid w:val="00DA37B6"/>
    <w:rPr>
      <w:i/>
      <w:iCs/>
      <w:color w:val="0F4761" w:themeColor="accent1" w:themeShade="BF"/>
    </w:rPr>
  </w:style>
  <w:style w:type="paragraph" w:styleId="IntenseQuote">
    <w:name w:val="Intense Quote"/>
    <w:basedOn w:val="Normal"/>
    <w:next w:val="Normal"/>
    <w:link w:val="IntenseQuoteChar"/>
    <w:uiPriority w:val="30"/>
    <w:qFormat/>
    <w:rsid w:val="00DA3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7B6"/>
    <w:rPr>
      <w:i/>
      <w:iCs/>
      <w:color w:val="0F4761" w:themeColor="accent1" w:themeShade="BF"/>
    </w:rPr>
  </w:style>
  <w:style w:type="character" w:styleId="IntenseReference">
    <w:name w:val="Intense Reference"/>
    <w:basedOn w:val="DefaultParagraphFont"/>
    <w:uiPriority w:val="32"/>
    <w:qFormat/>
    <w:rsid w:val="00DA37B6"/>
    <w:rPr>
      <w:b/>
      <w:bCs/>
      <w:smallCaps/>
      <w:color w:val="0F4761" w:themeColor="accent1" w:themeShade="BF"/>
      <w:spacing w:val="5"/>
    </w:rPr>
  </w:style>
  <w:style w:type="character" w:styleId="Hyperlink">
    <w:name w:val="Hyperlink"/>
    <w:basedOn w:val="DefaultParagraphFont"/>
    <w:uiPriority w:val="99"/>
    <w:unhideWhenUsed/>
    <w:rsid w:val="00DA37B6"/>
    <w:rPr>
      <w:color w:val="467886" w:themeColor="hyperlink"/>
      <w:u w:val="single"/>
    </w:rPr>
  </w:style>
  <w:style w:type="character" w:styleId="UnresolvedMention">
    <w:name w:val="Unresolved Mention"/>
    <w:basedOn w:val="DefaultParagraphFont"/>
    <w:uiPriority w:val="99"/>
    <w:semiHidden/>
    <w:unhideWhenUsed/>
    <w:rsid w:val="00DA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269567">
      <w:bodyDiv w:val="1"/>
      <w:marLeft w:val="0"/>
      <w:marRight w:val="0"/>
      <w:marTop w:val="0"/>
      <w:marBottom w:val="0"/>
      <w:divBdr>
        <w:top w:val="none" w:sz="0" w:space="0" w:color="auto"/>
        <w:left w:val="none" w:sz="0" w:space="0" w:color="auto"/>
        <w:bottom w:val="none" w:sz="0" w:space="0" w:color="auto"/>
        <w:right w:val="none" w:sz="0" w:space="0" w:color="auto"/>
      </w:divBdr>
    </w:div>
    <w:div w:id="20505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age.eqb.state.mn.us/climate-action-framework-update" TargetMode="External"/><Relationship Id="rId10" Type="http://schemas.openxmlformats.org/officeDocument/2006/relationships/customXml" Target="../customXml/item3.xml"/><Relationship Id="rId4" Type="http://schemas.openxmlformats.org/officeDocument/2006/relationships/hyperlink" Target="https://www.pca.state.mn.us/business-with-us/grants-loans-and-contract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9746A0F2-1FFE-4556-8238-C15DB82977EB}"/>
</file>

<file path=customXml/itemProps2.xml><?xml version="1.0" encoding="utf-8"?>
<ds:datastoreItem xmlns:ds="http://schemas.openxmlformats.org/officeDocument/2006/customXml" ds:itemID="{E55D9562-9B3D-406E-8689-EF7ED4D32B6D}"/>
</file>

<file path=customXml/itemProps3.xml><?xml version="1.0" encoding="utf-8"?>
<ds:datastoreItem xmlns:ds="http://schemas.openxmlformats.org/officeDocument/2006/customXml" ds:itemID="{F7F40F98-FE18-474D-86CF-283EFDA42EBF}"/>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Carla K (She/Her/Hers) (DEED)</dc:creator>
  <cp:keywords/>
  <dc:description/>
  <cp:lastModifiedBy>Vita, Carla K (She/Her/Hers) (DEED)</cp:lastModifiedBy>
  <cp:revision>1</cp:revision>
  <dcterms:created xsi:type="dcterms:W3CDTF">2025-09-23T16:23:00Z</dcterms:created>
  <dcterms:modified xsi:type="dcterms:W3CDTF">2025-09-23T16:25:00Z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