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4135036"/>
    <w:p w14:paraId="71BCF616" w14:textId="4476CAFB" w:rsidR="00B9382A" w:rsidRDefault="00321A3C" w:rsidP="00B9382A">
      <w:pPr>
        <w:widowControl w:val="0"/>
        <w:contextualSpacing/>
        <w:rPr>
          <w:b/>
          <w:sz w:val="32"/>
          <w:szCs w:val="32"/>
        </w:rPr>
      </w:pPr>
      <w:r>
        <w:object w:dxaOrig="4420" w:dyaOrig="1320" w14:anchorId="53B68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overor's Workforce Development Board logo" style="width:223pt;height:67pt" o:ole="">
            <v:imagedata r:id="rId8" o:title=""/>
          </v:shape>
          <o:OLEObject Type="Embed" ProgID="AcroExch.Document.DC" ShapeID="_x0000_i1025" DrawAspect="Content" ObjectID="_1722351291" r:id="rId9"/>
        </w:object>
      </w:r>
    </w:p>
    <w:p w14:paraId="2B4EF64E" w14:textId="77777777" w:rsidR="00A02784" w:rsidRDefault="00A02784" w:rsidP="00CA3B59">
      <w:pPr>
        <w:widowControl w:val="0"/>
        <w:contextualSpacing/>
        <w:jc w:val="center"/>
        <w:rPr>
          <w:b/>
          <w:sz w:val="32"/>
          <w:szCs w:val="32"/>
        </w:rPr>
      </w:pPr>
    </w:p>
    <w:p w14:paraId="305092F5" w14:textId="29374E59" w:rsidR="00CA3B59" w:rsidRPr="00321A3C" w:rsidRDefault="00CA3B59" w:rsidP="00CA3B59">
      <w:pPr>
        <w:widowControl w:val="0"/>
        <w:contextualSpacing/>
        <w:jc w:val="center"/>
        <w:rPr>
          <w:bCs/>
          <w:sz w:val="32"/>
          <w:szCs w:val="32"/>
        </w:rPr>
      </w:pPr>
      <w:r w:rsidRPr="00321A3C">
        <w:rPr>
          <w:bCs/>
          <w:sz w:val="32"/>
          <w:szCs w:val="32"/>
        </w:rPr>
        <w:t>Governor’s Workforce Development Board - Minutes</w:t>
      </w:r>
    </w:p>
    <w:p w14:paraId="1E228245" w14:textId="7AEE8B36" w:rsidR="00CA3B59" w:rsidRPr="00CF2467" w:rsidRDefault="00CA3B59" w:rsidP="00CA3B59">
      <w:pPr>
        <w:jc w:val="center"/>
      </w:pPr>
      <w:r w:rsidRPr="00CF2467">
        <w:t xml:space="preserve">Wednesday, </w:t>
      </w:r>
      <w:r w:rsidR="002251E5">
        <w:t>March 9, 2022</w:t>
      </w:r>
      <w:r w:rsidRPr="00CF2467">
        <w:t xml:space="preserve"> </w:t>
      </w:r>
      <w:r w:rsidRPr="00F45446">
        <w:t xml:space="preserve">- 10:00 </w:t>
      </w:r>
      <w:r w:rsidR="00734EF2" w:rsidRPr="00F45446">
        <w:t xml:space="preserve">a.m. </w:t>
      </w:r>
      <w:r w:rsidR="00782678" w:rsidRPr="00F45446">
        <w:t xml:space="preserve">to </w:t>
      </w:r>
      <w:r w:rsidR="00734EF2" w:rsidRPr="00F45446">
        <w:t>12:00 Noon</w:t>
      </w:r>
      <w:r w:rsidRPr="00CF2467">
        <w:t xml:space="preserve"> </w:t>
      </w:r>
    </w:p>
    <w:p w14:paraId="0041EC56" w14:textId="3542DED6" w:rsidR="00CA3B59" w:rsidRDefault="00A02784" w:rsidP="00CA3B59">
      <w:pPr>
        <w:jc w:val="center"/>
      </w:pPr>
      <w:r>
        <w:t xml:space="preserve">Videoconference via </w:t>
      </w:r>
      <w:r w:rsidR="00782678">
        <w:t>Zoom</w:t>
      </w:r>
    </w:p>
    <w:tbl>
      <w:tblPr>
        <w:tblStyle w:val="TableGrid"/>
        <w:tblW w:w="0" w:type="auto"/>
        <w:jc w:val="center"/>
        <w:tblLook w:val="04A0" w:firstRow="1" w:lastRow="0" w:firstColumn="1" w:lastColumn="0" w:noHBand="0" w:noVBand="1"/>
      </w:tblPr>
      <w:tblGrid>
        <w:gridCol w:w="2889"/>
        <w:gridCol w:w="3285"/>
        <w:gridCol w:w="3176"/>
      </w:tblGrid>
      <w:tr w:rsidR="00CA3B59" w14:paraId="1CD03BB8" w14:textId="77777777" w:rsidTr="00D957C5">
        <w:trPr>
          <w:jc w:val="center"/>
        </w:trPr>
        <w:tc>
          <w:tcPr>
            <w:tcW w:w="3145" w:type="dxa"/>
          </w:tcPr>
          <w:p w14:paraId="7C143F4F" w14:textId="523843E1" w:rsidR="00CA3B59" w:rsidRPr="00950A91" w:rsidRDefault="00CA3B59" w:rsidP="00187781">
            <w:pPr>
              <w:jc w:val="center"/>
              <w:rPr>
                <w:b/>
                <w:sz w:val="22"/>
              </w:rPr>
            </w:pPr>
            <w:bookmarkStart w:id="1" w:name="_Hlk34135728"/>
            <w:r w:rsidRPr="00950A91">
              <w:rPr>
                <w:b/>
                <w:sz w:val="22"/>
              </w:rPr>
              <w:t>GWDB Members</w:t>
            </w:r>
            <w:r w:rsidR="00D957C5" w:rsidRPr="00950A91">
              <w:rPr>
                <w:b/>
                <w:sz w:val="22"/>
              </w:rPr>
              <w:t>/De</w:t>
            </w:r>
            <w:r w:rsidR="00796493" w:rsidRPr="00950A91">
              <w:rPr>
                <w:b/>
                <w:sz w:val="22"/>
              </w:rPr>
              <w:t>signees</w:t>
            </w:r>
          </w:p>
        </w:tc>
        <w:tc>
          <w:tcPr>
            <w:tcW w:w="3321" w:type="dxa"/>
          </w:tcPr>
          <w:p w14:paraId="2FCDB004" w14:textId="43EC8B91" w:rsidR="00CA3B59" w:rsidRPr="00950A91" w:rsidRDefault="00F80752" w:rsidP="00187781">
            <w:pPr>
              <w:jc w:val="center"/>
              <w:rPr>
                <w:b/>
                <w:sz w:val="22"/>
              </w:rPr>
            </w:pPr>
            <w:r w:rsidRPr="00950A91">
              <w:rPr>
                <w:b/>
                <w:sz w:val="22"/>
              </w:rPr>
              <w:t>Guests</w:t>
            </w:r>
            <w:r w:rsidR="00CA3B59" w:rsidRPr="00950A91">
              <w:rPr>
                <w:b/>
                <w:sz w:val="22"/>
              </w:rPr>
              <w:t xml:space="preserve"> </w:t>
            </w:r>
          </w:p>
        </w:tc>
        <w:tc>
          <w:tcPr>
            <w:tcW w:w="2884" w:type="dxa"/>
          </w:tcPr>
          <w:p w14:paraId="00E64420" w14:textId="77777777" w:rsidR="00CA3B59" w:rsidRPr="00950A91" w:rsidRDefault="00CA3B59" w:rsidP="00187781">
            <w:pPr>
              <w:jc w:val="center"/>
              <w:rPr>
                <w:b/>
                <w:sz w:val="22"/>
              </w:rPr>
            </w:pPr>
            <w:r w:rsidRPr="00950A91">
              <w:rPr>
                <w:b/>
                <w:sz w:val="22"/>
              </w:rPr>
              <w:t xml:space="preserve">Speakers </w:t>
            </w:r>
          </w:p>
        </w:tc>
      </w:tr>
      <w:tr w:rsidR="00CA3B59" w14:paraId="5536FFD0" w14:textId="77777777" w:rsidTr="00D957C5">
        <w:trPr>
          <w:jc w:val="center"/>
        </w:trPr>
        <w:tc>
          <w:tcPr>
            <w:tcW w:w="3145" w:type="dxa"/>
          </w:tcPr>
          <w:p w14:paraId="7B8FCF3E" w14:textId="0A43191F" w:rsidR="00CA3B59" w:rsidRDefault="007C6072" w:rsidP="00187781">
            <w:pPr>
              <w:rPr>
                <w:sz w:val="22"/>
              </w:rPr>
            </w:pPr>
            <w:r>
              <w:rPr>
                <w:sz w:val="22"/>
              </w:rPr>
              <w:t xml:space="preserve">Carol </w:t>
            </w:r>
            <w:r w:rsidR="00CA3B59">
              <w:rPr>
                <w:sz w:val="22"/>
              </w:rPr>
              <w:t>Anderson</w:t>
            </w:r>
          </w:p>
          <w:p w14:paraId="570E7B37" w14:textId="16994E64" w:rsidR="00CA3B59" w:rsidRDefault="00CA3B59" w:rsidP="00187781">
            <w:pPr>
              <w:rPr>
                <w:sz w:val="22"/>
              </w:rPr>
            </w:pPr>
            <w:r>
              <w:rPr>
                <w:sz w:val="22"/>
              </w:rPr>
              <w:t>Shirley Barnes</w:t>
            </w:r>
          </w:p>
          <w:p w14:paraId="12610B20" w14:textId="610A2226" w:rsidR="00950A91" w:rsidRDefault="00950A91" w:rsidP="00187781">
            <w:pPr>
              <w:rPr>
                <w:sz w:val="22"/>
              </w:rPr>
            </w:pPr>
            <w:r>
              <w:rPr>
                <w:sz w:val="22"/>
              </w:rPr>
              <w:t>Kristen Batson, MMB</w:t>
            </w:r>
          </w:p>
          <w:p w14:paraId="213A0E63" w14:textId="77777777" w:rsidR="003A49A6" w:rsidRDefault="00CA3B59" w:rsidP="00187781">
            <w:pPr>
              <w:rPr>
                <w:sz w:val="22"/>
              </w:rPr>
            </w:pPr>
            <w:r w:rsidRPr="00A30913">
              <w:rPr>
                <w:sz w:val="22"/>
              </w:rPr>
              <w:t>Laura Beeth</w:t>
            </w:r>
            <w:r>
              <w:rPr>
                <w:sz w:val="22"/>
              </w:rPr>
              <w:t>, Chair</w:t>
            </w:r>
          </w:p>
          <w:p w14:paraId="64982A82" w14:textId="1903F7D8" w:rsidR="00CA3B59" w:rsidRPr="00A30913" w:rsidRDefault="007C6072" w:rsidP="00187781">
            <w:pPr>
              <w:rPr>
                <w:sz w:val="22"/>
              </w:rPr>
            </w:pPr>
            <w:r>
              <w:rPr>
                <w:sz w:val="22"/>
              </w:rPr>
              <w:t>Josh Berg</w:t>
            </w:r>
          </w:p>
          <w:p w14:paraId="3CA3B663" w14:textId="5750FBC6" w:rsidR="00CA3B59" w:rsidRDefault="00CA3B59" w:rsidP="00187781">
            <w:pPr>
              <w:rPr>
                <w:sz w:val="22"/>
              </w:rPr>
            </w:pPr>
            <w:r w:rsidRPr="00A30913">
              <w:rPr>
                <w:sz w:val="22"/>
              </w:rPr>
              <w:t>Dr. Vance Boelter</w:t>
            </w:r>
          </w:p>
          <w:p w14:paraId="58D7B1EC" w14:textId="4847C706" w:rsidR="003A49A6" w:rsidRDefault="003A49A6" w:rsidP="00187781">
            <w:pPr>
              <w:rPr>
                <w:sz w:val="22"/>
              </w:rPr>
            </w:pPr>
            <w:r>
              <w:rPr>
                <w:sz w:val="22"/>
              </w:rPr>
              <w:t>Dr. Jeffery Boyd</w:t>
            </w:r>
          </w:p>
          <w:p w14:paraId="04AB1BCE" w14:textId="3277F6DE" w:rsidR="007C6072" w:rsidRDefault="007C6072" w:rsidP="00187781">
            <w:pPr>
              <w:rPr>
                <w:sz w:val="22"/>
              </w:rPr>
            </w:pPr>
            <w:r>
              <w:rPr>
                <w:sz w:val="22"/>
              </w:rPr>
              <w:t>Deb Broberg</w:t>
            </w:r>
          </w:p>
          <w:p w14:paraId="7D1486DF" w14:textId="5CCCF60D" w:rsidR="00647FCE" w:rsidRDefault="00647FCE" w:rsidP="00187781">
            <w:pPr>
              <w:rPr>
                <w:sz w:val="22"/>
              </w:rPr>
            </w:pPr>
            <w:r>
              <w:rPr>
                <w:sz w:val="22"/>
              </w:rPr>
              <w:t>Barry Davies</w:t>
            </w:r>
          </w:p>
          <w:p w14:paraId="3E08404B" w14:textId="26B83E48" w:rsidR="00950A91" w:rsidRDefault="00950A91" w:rsidP="00187781">
            <w:pPr>
              <w:rPr>
                <w:sz w:val="22"/>
              </w:rPr>
            </w:pPr>
            <w:r>
              <w:rPr>
                <w:sz w:val="22"/>
              </w:rPr>
              <w:t>David Dively</w:t>
            </w:r>
          </w:p>
          <w:p w14:paraId="62618819" w14:textId="2BD0562D" w:rsidR="00F45446" w:rsidRDefault="00F45446" w:rsidP="00187781">
            <w:pPr>
              <w:rPr>
                <w:sz w:val="22"/>
              </w:rPr>
            </w:pPr>
            <w:r>
              <w:rPr>
                <w:sz w:val="22"/>
              </w:rPr>
              <w:t>Jeanna Fortney</w:t>
            </w:r>
          </w:p>
          <w:p w14:paraId="078B591C" w14:textId="76BC3DDC" w:rsidR="004B1A9B" w:rsidRDefault="004B1A9B" w:rsidP="00187781">
            <w:pPr>
              <w:rPr>
                <w:sz w:val="22"/>
              </w:rPr>
            </w:pPr>
            <w:r>
              <w:rPr>
                <w:sz w:val="22"/>
              </w:rPr>
              <w:t xml:space="preserve">Steve Groves, DEED </w:t>
            </w:r>
          </w:p>
          <w:p w14:paraId="1FC2A0B5" w14:textId="77777777" w:rsidR="000A62AA" w:rsidRDefault="004B1A9B" w:rsidP="00187781">
            <w:pPr>
              <w:rPr>
                <w:sz w:val="22"/>
              </w:rPr>
            </w:pPr>
            <w:r>
              <w:rPr>
                <w:sz w:val="22"/>
              </w:rPr>
              <w:t>Rep. Barb Haley</w:t>
            </w:r>
          </w:p>
          <w:p w14:paraId="669AECE7" w14:textId="0F8BFD1C" w:rsidR="004B1A9B" w:rsidRDefault="000A62AA" w:rsidP="00187781">
            <w:pPr>
              <w:rPr>
                <w:sz w:val="22"/>
              </w:rPr>
            </w:pPr>
            <w:r>
              <w:rPr>
                <w:sz w:val="22"/>
              </w:rPr>
              <w:t>Brad Hasskamp, MDE</w:t>
            </w:r>
            <w:r w:rsidR="004B1A9B">
              <w:rPr>
                <w:sz w:val="22"/>
              </w:rPr>
              <w:t xml:space="preserve"> </w:t>
            </w:r>
          </w:p>
          <w:p w14:paraId="25F43EE1" w14:textId="078CA715" w:rsidR="007F3F47" w:rsidRDefault="00647FCE" w:rsidP="00187781">
            <w:pPr>
              <w:rPr>
                <w:sz w:val="22"/>
              </w:rPr>
            </w:pPr>
            <w:r>
              <w:rPr>
                <w:sz w:val="22"/>
              </w:rPr>
              <w:t>Sam Heimlich</w:t>
            </w:r>
            <w:r w:rsidR="007F3F47">
              <w:rPr>
                <w:sz w:val="22"/>
              </w:rPr>
              <w:t xml:space="preserve">  </w:t>
            </w:r>
          </w:p>
          <w:p w14:paraId="5F789F13" w14:textId="58983C8D" w:rsidR="004B1A9B" w:rsidRDefault="004B1A9B" w:rsidP="00187781">
            <w:pPr>
              <w:rPr>
                <w:sz w:val="22"/>
              </w:rPr>
            </w:pPr>
            <w:r>
              <w:rPr>
                <w:sz w:val="22"/>
              </w:rPr>
              <w:t>Sen. John Hoffman</w:t>
            </w:r>
          </w:p>
          <w:p w14:paraId="4A9AAD9B" w14:textId="7286B8D0" w:rsidR="003A49A6" w:rsidRDefault="008022F7" w:rsidP="00187781">
            <w:pPr>
              <w:rPr>
                <w:sz w:val="22"/>
              </w:rPr>
            </w:pPr>
            <w:r>
              <w:rPr>
                <w:sz w:val="22"/>
              </w:rPr>
              <w:t xml:space="preserve">Dr. </w:t>
            </w:r>
            <w:r w:rsidR="003A49A6">
              <w:rPr>
                <w:sz w:val="22"/>
              </w:rPr>
              <w:t>Nerita Hughes</w:t>
            </w:r>
          </w:p>
          <w:p w14:paraId="356CF3CE" w14:textId="3F9C7443" w:rsidR="00F45446" w:rsidRDefault="00F45446" w:rsidP="00187781">
            <w:pPr>
              <w:rPr>
                <w:sz w:val="22"/>
              </w:rPr>
            </w:pPr>
            <w:r>
              <w:rPr>
                <w:sz w:val="22"/>
              </w:rPr>
              <w:t>Benja Kraus</w:t>
            </w:r>
          </w:p>
          <w:p w14:paraId="7E842872" w14:textId="23FBA1CE" w:rsidR="004B1A9B" w:rsidRDefault="004B1A9B" w:rsidP="00187781">
            <w:pPr>
              <w:rPr>
                <w:sz w:val="22"/>
              </w:rPr>
            </w:pPr>
            <w:r>
              <w:rPr>
                <w:sz w:val="22"/>
              </w:rPr>
              <w:t xml:space="preserve">Larry Lundblad, Minn </w:t>
            </w:r>
            <w:r w:rsidRPr="004B1A9B">
              <w:rPr>
                <w:sz w:val="22"/>
              </w:rPr>
              <w:t xml:space="preserve">State </w:t>
            </w:r>
          </w:p>
          <w:p w14:paraId="077B2A97" w14:textId="67082A8D" w:rsidR="00F45446" w:rsidRDefault="00F45446" w:rsidP="00187781">
            <w:pPr>
              <w:rPr>
                <w:sz w:val="22"/>
              </w:rPr>
            </w:pPr>
            <w:r>
              <w:rPr>
                <w:sz w:val="22"/>
              </w:rPr>
              <w:t>Suyapa Miranda</w:t>
            </w:r>
          </w:p>
          <w:p w14:paraId="0C0DE8C2" w14:textId="768ADA8E" w:rsidR="00CA3B59" w:rsidRDefault="00CA3B59" w:rsidP="00187781">
            <w:pPr>
              <w:rPr>
                <w:sz w:val="22"/>
              </w:rPr>
            </w:pPr>
            <w:r w:rsidRPr="00A30913">
              <w:rPr>
                <w:sz w:val="22"/>
              </w:rPr>
              <w:t>Bill Nelson</w:t>
            </w:r>
          </w:p>
          <w:p w14:paraId="204BF9D9" w14:textId="77777777" w:rsidR="00647FCE" w:rsidRDefault="007F3F47" w:rsidP="00187781">
            <w:pPr>
              <w:rPr>
                <w:sz w:val="22"/>
              </w:rPr>
            </w:pPr>
            <w:r>
              <w:rPr>
                <w:sz w:val="22"/>
              </w:rPr>
              <w:t>Loren Nelson</w:t>
            </w:r>
          </w:p>
          <w:p w14:paraId="0FAA33E2" w14:textId="718D4CA0" w:rsidR="007F3F47" w:rsidRDefault="007F3F47" w:rsidP="00187781">
            <w:pPr>
              <w:rPr>
                <w:sz w:val="22"/>
              </w:rPr>
            </w:pPr>
            <w:r>
              <w:rPr>
                <w:sz w:val="22"/>
              </w:rPr>
              <w:t>Rep. Mohamud Noor</w:t>
            </w:r>
          </w:p>
          <w:p w14:paraId="69BC1DDA" w14:textId="2E9E08C6" w:rsidR="008022F7" w:rsidRDefault="008022F7" w:rsidP="00187781">
            <w:pPr>
              <w:rPr>
                <w:sz w:val="22"/>
              </w:rPr>
            </w:pPr>
            <w:r>
              <w:rPr>
                <w:sz w:val="22"/>
              </w:rPr>
              <w:t>Dr. Dennis Olson, OHE</w:t>
            </w:r>
            <w:r w:rsidR="004B1A9B">
              <w:rPr>
                <w:sz w:val="22"/>
              </w:rPr>
              <w:t xml:space="preserve"> </w:t>
            </w:r>
          </w:p>
          <w:p w14:paraId="1751B688" w14:textId="79A27DAC" w:rsidR="00180C60" w:rsidRDefault="00180C60" w:rsidP="00187781">
            <w:pPr>
              <w:rPr>
                <w:sz w:val="22"/>
              </w:rPr>
            </w:pPr>
            <w:r>
              <w:rPr>
                <w:sz w:val="22"/>
              </w:rPr>
              <w:t>Tuleah Palmer</w:t>
            </w:r>
          </w:p>
          <w:p w14:paraId="5AF81FA0" w14:textId="70B8DBD5" w:rsidR="00CA3B59" w:rsidRDefault="00CA3B59" w:rsidP="00187781">
            <w:pPr>
              <w:rPr>
                <w:sz w:val="22"/>
              </w:rPr>
            </w:pPr>
            <w:r w:rsidRPr="00A30913">
              <w:rPr>
                <w:sz w:val="22"/>
              </w:rPr>
              <w:t>Scott Parker</w:t>
            </w:r>
          </w:p>
          <w:p w14:paraId="32BD2934" w14:textId="4A2503C2" w:rsidR="00180C60" w:rsidRDefault="00647FCE" w:rsidP="00180C60">
            <w:pPr>
              <w:rPr>
                <w:sz w:val="22"/>
              </w:rPr>
            </w:pPr>
            <w:r>
              <w:rPr>
                <w:sz w:val="22"/>
              </w:rPr>
              <w:t xml:space="preserve">Jovon Perry, DHS  </w:t>
            </w:r>
            <w:r w:rsidR="00180C60">
              <w:rPr>
                <w:sz w:val="22"/>
              </w:rPr>
              <w:t xml:space="preserve"> </w:t>
            </w:r>
          </w:p>
          <w:p w14:paraId="7926F1C6" w14:textId="358B0EA2" w:rsidR="00180C60" w:rsidRDefault="00180C60" w:rsidP="00180C60">
            <w:pPr>
              <w:rPr>
                <w:sz w:val="22"/>
              </w:rPr>
            </w:pPr>
            <w:r>
              <w:rPr>
                <w:sz w:val="22"/>
              </w:rPr>
              <w:t>Kate Perushek, DLI</w:t>
            </w:r>
          </w:p>
          <w:p w14:paraId="0842DFBF" w14:textId="42B2B0B0" w:rsidR="003A49A6" w:rsidRDefault="003A49A6" w:rsidP="00187781">
            <w:pPr>
              <w:rPr>
                <w:sz w:val="22"/>
              </w:rPr>
            </w:pPr>
            <w:r>
              <w:rPr>
                <w:sz w:val="22"/>
              </w:rPr>
              <w:t>Dr. Paul Pribbenow</w:t>
            </w:r>
          </w:p>
          <w:p w14:paraId="5C311A6A" w14:textId="3FFCBDE4" w:rsidR="00CD4CF7" w:rsidRDefault="00CD4CF7" w:rsidP="00187781">
            <w:pPr>
              <w:rPr>
                <w:sz w:val="22"/>
              </w:rPr>
            </w:pPr>
            <w:r>
              <w:rPr>
                <w:sz w:val="22"/>
              </w:rPr>
              <w:t>Jeffrey Rainey</w:t>
            </w:r>
          </w:p>
          <w:p w14:paraId="7FC36479" w14:textId="77777777" w:rsidR="000F7745" w:rsidRDefault="000F7745" w:rsidP="000F7745">
            <w:pPr>
              <w:rPr>
                <w:sz w:val="22"/>
              </w:rPr>
            </w:pPr>
            <w:r>
              <w:rPr>
                <w:sz w:val="22"/>
              </w:rPr>
              <w:t>John Ramirez</w:t>
            </w:r>
          </w:p>
          <w:p w14:paraId="38DF71CE" w14:textId="4DCD216D" w:rsidR="00647FCE" w:rsidRDefault="00647FCE" w:rsidP="00187781">
            <w:pPr>
              <w:rPr>
                <w:sz w:val="22"/>
              </w:rPr>
            </w:pPr>
            <w:r>
              <w:rPr>
                <w:sz w:val="22"/>
              </w:rPr>
              <w:t>Ali Rodway</w:t>
            </w:r>
          </w:p>
          <w:p w14:paraId="51883821" w14:textId="77F7A76E" w:rsidR="00647FCE" w:rsidRDefault="00647FCE" w:rsidP="00187781">
            <w:pPr>
              <w:rPr>
                <w:sz w:val="22"/>
              </w:rPr>
            </w:pPr>
            <w:r>
              <w:rPr>
                <w:sz w:val="22"/>
              </w:rPr>
              <w:t>Tor</w:t>
            </w:r>
            <w:r w:rsidR="00077F19">
              <w:rPr>
                <w:sz w:val="22"/>
              </w:rPr>
              <w:t>y</w:t>
            </w:r>
            <w:r>
              <w:rPr>
                <w:sz w:val="22"/>
              </w:rPr>
              <w:t xml:space="preserve"> Schalkle</w:t>
            </w:r>
          </w:p>
          <w:p w14:paraId="2BD15F34" w14:textId="3CBD9400" w:rsidR="00CA3B59" w:rsidRDefault="00CA3B59" w:rsidP="00187781">
            <w:pPr>
              <w:rPr>
                <w:sz w:val="22"/>
              </w:rPr>
            </w:pPr>
            <w:r w:rsidRPr="00A30913">
              <w:rPr>
                <w:sz w:val="22"/>
              </w:rPr>
              <w:t>Roy Smith</w:t>
            </w:r>
          </w:p>
          <w:p w14:paraId="4FE38AF5" w14:textId="533C38B0" w:rsidR="00950A91" w:rsidRDefault="00950A91" w:rsidP="00187781">
            <w:pPr>
              <w:rPr>
                <w:sz w:val="22"/>
              </w:rPr>
            </w:pPr>
            <w:r>
              <w:rPr>
                <w:sz w:val="22"/>
              </w:rPr>
              <w:t>Jennifer Theisen</w:t>
            </w:r>
          </w:p>
          <w:p w14:paraId="457BB052" w14:textId="5392F899" w:rsidR="00F45446" w:rsidRDefault="00F45446" w:rsidP="00187781">
            <w:pPr>
              <w:rPr>
                <w:sz w:val="22"/>
              </w:rPr>
            </w:pPr>
            <w:r>
              <w:rPr>
                <w:sz w:val="22"/>
              </w:rPr>
              <w:t>Rosa Tock</w:t>
            </w:r>
          </w:p>
          <w:p w14:paraId="10A1FD0F" w14:textId="58650DD2" w:rsidR="00CA3B59" w:rsidRPr="00A30913" w:rsidRDefault="00647FCE" w:rsidP="00CD4CF7">
            <w:pPr>
              <w:rPr>
                <w:sz w:val="22"/>
              </w:rPr>
            </w:pPr>
            <w:r>
              <w:rPr>
                <w:sz w:val="22"/>
              </w:rPr>
              <w:t>Michelle Ufford</w:t>
            </w:r>
          </w:p>
        </w:tc>
        <w:tc>
          <w:tcPr>
            <w:tcW w:w="3321" w:type="dxa"/>
          </w:tcPr>
          <w:p w14:paraId="3E6C0D3F" w14:textId="10626BB7" w:rsidR="00A60477" w:rsidRDefault="00A60477" w:rsidP="00187781">
            <w:pPr>
              <w:rPr>
                <w:sz w:val="22"/>
              </w:rPr>
            </w:pPr>
            <w:r>
              <w:rPr>
                <w:sz w:val="22"/>
              </w:rPr>
              <w:t>Eric Aamoth</w:t>
            </w:r>
          </w:p>
          <w:p w14:paraId="2ACAF465" w14:textId="53775499" w:rsidR="00A60477" w:rsidRDefault="00A60477" w:rsidP="00187781">
            <w:pPr>
              <w:rPr>
                <w:sz w:val="22"/>
              </w:rPr>
            </w:pPr>
            <w:r>
              <w:rPr>
                <w:sz w:val="22"/>
              </w:rPr>
              <w:t>Sasha Bergman</w:t>
            </w:r>
          </w:p>
          <w:p w14:paraId="2861298D" w14:textId="5C4782A6" w:rsidR="008022F7" w:rsidRDefault="008022F7" w:rsidP="00187781">
            <w:pPr>
              <w:rPr>
                <w:sz w:val="22"/>
              </w:rPr>
            </w:pPr>
            <w:r>
              <w:rPr>
                <w:sz w:val="22"/>
              </w:rPr>
              <w:t>Julie Dincau</w:t>
            </w:r>
          </w:p>
          <w:p w14:paraId="2C29F8F3" w14:textId="2216EC3D" w:rsidR="00A60477" w:rsidRDefault="00A60477" w:rsidP="002D49F3">
            <w:pPr>
              <w:rPr>
                <w:sz w:val="22"/>
              </w:rPr>
            </w:pPr>
            <w:r>
              <w:rPr>
                <w:sz w:val="22"/>
              </w:rPr>
              <w:t>Pamela McCauley</w:t>
            </w:r>
          </w:p>
          <w:p w14:paraId="355795E6" w14:textId="3AE82ECB" w:rsidR="00647FCE" w:rsidRDefault="000A62AA" w:rsidP="002D49F3">
            <w:pPr>
              <w:rPr>
                <w:sz w:val="22"/>
              </w:rPr>
            </w:pPr>
            <w:r>
              <w:rPr>
                <w:sz w:val="22"/>
              </w:rPr>
              <w:t>Paula Palmer</w:t>
            </w:r>
          </w:p>
          <w:p w14:paraId="7857E3E8" w14:textId="28D8E5FB" w:rsidR="00F45446" w:rsidRDefault="00F45446" w:rsidP="002D49F3">
            <w:pPr>
              <w:rPr>
                <w:sz w:val="22"/>
              </w:rPr>
            </w:pPr>
            <w:r>
              <w:rPr>
                <w:sz w:val="22"/>
              </w:rPr>
              <w:t>Ekta Prakash</w:t>
            </w:r>
          </w:p>
          <w:p w14:paraId="38ECB3DE" w14:textId="16485D8C" w:rsidR="00A60477" w:rsidRDefault="00A60477" w:rsidP="002D49F3">
            <w:pPr>
              <w:rPr>
                <w:sz w:val="22"/>
              </w:rPr>
            </w:pPr>
            <w:r>
              <w:rPr>
                <w:sz w:val="22"/>
              </w:rPr>
              <w:t>Nola Speiser</w:t>
            </w:r>
          </w:p>
          <w:tbl>
            <w:tblPr>
              <w:tblW w:w="2960" w:type="dxa"/>
              <w:tblLook w:val="04A0" w:firstRow="1" w:lastRow="0" w:firstColumn="1" w:lastColumn="0" w:noHBand="0" w:noVBand="1"/>
            </w:tblPr>
            <w:tblGrid>
              <w:gridCol w:w="2960"/>
            </w:tblGrid>
            <w:tr w:rsidR="00A60477" w:rsidRPr="00A60477" w14:paraId="3FEF5BC2" w14:textId="77777777" w:rsidTr="00A60477">
              <w:trPr>
                <w:trHeight w:val="290"/>
              </w:trPr>
              <w:tc>
                <w:tcPr>
                  <w:tcW w:w="2960" w:type="dxa"/>
                  <w:tcBorders>
                    <w:top w:val="nil"/>
                    <w:left w:val="nil"/>
                    <w:bottom w:val="nil"/>
                    <w:right w:val="nil"/>
                  </w:tcBorders>
                  <w:shd w:val="clear" w:color="auto" w:fill="auto"/>
                  <w:noWrap/>
                  <w:vAlign w:val="bottom"/>
                </w:tcPr>
                <w:p w14:paraId="3A5DEA39" w14:textId="25CD3425" w:rsidR="00A60477" w:rsidRPr="00A60477" w:rsidRDefault="00A60477" w:rsidP="00A60477">
                  <w:pPr>
                    <w:ind w:hanging="60"/>
                    <w:rPr>
                      <w:rFonts w:ascii="Calibri" w:eastAsia="Times New Roman" w:hAnsi="Calibri" w:cs="Calibri"/>
                      <w:color w:val="000000"/>
                      <w:sz w:val="22"/>
                    </w:rPr>
                  </w:pPr>
                </w:p>
              </w:tc>
            </w:tr>
            <w:tr w:rsidR="00A60477" w:rsidRPr="00A60477" w14:paraId="7E59DC89" w14:textId="77777777" w:rsidTr="00A60477">
              <w:trPr>
                <w:trHeight w:val="290"/>
              </w:trPr>
              <w:tc>
                <w:tcPr>
                  <w:tcW w:w="2960" w:type="dxa"/>
                  <w:tcBorders>
                    <w:top w:val="nil"/>
                    <w:left w:val="nil"/>
                    <w:bottom w:val="nil"/>
                    <w:right w:val="nil"/>
                  </w:tcBorders>
                  <w:shd w:val="clear" w:color="auto" w:fill="auto"/>
                  <w:noWrap/>
                  <w:vAlign w:val="bottom"/>
                </w:tcPr>
                <w:p w14:paraId="5C9FED27" w14:textId="23F54B6C" w:rsidR="00A60477" w:rsidRPr="00A60477" w:rsidRDefault="00A60477" w:rsidP="00A60477">
                  <w:pPr>
                    <w:rPr>
                      <w:rFonts w:ascii="Calibri" w:eastAsia="Times New Roman" w:hAnsi="Calibri" w:cs="Calibri"/>
                      <w:color w:val="000000"/>
                      <w:sz w:val="22"/>
                    </w:rPr>
                  </w:pPr>
                </w:p>
              </w:tc>
            </w:tr>
            <w:tr w:rsidR="00A60477" w:rsidRPr="00A60477" w14:paraId="221035DD" w14:textId="77777777" w:rsidTr="00A60477">
              <w:trPr>
                <w:trHeight w:val="290"/>
              </w:trPr>
              <w:tc>
                <w:tcPr>
                  <w:tcW w:w="2960" w:type="dxa"/>
                  <w:tcBorders>
                    <w:top w:val="nil"/>
                    <w:left w:val="nil"/>
                    <w:bottom w:val="nil"/>
                    <w:right w:val="nil"/>
                  </w:tcBorders>
                  <w:shd w:val="clear" w:color="auto" w:fill="auto"/>
                  <w:noWrap/>
                  <w:vAlign w:val="bottom"/>
                </w:tcPr>
                <w:p w14:paraId="586E7F23" w14:textId="145B3FE9" w:rsidR="00A60477" w:rsidRPr="00A60477" w:rsidRDefault="00A60477" w:rsidP="00A60477">
                  <w:pPr>
                    <w:rPr>
                      <w:rFonts w:ascii="Calibri" w:eastAsia="Times New Roman" w:hAnsi="Calibri" w:cs="Calibri"/>
                      <w:color w:val="000000"/>
                      <w:sz w:val="22"/>
                    </w:rPr>
                  </w:pPr>
                </w:p>
              </w:tc>
            </w:tr>
          </w:tbl>
          <w:p w14:paraId="72B8A258" w14:textId="4CD2280F" w:rsidR="000A62AA" w:rsidRPr="00A30913" w:rsidRDefault="000A62AA" w:rsidP="002D49F3">
            <w:pPr>
              <w:rPr>
                <w:sz w:val="22"/>
              </w:rPr>
            </w:pPr>
          </w:p>
        </w:tc>
        <w:tc>
          <w:tcPr>
            <w:tcW w:w="2884" w:type="dxa"/>
          </w:tcPr>
          <w:p w14:paraId="2CE30620" w14:textId="77777777" w:rsidR="00CA3B59" w:rsidRPr="007E556D" w:rsidRDefault="00CA3B59" w:rsidP="00187781">
            <w:pPr>
              <w:rPr>
                <w:b/>
                <w:bCs/>
                <w:sz w:val="22"/>
              </w:rPr>
            </w:pPr>
            <w:r w:rsidRPr="007E556D">
              <w:rPr>
                <w:b/>
                <w:bCs/>
                <w:sz w:val="22"/>
              </w:rPr>
              <w:t>GWDB Staff</w:t>
            </w:r>
          </w:p>
          <w:p w14:paraId="1C6ECB99" w14:textId="2A3E2842" w:rsidR="00CA3B59" w:rsidRPr="00A30913" w:rsidRDefault="00CA3B59" w:rsidP="00187781">
            <w:pPr>
              <w:rPr>
                <w:sz w:val="22"/>
              </w:rPr>
            </w:pPr>
            <w:r w:rsidRPr="00A30913">
              <w:rPr>
                <w:sz w:val="22"/>
              </w:rPr>
              <w:t>Ben Baglio</w:t>
            </w:r>
            <w:r w:rsidR="00322694">
              <w:rPr>
                <w:sz w:val="22"/>
              </w:rPr>
              <w:t>, Director</w:t>
            </w:r>
          </w:p>
          <w:p w14:paraId="61857B7B" w14:textId="50B0A83A" w:rsidR="00CA3B59" w:rsidRDefault="00CA3B59" w:rsidP="00187781">
            <w:pPr>
              <w:rPr>
                <w:sz w:val="22"/>
              </w:rPr>
            </w:pPr>
            <w:r w:rsidRPr="00A30913">
              <w:rPr>
                <w:sz w:val="22"/>
              </w:rPr>
              <w:t>Kay Kammen</w:t>
            </w:r>
            <w:r w:rsidR="00322694">
              <w:rPr>
                <w:sz w:val="22"/>
              </w:rPr>
              <w:t>, Sr. Policy Analyst</w:t>
            </w:r>
          </w:p>
          <w:p w14:paraId="58DF01C9" w14:textId="77777777" w:rsidR="00CA3B59" w:rsidRDefault="00CA3B59" w:rsidP="00187781">
            <w:pPr>
              <w:rPr>
                <w:b/>
                <w:bCs/>
                <w:sz w:val="22"/>
              </w:rPr>
            </w:pPr>
          </w:p>
          <w:p w14:paraId="7E546FA1" w14:textId="1BE3D7EE" w:rsidR="00CA3B59" w:rsidRDefault="00CA3B59" w:rsidP="00187781">
            <w:pPr>
              <w:rPr>
                <w:b/>
                <w:bCs/>
                <w:sz w:val="22"/>
              </w:rPr>
            </w:pPr>
            <w:r w:rsidRPr="001B4E33">
              <w:rPr>
                <w:b/>
                <w:bCs/>
                <w:sz w:val="22"/>
              </w:rPr>
              <w:t>DEED Staff</w:t>
            </w:r>
          </w:p>
          <w:p w14:paraId="0EDF8082" w14:textId="323847B2" w:rsidR="00A60477" w:rsidRDefault="00A60477" w:rsidP="00187781">
            <w:pPr>
              <w:rPr>
                <w:rFonts w:ascii="Calibri" w:eastAsia="Times New Roman" w:hAnsi="Calibri" w:cs="Calibri"/>
                <w:color w:val="000000"/>
                <w:sz w:val="22"/>
              </w:rPr>
            </w:pPr>
            <w:r w:rsidRPr="000A62AA">
              <w:rPr>
                <w:rFonts w:ascii="Calibri" w:eastAsia="Times New Roman" w:hAnsi="Calibri" w:cs="Calibri"/>
                <w:color w:val="000000"/>
                <w:sz w:val="22"/>
              </w:rPr>
              <w:t>Kevin</w:t>
            </w:r>
            <w:r>
              <w:rPr>
                <w:rFonts w:ascii="Calibri" w:eastAsia="Times New Roman" w:hAnsi="Calibri" w:cs="Calibri"/>
                <w:color w:val="000000"/>
                <w:sz w:val="22"/>
              </w:rPr>
              <w:t xml:space="preserve"> McKinnon, Deputy Commissioner</w:t>
            </w:r>
          </w:p>
          <w:p w14:paraId="34234644" w14:textId="488CBCEA" w:rsidR="008B4CA2" w:rsidRDefault="008B4CA2" w:rsidP="00187781">
            <w:pPr>
              <w:rPr>
                <w:b/>
                <w:bCs/>
                <w:sz w:val="22"/>
              </w:rPr>
            </w:pPr>
            <w:r>
              <w:rPr>
                <w:rFonts w:ascii="Calibri" w:eastAsia="Times New Roman" w:hAnsi="Calibri" w:cs="Calibri"/>
                <w:color w:val="000000"/>
                <w:sz w:val="22"/>
              </w:rPr>
              <w:t>Marc Majors, Employment &amp; Training Programs</w:t>
            </w:r>
            <w:r w:rsidR="000F7745">
              <w:rPr>
                <w:rFonts w:ascii="Calibri" w:eastAsia="Times New Roman" w:hAnsi="Calibri" w:cs="Calibri"/>
                <w:color w:val="000000"/>
                <w:sz w:val="22"/>
              </w:rPr>
              <w:t xml:space="preserve"> Div. </w:t>
            </w:r>
            <w:r>
              <w:rPr>
                <w:rFonts w:ascii="Calibri" w:eastAsia="Times New Roman" w:hAnsi="Calibri" w:cs="Calibri"/>
                <w:color w:val="000000"/>
                <w:sz w:val="22"/>
              </w:rPr>
              <w:t>Director</w:t>
            </w:r>
          </w:p>
          <w:tbl>
            <w:tblPr>
              <w:tblW w:w="2960" w:type="dxa"/>
              <w:tblLook w:val="04A0" w:firstRow="1" w:lastRow="0" w:firstColumn="1" w:lastColumn="0" w:noHBand="0" w:noVBand="1"/>
            </w:tblPr>
            <w:tblGrid>
              <w:gridCol w:w="2960"/>
            </w:tblGrid>
            <w:tr w:rsidR="000A62AA" w:rsidRPr="000A62AA" w14:paraId="2BA9F5AD" w14:textId="77777777" w:rsidTr="000A62AA">
              <w:trPr>
                <w:trHeight w:val="290"/>
              </w:trPr>
              <w:tc>
                <w:tcPr>
                  <w:tcW w:w="2960" w:type="dxa"/>
                  <w:tcBorders>
                    <w:top w:val="nil"/>
                    <w:left w:val="nil"/>
                    <w:bottom w:val="nil"/>
                    <w:right w:val="nil"/>
                  </w:tcBorders>
                  <w:shd w:val="clear" w:color="auto" w:fill="auto"/>
                  <w:noWrap/>
                  <w:vAlign w:val="bottom"/>
                  <w:hideMark/>
                </w:tcPr>
                <w:p w14:paraId="0F0771EB" w14:textId="300A549B" w:rsidR="000A62AA" w:rsidRPr="000A62AA" w:rsidRDefault="000A62AA" w:rsidP="00A60477">
                  <w:pPr>
                    <w:ind w:hanging="100"/>
                    <w:rPr>
                      <w:rFonts w:ascii="Calibri" w:eastAsia="Times New Roman" w:hAnsi="Calibri" w:cs="Calibri"/>
                      <w:color w:val="000000"/>
                      <w:sz w:val="22"/>
                    </w:rPr>
                  </w:pPr>
                  <w:r w:rsidRPr="000A62AA">
                    <w:rPr>
                      <w:rFonts w:ascii="Calibri" w:eastAsia="Times New Roman" w:hAnsi="Calibri" w:cs="Calibri"/>
                      <w:color w:val="000000"/>
                      <w:sz w:val="22"/>
                    </w:rPr>
                    <w:t>Huguette</w:t>
                  </w:r>
                  <w:r w:rsidR="00A60477">
                    <w:rPr>
                      <w:rFonts w:ascii="Calibri" w:eastAsia="Times New Roman" w:hAnsi="Calibri" w:cs="Calibri"/>
                      <w:color w:val="000000"/>
                      <w:sz w:val="22"/>
                    </w:rPr>
                    <w:t xml:space="preserve"> Trebil</w:t>
                  </w:r>
                </w:p>
              </w:tc>
            </w:tr>
            <w:tr w:rsidR="000A62AA" w:rsidRPr="000A62AA" w14:paraId="44305C6C" w14:textId="77777777" w:rsidTr="000A62AA">
              <w:trPr>
                <w:trHeight w:val="290"/>
              </w:trPr>
              <w:tc>
                <w:tcPr>
                  <w:tcW w:w="2960" w:type="dxa"/>
                  <w:tcBorders>
                    <w:top w:val="nil"/>
                    <w:left w:val="nil"/>
                    <w:bottom w:val="nil"/>
                    <w:right w:val="nil"/>
                  </w:tcBorders>
                  <w:shd w:val="clear" w:color="auto" w:fill="auto"/>
                  <w:noWrap/>
                  <w:vAlign w:val="bottom"/>
                  <w:hideMark/>
                </w:tcPr>
                <w:p w14:paraId="3242B541" w14:textId="4B4D9929" w:rsidR="000A62AA" w:rsidRPr="000A62AA" w:rsidRDefault="00A60477" w:rsidP="00A60477">
                  <w:pPr>
                    <w:ind w:hanging="100"/>
                    <w:rPr>
                      <w:rFonts w:ascii="Calibri" w:eastAsia="Times New Roman" w:hAnsi="Calibri" w:cs="Calibri"/>
                      <w:color w:val="000000"/>
                      <w:sz w:val="22"/>
                    </w:rPr>
                  </w:pPr>
                  <w:r>
                    <w:rPr>
                      <w:rFonts w:ascii="Calibri" w:eastAsia="Times New Roman" w:hAnsi="Calibri" w:cs="Calibri"/>
                      <w:color w:val="000000"/>
                      <w:sz w:val="22"/>
                    </w:rPr>
                    <w:t xml:space="preserve">Catalina Valencia </w:t>
                  </w:r>
                </w:p>
              </w:tc>
            </w:tr>
            <w:tr w:rsidR="000A62AA" w:rsidRPr="000A62AA" w14:paraId="28379029" w14:textId="77777777" w:rsidTr="000A62AA">
              <w:trPr>
                <w:trHeight w:val="290"/>
              </w:trPr>
              <w:tc>
                <w:tcPr>
                  <w:tcW w:w="2960" w:type="dxa"/>
                  <w:tcBorders>
                    <w:top w:val="nil"/>
                    <w:left w:val="nil"/>
                    <w:bottom w:val="nil"/>
                    <w:right w:val="nil"/>
                  </w:tcBorders>
                  <w:shd w:val="clear" w:color="auto" w:fill="auto"/>
                  <w:noWrap/>
                  <w:vAlign w:val="bottom"/>
                  <w:hideMark/>
                </w:tcPr>
                <w:p w14:paraId="0E5684F6" w14:textId="0C556AB9" w:rsidR="000A62AA" w:rsidRPr="000A62AA" w:rsidRDefault="000A62AA" w:rsidP="00A60477">
                  <w:pPr>
                    <w:ind w:hanging="100"/>
                    <w:rPr>
                      <w:rFonts w:ascii="Calibri" w:eastAsia="Times New Roman" w:hAnsi="Calibri" w:cs="Calibri"/>
                      <w:color w:val="000000"/>
                      <w:sz w:val="22"/>
                    </w:rPr>
                  </w:pPr>
                  <w:r w:rsidRPr="000A62AA">
                    <w:rPr>
                      <w:rFonts w:ascii="Calibri" w:eastAsia="Times New Roman" w:hAnsi="Calibri" w:cs="Calibri"/>
                      <w:color w:val="000000"/>
                      <w:sz w:val="22"/>
                    </w:rPr>
                    <w:t>Cameron</w:t>
                  </w:r>
                  <w:r w:rsidR="00A60477">
                    <w:rPr>
                      <w:rFonts w:ascii="Calibri" w:eastAsia="Times New Roman" w:hAnsi="Calibri" w:cs="Calibri"/>
                      <w:color w:val="000000"/>
                      <w:sz w:val="22"/>
                    </w:rPr>
                    <w:t xml:space="preserve"> Macht</w:t>
                  </w:r>
                </w:p>
              </w:tc>
            </w:tr>
            <w:tr w:rsidR="000A62AA" w:rsidRPr="000A62AA" w14:paraId="472FC7F5" w14:textId="77777777" w:rsidTr="000A62AA">
              <w:trPr>
                <w:trHeight w:val="290"/>
              </w:trPr>
              <w:tc>
                <w:tcPr>
                  <w:tcW w:w="2960" w:type="dxa"/>
                  <w:tcBorders>
                    <w:top w:val="nil"/>
                    <w:left w:val="nil"/>
                    <w:bottom w:val="nil"/>
                    <w:right w:val="nil"/>
                  </w:tcBorders>
                  <w:shd w:val="clear" w:color="auto" w:fill="auto"/>
                  <w:noWrap/>
                  <w:vAlign w:val="bottom"/>
                  <w:hideMark/>
                </w:tcPr>
                <w:p w14:paraId="76A2309C" w14:textId="7F6760CA" w:rsidR="000A62AA" w:rsidRPr="000A62AA" w:rsidRDefault="000A62AA" w:rsidP="00A60477">
                  <w:pPr>
                    <w:ind w:hanging="100"/>
                    <w:rPr>
                      <w:rFonts w:ascii="Calibri" w:eastAsia="Times New Roman" w:hAnsi="Calibri" w:cs="Calibri"/>
                      <w:color w:val="000000"/>
                      <w:sz w:val="22"/>
                    </w:rPr>
                  </w:pPr>
                  <w:r w:rsidRPr="000A62AA">
                    <w:rPr>
                      <w:rFonts w:ascii="Calibri" w:eastAsia="Times New Roman" w:hAnsi="Calibri" w:cs="Calibri"/>
                      <w:color w:val="000000"/>
                      <w:sz w:val="22"/>
                    </w:rPr>
                    <w:t>Lorrie</w:t>
                  </w:r>
                  <w:r w:rsidR="00A60477">
                    <w:rPr>
                      <w:rFonts w:ascii="Calibri" w:eastAsia="Times New Roman" w:hAnsi="Calibri" w:cs="Calibri"/>
                      <w:color w:val="000000"/>
                      <w:sz w:val="22"/>
                    </w:rPr>
                    <w:t xml:space="preserve"> Janatopoulos</w:t>
                  </w:r>
                </w:p>
              </w:tc>
            </w:tr>
            <w:tr w:rsidR="00A60477" w:rsidRPr="000A62AA" w14:paraId="7BF9B3C2" w14:textId="77777777" w:rsidTr="00A60477">
              <w:trPr>
                <w:trHeight w:val="290"/>
              </w:trPr>
              <w:tc>
                <w:tcPr>
                  <w:tcW w:w="2960" w:type="dxa"/>
                  <w:tcBorders>
                    <w:top w:val="nil"/>
                    <w:left w:val="nil"/>
                    <w:bottom w:val="nil"/>
                    <w:right w:val="nil"/>
                  </w:tcBorders>
                  <w:shd w:val="clear" w:color="auto" w:fill="auto"/>
                  <w:noWrap/>
                  <w:vAlign w:val="bottom"/>
                </w:tcPr>
                <w:p w14:paraId="0F16E271" w14:textId="0A3F1C91" w:rsidR="00A60477" w:rsidRPr="000A62AA" w:rsidRDefault="00A60477" w:rsidP="00A60477">
                  <w:pPr>
                    <w:ind w:left="-100"/>
                    <w:rPr>
                      <w:rFonts w:ascii="Calibri" w:eastAsia="Times New Roman" w:hAnsi="Calibri" w:cs="Calibri"/>
                      <w:color w:val="000000"/>
                      <w:sz w:val="22"/>
                    </w:rPr>
                  </w:pPr>
                  <w:r>
                    <w:rPr>
                      <w:rFonts w:ascii="Calibri" w:eastAsia="Times New Roman" w:hAnsi="Calibri" w:cs="Calibri"/>
                      <w:color w:val="000000"/>
                      <w:sz w:val="22"/>
                    </w:rPr>
                    <w:t>Liz Jennings</w:t>
                  </w:r>
                </w:p>
              </w:tc>
            </w:tr>
            <w:tr w:rsidR="00A60477" w:rsidRPr="000A62AA" w14:paraId="72A3D8BC" w14:textId="77777777" w:rsidTr="00A60477">
              <w:trPr>
                <w:trHeight w:val="290"/>
              </w:trPr>
              <w:tc>
                <w:tcPr>
                  <w:tcW w:w="2960" w:type="dxa"/>
                  <w:tcBorders>
                    <w:top w:val="nil"/>
                    <w:left w:val="nil"/>
                    <w:bottom w:val="nil"/>
                    <w:right w:val="nil"/>
                  </w:tcBorders>
                  <w:shd w:val="clear" w:color="auto" w:fill="auto"/>
                  <w:noWrap/>
                  <w:vAlign w:val="bottom"/>
                </w:tcPr>
                <w:p w14:paraId="357207D9" w14:textId="175C7DDA" w:rsidR="00A60477" w:rsidRPr="000A62AA" w:rsidRDefault="00A60477" w:rsidP="00A60477">
                  <w:pPr>
                    <w:rPr>
                      <w:rFonts w:ascii="Calibri" w:eastAsia="Times New Roman" w:hAnsi="Calibri" w:cs="Calibri"/>
                      <w:color w:val="000000"/>
                      <w:sz w:val="22"/>
                    </w:rPr>
                  </w:pPr>
                </w:p>
              </w:tc>
            </w:tr>
            <w:tr w:rsidR="000A62AA" w:rsidRPr="000A62AA" w14:paraId="353585A2" w14:textId="77777777" w:rsidTr="00A60477">
              <w:trPr>
                <w:trHeight w:val="290"/>
              </w:trPr>
              <w:tc>
                <w:tcPr>
                  <w:tcW w:w="2960" w:type="dxa"/>
                  <w:tcBorders>
                    <w:top w:val="nil"/>
                    <w:left w:val="nil"/>
                    <w:bottom w:val="nil"/>
                    <w:right w:val="nil"/>
                  </w:tcBorders>
                  <w:shd w:val="clear" w:color="auto" w:fill="auto"/>
                  <w:noWrap/>
                  <w:vAlign w:val="bottom"/>
                </w:tcPr>
                <w:p w14:paraId="12BE9A63" w14:textId="323795BB" w:rsidR="000A62AA" w:rsidRPr="000A62AA" w:rsidRDefault="000A62AA" w:rsidP="000A62AA">
                  <w:pPr>
                    <w:rPr>
                      <w:rFonts w:ascii="Calibri" w:eastAsia="Times New Roman" w:hAnsi="Calibri" w:cs="Calibri"/>
                      <w:color w:val="000000"/>
                      <w:sz w:val="22"/>
                    </w:rPr>
                  </w:pPr>
                </w:p>
              </w:tc>
            </w:tr>
          </w:tbl>
          <w:p w14:paraId="64420E99" w14:textId="4549D8D8" w:rsidR="004E0B95" w:rsidRPr="00647FCE" w:rsidRDefault="004E0B95" w:rsidP="00734EF2">
            <w:pPr>
              <w:rPr>
                <w:sz w:val="22"/>
              </w:rPr>
            </w:pPr>
          </w:p>
        </w:tc>
      </w:tr>
      <w:bookmarkEnd w:id="0"/>
      <w:bookmarkEnd w:id="1"/>
    </w:tbl>
    <w:p w14:paraId="3A00AE8C" w14:textId="2B17AE3E" w:rsidR="00CA3B59" w:rsidRDefault="00CA3B59" w:rsidP="00CA3B59">
      <w:pPr>
        <w:rPr>
          <w:sz w:val="22"/>
        </w:rPr>
      </w:pPr>
    </w:p>
    <w:p w14:paraId="5CDFB6F8" w14:textId="77777777" w:rsidR="00CA3B59" w:rsidRPr="00AC1A20" w:rsidRDefault="00CA3B59" w:rsidP="00955DBB">
      <w:pPr>
        <w:rPr>
          <w:vanish/>
          <w:sz w:val="22"/>
        </w:rPr>
      </w:pPr>
    </w:p>
    <w:p w14:paraId="6A3ACC9A" w14:textId="77777777" w:rsidR="00955DBB" w:rsidRDefault="00CA3B59" w:rsidP="00955DBB">
      <w:pPr>
        <w:keepNext/>
        <w:keepLines/>
        <w:outlineLvl w:val="0"/>
        <w:rPr>
          <w:rFonts w:eastAsiaTheme="majorEastAsia" w:cstheme="majorBidi"/>
          <w:b/>
          <w:szCs w:val="24"/>
        </w:rPr>
      </w:pPr>
      <w:r w:rsidRPr="00D23F3A">
        <w:rPr>
          <w:rFonts w:eastAsiaTheme="majorEastAsia" w:cstheme="majorBidi"/>
          <w:b/>
          <w:szCs w:val="24"/>
        </w:rPr>
        <w:t>Call to Order and Welcome</w:t>
      </w:r>
    </w:p>
    <w:p w14:paraId="7CBF59A8" w14:textId="381CF298" w:rsidR="00B20C6B" w:rsidRPr="00D23F3A" w:rsidRDefault="00CE7677" w:rsidP="00955DBB">
      <w:pPr>
        <w:keepNext/>
        <w:keepLines/>
        <w:outlineLvl w:val="0"/>
        <w:rPr>
          <w:b/>
        </w:rPr>
      </w:pPr>
      <w:r w:rsidRPr="00CE7677">
        <w:rPr>
          <w:rFonts w:eastAsiaTheme="majorEastAsia" w:cstheme="majorBidi"/>
          <w:bCs/>
          <w:szCs w:val="24"/>
        </w:rPr>
        <w:t>Laura Beeth, Chair of the Governor’s Workforce Development Board,</w:t>
      </w:r>
      <w:r>
        <w:rPr>
          <w:rFonts w:eastAsiaTheme="majorEastAsia" w:cstheme="majorBidi"/>
          <w:bCs/>
          <w:szCs w:val="24"/>
        </w:rPr>
        <w:t xml:space="preserve"> </w:t>
      </w:r>
      <w:r w:rsidR="00F80752">
        <w:rPr>
          <w:rFonts w:eastAsiaTheme="majorEastAsia" w:cstheme="majorBidi"/>
          <w:bCs/>
          <w:szCs w:val="24"/>
        </w:rPr>
        <w:t>called the meeting to order at 10:0</w:t>
      </w:r>
      <w:r w:rsidR="000A62AA">
        <w:rPr>
          <w:rFonts w:eastAsiaTheme="majorEastAsia" w:cstheme="majorBidi"/>
          <w:bCs/>
          <w:szCs w:val="24"/>
        </w:rPr>
        <w:t>2</w:t>
      </w:r>
      <w:r w:rsidR="00F80752">
        <w:rPr>
          <w:rFonts w:eastAsiaTheme="majorEastAsia" w:cstheme="majorBidi"/>
          <w:bCs/>
          <w:szCs w:val="24"/>
        </w:rPr>
        <w:t xml:space="preserve"> a.m.</w:t>
      </w:r>
      <w:r w:rsidR="001D7652">
        <w:rPr>
          <w:rFonts w:eastAsiaTheme="majorEastAsia" w:cstheme="majorBidi"/>
          <w:bCs/>
          <w:szCs w:val="24"/>
        </w:rPr>
        <w:t>, welcoming</w:t>
      </w:r>
      <w:r w:rsidR="00F80752">
        <w:rPr>
          <w:rFonts w:eastAsiaTheme="majorEastAsia" w:cstheme="majorBidi"/>
          <w:bCs/>
          <w:szCs w:val="24"/>
        </w:rPr>
        <w:t xml:space="preserve"> members, speakers, guests</w:t>
      </w:r>
      <w:r w:rsidR="00DC7DDA">
        <w:rPr>
          <w:rFonts w:eastAsiaTheme="majorEastAsia" w:cstheme="majorBidi"/>
          <w:bCs/>
          <w:szCs w:val="24"/>
        </w:rPr>
        <w:t>,</w:t>
      </w:r>
      <w:r w:rsidR="00F80752">
        <w:rPr>
          <w:rFonts w:eastAsiaTheme="majorEastAsia" w:cstheme="majorBidi"/>
          <w:bCs/>
          <w:szCs w:val="24"/>
        </w:rPr>
        <w:t xml:space="preserve"> and staff who joined the meeting via teleconference. </w:t>
      </w:r>
    </w:p>
    <w:p w14:paraId="74A69A2F" w14:textId="77777777" w:rsidR="00F80752" w:rsidRDefault="00F80752">
      <w:pPr>
        <w:rPr>
          <w:b/>
        </w:rPr>
      </w:pPr>
    </w:p>
    <w:p w14:paraId="52D0EE99" w14:textId="687BE900" w:rsidR="00D23F3A" w:rsidRPr="00D23F3A" w:rsidRDefault="00D23F3A">
      <w:pPr>
        <w:rPr>
          <w:b/>
        </w:rPr>
      </w:pPr>
      <w:r w:rsidRPr="00D23F3A">
        <w:rPr>
          <w:b/>
        </w:rPr>
        <w:t>GWDB Business Meeting</w:t>
      </w:r>
    </w:p>
    <w:p w14:paraId="668C2B1C" w14:textId="77777777" w:rsidR="00E6275D" w:rsidRPr="00E6275D" w:rsidRDefault="00E6275D" w:rsidP="00E6275D">
      <w:pPr>
        <w:rPr>
          <w:b/>
          <w:i/>
          <w:szCs w:val="24"/>
        </w:rPr>
      </w:pPr>
      <w:r w:rsidRPr="00E6275D">
        <w:rPr>
          <w:b/>
          <w:i/>
          <w:szCs w:val="24"/>
        </w:rPr>
        <w:t xml:space="preserve">Action Item: </w:t>
      </w:r>
      <w:r w:rsidRPr="00E6275D">
        <w:rPr>
          <w:i/>
          <w:szCs w:val="24"/>
        </w:rPr>
        <w:t>Approval of Chair Report</w:t>
      </w:r>
    </w:p>
    <w:p w14:paraId="2A5EACF7" w14:textId="65958D57" w:rsidR="00E6275D" w:rsidRPr="00E6275D" w:rsidRDefault="000A62AA" w:rsidP="00E6275D">
      <w:pPr>
        <w:rPr>
          <w:bCs/>
          <w:i/>
          <w:szCs w:val="24"/>
        </w:rPr>
      </w:pPr>
      <w:r>
        <w:rPr>
          <w:bCs/>
          <w:iCs/>
          <w:szCs w:val="24"/>
        </w:rPr>
        <w:t xml:space="preserve">Sam Heimlich </w:t>
      </w:r>
      <w:r w:rsidR="00E6275D" w:rsidRPr="00E6275D">
        <w:rPr>
          <w:bCs/>
          <w:iCs/>
          <w:szCs w:val="24"/>
        </w:rPr>
        <w:t xml:space="preserve">made a motion to approve the </w:t>
      </w:r>
      <w:r w:rsidR="00DC7DDA">
        <w:rPr>
          <w:bCs/>
          <w:iCs/>
          <w:szCs w:val="24"/>
        </w:rPr>
        <w:t xml:space="preserve">quarterly </w:t>
      </w:r>
      <w:r w:rsidR="00E6275D" w:rsidRPr="00E6275D">
        <w:rPr>
          <w:bCs/>
          <w:iCs/>
          <w:szCs w:val="24"/>
        </w:rPr>
        <w:t>Chair Report</w:t>
      </w:r>
      <w:r w:rsidR="00DC7DDA">
        <w:rPr>
          <w:bCs/>
          <w:iCs/>
          <w:szCs w:val="24"/>
        </w:rPr>
        <w:t>.</w:t>
      </w:r>
      <w:r w:rsidR="00E6275D" w:rsidRPr="00E6275D">
        <w:rPr>
          <w:b/>
          <w:iCs/>
          <w:szCs w:val="24"/>
        </w:rPr>
        <w:t xml:space="preserve"> </w:t>
      </w:r>
      <w:r>
        <w:rPr>
          <w:bCs/>
          <w:iCs/>
          <w:szCs w:val="24"/>
        </w:rPr>
        <w:t>Scott Parker</w:t>
      </w:r>
      <w:r w:rsidR="001D7652">
        <w:rPr>
          <w:b/>
          <w:iCs/>
          <w:szCs w:val="24"/>
        </w:rPr>
        <w:t xml:space="preserve"> </w:t>
      </w:r>
      <w:r w:rsidR="00E6275D" w:rsidRPr="00E6275D">
        <w:rPr>
          <w:bCs/>
          <w:iCs/>
          <w:szCs w:val="24"/>
        </w:rPr>
        <w:t xml:space="preserve">seconded the </w:t>
      </w:r>
      <w:r w:rsidR="00077F19" w:rsidRPr="00E6275D">
        <w:rPr>
          <w:bCs/>
          <w:iCs/>
          <w:szCs w:val="24"/>
        </w:rPr>
        <w:t>motion,</w:t>
      </w:r>
      <w:r w:rsidR="00E6275D" w:rsidRPr="00E6275D">
        <w:rPr>
          <w:bCs/>
          <w:iCs/>
          <w:szCs w:val="24"/>
        </w:rPr>
        <w:t xml:space="preserve"> and the report was unanimously approved. </w:t>
      </w:r>
      <w:r w:rsidR="00E6275D" w:rsidRPr="00E6275D">
        <w:rPr>
          <w:bCs/>
          <w:i/>
          <w:szCs w:val="24"/>
        </w:rPr>
        <w:t xml:space="preserve">  </w:t>
      </w:r>
    </w:p>
    <w:p w14:paraId="2B6E9051" w14:textId="77777777" w:rsidR="00886ED0" w:rsidRDefault="00886ED0" w:rsidP="00CD4CF7">
      <w:pPr>
        <w:rPr>
          <w:b/>
          <w:iCs/>
        </w:rPr>
      </w:pPr>
    </w:p>
    <w:p w14:paraId="2F64D1E8" w14:textId="43E108AB" w:rsidR="000A62AA" w:rsidRDefault="000A62AA" w:rsidP="000A62AA">
      <w:pPr>
        <w:rPr>
          <w:i/>
          <w:szCs w:val="24"/>
        </w:rPr>
      </w:pPr>
      <w:r w:rsidRPr="00E6275D">
        <w:rPr>
          <w:b/>
          <w:i/>
          <w:szCs w:val="24"/>
        </w:rPr>
        <w:t xml:space="preserve">Action Item: </w:t>
      </w:r>
      <w:r w:rsidRPr="00E6275D">
        <w:rPr>
          <w:i/>
          <w:szCs w:val="24"/>
        </w:rPr>
        <w:t xml:space="preserve">Approval of </w:t>
      </w:r>
      <w:r>
        <w:rPr>
          <w:i/>
          <w:szCs w:val="24"/>
        </w:rPr>
        <w:t xml:space="preserve">Minutes from the Annual Joint Meeting of the GWDB and Minnesota Association of </w:t>
      </w:r>
      <w:r w:rsidR="00F94328">
        <w:rPr>
          <w:i/>
          <w:szCs w:val="24"/>
        </w:rPr>
        <w:t>Workforce Boards (MAWB) on Dec. 15, 2021</w:t>
      </w:r>
    </w:p>
    <w:p w14:paraId="1B2A2219" w14:textId="77777777" w:rsidR="00950A91" w:rsidRDefault="00F45446" w:rsidP="000A62AA">
      <w:pPr>
        <w:rPr>
          <w:iCs/>
          <w:szCs w:val="24"/>
        </w:rPr>
      </w:pPr>
      <w:r>
        <w:rPr>
          <w:iCs/>
          <w:szCs w:val="24"/>
        </w:rPr>
        <w:t>Roy Smith made a motion to approve the Minutes from the Dec. 15, 2021 Annual Meeting of the GWDB and MAWB. The motion was seconded by Scott Parker and the Minutes were approved</w:t>
      </w:r>
      <w:r w:rsidR="00950A91">
        <w:rPr>
          <w:iCs/>
          <w:szCs w:val="24"/>
        </w:rPr>
        <w:t>.</w:t>
      </w:r>
    </w:p>
    <w:p w14:paraId="2B165573" w14:textId="6A6AB838" w:rsidR="00F94328" w:rsidRPr="00F94328" w:rsidRDefault="00F45446" w:rsidP="000A62AA">
      <w:pPr>
        <w:rPr>
          <w:iCs/>
          <w:szCs w:val="24"/>
        </w:rPr>
      </w:pPr>
      <w:r>
        <w:rPr>
          <w:iCs/>
          <w:szCs w:val="24"/>
        </w:rPr>
        <w:t xml:space="preserve">  </w:t>
      </w:r>
    </w:p>
    <w:p w14:paraId="25550149" w14:textId="5D4C6765" w:rsidR="00F94328" w:rsidRDefault="00284AC4" w:rsidP="000A62AA">
      <w:pPr>
        <w:rPr>
          <w:b/>
          <w:iCs/>
          <w:szCs w:val="24"/>
        </w:rPr>
      </w:pPr>
      <w:r w:rsidRPr="00284AC4">
        <w:rPr>
          <w:b/>
          <w:iCs/>
          <w:szCs w:val="24"/>
        </w:rPr>
        <w:t xml:space="preserve">DEED </w:t>
      </w:r>
      <w:r>
        <w:rPr>
          <w:b/>
          <w:iCs/>
          <w:szCs w:val="24"/>
        </w:rPr>
        <w:t>Updates and Discussion</w:t>
      </w:r>
    </w:p>
    <w:p w14:paraId="5B13500C" w14:textId="1D99774F" w:rsidR="00077F19" w:rsidRDefault="00284AC4">
      <w:pPr>
        <w:rPr>
          <w:bCs/>
          <w:iCs/>
          <w:szCs w:val="24"/>
        </w:rPr>
      </w:pPr>
      <w:r w:rsidRPr="00284AC4">
        <w:rPr>
          <w:bCs/>
          <w:iCs/>
          <w:szCs w:val="24"/>
        </w:rPr>
        <w:t xml:space="preserve">Commissioner Steve Grove </w:t>
      </w:r>
      <w:r w:rsidR="009B5D7E">
        <w:rPr>
          <w:bCs/>
          <w:iCs/>
          <w:szCs w:val="24"/>
        </w:rPr>
        <w:t xml:space="preserve">provided a snapshot of Minnesota’s labor force, discussing the demand for tech workers across all industries. He spoke of the </w:t>
      </w:r>
      <w:r w:rsidR="00CA157A">
        <w:rPr>
          <w:bCs/>
          <w:iCs/>
          <w:szCs w:val="24"/>
        </w:rPr>
        <w:t xml:space="preserve">state’s </w:t>
      </w:r>
      <w:r w:rsidR="009B5D7E">
        <w:rPr>
          <w:bCs/>
          <w:iCs/>
          <w:szCs w:val="24"/>
        </w:rPr>
        <w:t>talent pipeline challenges</w:t>
      </w:r>
      <w:r w:rsidR="00CA157A">
        <w:rPr>
          <w:bCs/>
          <w:iCs/>
          <w:szCs w:val="24"/>
        </w:rPr>
        <w:t>,</w:t>
      </w:r>
      <w:r w:rsidR="009B5D7E">
        <w:rPr>
          <w:bCs/>
          <w:iCs/>
          <w:szCs w:val="24"/>
        </w:rPr>
        <w:t xml:space="preserve"> </w:t>
      </w:r>
      <w:r w:rsidR="00CA157A">
        <w:rPr>
          <w:bCs/>
          <w:iCs/>
          <w:szCs w:val="24"/>
        </w:rPr>
        <w:t xml:space="preserve">and solutions such as youth and re-skilling training. </w:t>
      </w:r>
    </w:p>
    <w:p w14:paraId="0ECCA818" w14:textId="3FDAB11D" w:rsidR="00CA157A" w:rsidRDefault="00CA157A">
      <w:pPr>
        <w:rPr>
          <w:bCs/>
        </w:rPr>
      </w:pPr>
    </w:p>
    <w:p w14:paraId="43C97B2E" w14:textId="7B863EAE" w:rsidR="00CA157A" w:rsidRDefault="00CA157A">
      <w:pPr>
        <w:rPr>
          <w:bCs/>
        </w:rPr>
      </w:pPr>
      <w:r>
        <w:rPr>
          <w:bCs/>
        </w:rPr>
        <w:t>The Commissioner addressed the need to modernize workforce tools to better serve job seekers and employers. His presentation also highlighted the importance of Paid Family Leave for employees, as well as an expanded marketing campaign to</w:t>
      </w:r>
      <w:r w:rsidR="00651CA6">
        <w:rPr>
          <w:bCs/>
        </w:rPr>
        <w:t xml:space="preserve"> attract talent and business opportunities across the state.  He provided details on a </w:t>
      </w:r>
      <w:r>
        <w:rPr>
          <w:bCs/>
        </w:rPr>
        <w:t>proposed Office of New Americans</w:t>
      </w:r>
      <w:r w:rsidR="00651CA6">
        <w:rPr>
          <w:bCs/>
        </w:rPr>
        <w:t>,</w:t>
      </w:r>
      <w:r>
        <w:rPr>
          <w:bCs/>
        </w:rPr>
        <w:t xml:space="preserve"> </w:t>
      </w:r>
      <w:r w:rsidR="00651CA6">
        <w:rPr>
          <w:bCs/>
        </w:rPr>
        <w:t xml:space="preserve">which would </w:t>
      </w:r>
      <w:r>
        <w:rPr>
          <w:bCs/>
        </w:rPr>
        <w:t>serve immigrants and refugees</w:t>
      </w:r>
      <w:r w:rsidR="00651CA6">
        <w:rPr>
          <w:bCs/>
        </w:rPr>
        <w:t>, a vital segment of Minnesota’s population.</w:t>
      </w:r>
    </w:p>
    <w:p w14:paraId="162ABD2C" w14:textId="77777777" w:rsidR="00651CA6" w:rsidRDefault="00651CA6">
      <w:pPr>
        <w:rPr>
          <w:b/>
          <w:bCs/>
        </w:rPr>
      </w:pPr>
    </w:p>
    <w:p w14:paraId="4C06DEA4" w14:textId="61A1C5B6" w:rsidR="00CA157A" w:rsidRDefault="00651CA6">
      <w:pPr>
        <w:rPr>
          <w:bCs/>
        </w:rPr>
      </w:pPr>
      <w:r w:rsidRPr="008866DD">
        <w:rPr>
          <w:b/>
          <w:bCs/>
        </w:rPr>
        <w:t>Economic Development Awards as Drivers of Workforce Needs</w:t>
      </w:r>
    </w:p>
    <w:p w14:paraId="0ADB1379" w14:textId="77777777" w:rsidR="008C6223" w:rsidRDefault="00651CA6">
      <w:pPr>
        <w:rPr>
          <w:bCs/>
        </w:rPr>
      </w:pPr>
      <w:r>
        <w:rPr>
          <w:bCs/>
        </w:rPr>
        <w:t xml:space="preserve">Kevin McKinnon, DEED Deputy Commissioner of Economic Development, discussed DEED’s efforts to strengthen the relationship between workforce development and economic development systems. </w:t>
      </w:r>
      <w:r w:rsidR="007C527B">
        <w:rPr>
          <w:bCs/>
        </w:rPr>
        <w:t xml:space="preserve">He provided an analysis of recently awarded projects and economic impact by region, and a listing of new jobs by industry and occupation. </w:t>
      </w:r>
    </w:p>
    <w:p w14:paraId="78D8216A" w14:textId="77777777" w:rsidR="008C6223" w:rsidRDefault="008C6223">
      <w:pPr>
        <w:rPr>
          <w:bCs/>
        </w:rPr>
      </w:pPr>
    </w:p>
    <w:p w14:paraId="05DD4FCD" w14:textId="705A8ECE" w:rsidR="00F90320" w:rsidRDefault="008C6223">
      <w:pPr>
        <w:rPr>
          <w:bCs/>
        </w:rPr>
      </w:pPr>
      <w:r>
        <w:rPr>
          <w:bCs/>
        </w:rPr>
        <w:t>An overview of the Business Development process followed</w:t>
      </w:r>
      <w:r w:rsidR="00F90320">
        <w:rPr>
          <w:bCs/>
        </w:rPr>
        <w:t>, which involves an inter-relationship between Workforce Strategy Consultants, the Business Client, CareerForce, and a Regional Employer Outreach Team.</w:t>
      </w:r>
    </w:p>
    <w:p w14:paraId="5D9E230A" w14:textId="77777777" w:rsidR="00F90320" w:rsidRDefault="00F90320">
      <w:pPr>
        <w:rPr>
          <w:bCs/>
        </w:rPr>
      </w:pPr>
    </w:p>
    <w:p w14:paraId="02F2A2A3" w14:textId="77777777" w:rsidR="00F90320" w:rsidRPr="008879D1" w:rsidRDefault="00F90320" w:rsidP="00F90320">
      <w:pPr>
        <w:rPr>
          <w:b/>
          <w:bCs/>
        </w:rPr>
      </w:pPr>
      <w:r>
        <w:rPr>
          <w:b/>
          <w:bCs/>
        </w:rPr>
        <w:t>Minnesota’s Labor Market &amp; Workforce Trends</w:t>
      </w:r>
    </w:p>
    <w:p w14:paraId="49A4474A" w14:textId="600346F5" w:rsidR="00B25A76" w:rsidRDefault="00B25A76">
      <w:pPr>
        <w:rPr>
          <w:bCs/>
        </w:rPr>
      </w:pPr>
      <w:r>
        <w:rPr>
          <w:bCs/>
        </w:rPr>
        <w:t xml:space="preserve">Regional Analysis and Outreach Manager Cameron Macht guided the audience through </w:t>
      </w:r>
      <w:r w:rsidR="001B6400">
        <w:rPr>
          <w:bCs/>
        </w:rPr>
        <w:t xml:space="preserve">Minnesota’s Labor Force Trends, including unemployment statistics, labor force participation data, and future projections. Members were encouraged to reach out to the </w:t>
      </w:r>
    </w:p>
    <w:p w14:paraId="2F6E8FBB" w14:textId="037CFC11" w:rsidR="001B6400" w:rsidRDefault="002F7F21" w:rsidP="001B6400">
      <w:pPr>
        <w:rPr>
          <w:bCs/>
        </w:rPr>
      </w:pPr>
      <w:hyperlink r:id="rId10" w:history="1">
        <w:r w:rsidR="001B6400">
          <w:rPr>
            <w:rFonts w:eastAsiaTheme="minorEastAsia" w:hAnsi="Calibri"/>
            <w:b/>
            <w:bCs/>
            <w:color w:val="000000" w:themeColor="text1"/>
            <w:kern w:val="24"/>
            <w:szCs w:val="24"/>
            <w:u w:val="single"/>
          </w:rPr>
          <w:t>Labor Market Information Office</w:t>
        </w:r>
      </w:hyperlink>
      <w:r w:rsidR="001B6400" w:rsidRPr="001B6400">
        <w:rPr>
          <w:rFonts w:eastAsiaTheme="minorEastAsia" w:hAnsi="Calibri"/>
          <w:color w:val="000000" w:themeColor="text1"/>
          <w:kern w:val="24"/>
          <w:szCs w:val="24"/>
        </w:rPr>
        <w:t xml:space="preserve"> </w:t>
      </w:r>
      <w:r w:rsidR="001B6400">
        <w:rPr>
          <w:bCs/>
        </w:rPr>
        <w:t xml:space="preserve">with questions pertaining to regional </w:t>
      </w:r>
      <w:r w:rsidR="000F7745">
        <w:rPr>
          <w:bCs/>
        </w:rPr>
        <w:t xml:space="preserve">economic/workforce data and demographics. </w:t>
      </w:r>
    </w:p>
    <w:p w14:paraId="450627D2" w14:textId="3F8CBA32" w:rsidR="001B6400" w:rsidRPr="001B6400" w:rsidRDefault="001B6400" w:rsidP="001B6400">
      <w:pPr>
        <w:rPr>
          <w:rFonts w:ascii="Times New Roman" w:eastAsia="Times New Roman" w:hAnsi="Times New Roman" w:cs="Times New Roman"/>
          <w:szCs w:val="24"/>
        </w:rPr>
      </w:pPr>
    </w:p>
    <w:p w14:paraId="131B22CE" w14:textId="6CDED218" w:rsidR="00B25A76" w:rsidRDefault="00B25A76">
      <w:pPr>
        <w:rPr>
          <w:bCs/>
        </w:rPr>
      </w:pPr>
    </w:p>
    <w:p w14:paraId="3B2ECC38" w14:textId="0D5D5098" w:rsidR="000F7745" w:rsidRDefault="000F7745">
      <w:pPr>
        <w:rPr>
          <w:bCs/>
        </w:rPr>
      </w:pPr>
    </w:p>
    <w:p w14:paraId="4FE99F4D" w14:textId="77777777" w:rsidR="000F7745" w:rsidRDefault="000F7745">
      <w:pPr>
        <w:rPr>
          <w:bCs/>
        </w:rPr>
      </w:pPr>
    </w:p>
    <w:p w14:paraId="7639F345" w14:textId="77777777" w:rsidR="00B25A76" w:rsidRDefault="00F90320" w:rsidP="00B25A76">
      <w:pPr>
        <w:rPr>
          <w:b/>
          <w:bCs/>
        </w:rPr>
      </w:pPr>
      <w:r>
        <w:rPr>
          <w:bCs/>
        </w:rPr>
        <w:t xml:space="preserve"> </w:t>
      </w:r>
      <w:r w:rsidR="00B25A76">
        <w:rPr>
          <w:b/>
          <w:bCs/>
        </w:rPr>
        <w:t>WIOA State Plan Modifications</w:t>
      </w:r>
    </w:p>
    <w:p w14:paraId="5EAFE645" w14:textId="34A8AF5D" w:rsidR="005A6063" w:rsidRDefault="00F90320">
      <w:pPr>
        <w:rPr>
          <w:bCs/>
        </w:rPr>
      </w:pPr>
      <w:r>
        <w:rPr>
          <w:bCs/>
        </w:rPr>
        <w:t xml:space="preserve"> </w:t>
      </w:r>
      <w:r w:rsidR="000F7745">
        <w:rPr>
          <w:bCs/>
        </w:rPr>
        <w:t xml:space="preserve">GWDB Director Ben Baglio walked through the overarching goals of the Workforce Innovation and Opportunity Act (WIOA), passed by Congress in 2014. He </w:t>
      </w:r>
      <w:r w:rsidR="005A6063">
        <w:rPr>
          <w:bCs/>
        </w:rPr>
        <w:t>gave</w:t>
      </w:r>
      <w:r w:rsidR="000F7745">
        <w:rPr>
          <w:bCs/>
        </w:rPr>
        <w:t xml:space="preserve"> a refresher on the </w:t>
      </w:r>
      <w:r w:rsidR="002F2ACF">
        <w:rPr>
          <w:bCs/>
        </w:rPr>
        <w:t>WIOA State Combined Plan and</w:t>
      </w:r>
      <w:r w:rsidR="005A6063">
        <w:rPr>
          <w:bCs/>
        </w:rPr>
        <w:t xml:space="preserve"> reviewed proposed modifications, which are </w:t>
      </w:r>
      <w:r w:rsidR="002F2ACF">
        <w:rPr>
          <w:bCs/>
        </w:rPr>
        <w:t xml:space="preserve">required </w:t>
      </w:r>
      <w:r w:rsidR="005A6063">
        <w:rPr>
          <w:bCs/>
        </w:rPr>
        <w:t xml:space="preserve">to be submitted to the U.S. Department of Labor </w:t>
      </w:r>
      <w:r w:rsidR="002F7F21">
        <w:rPr>
          <w:bCs/>
        </w:rPr>
        <w:t>by</w:t>
      </w:r>
      <w:r w:rsidR="005A6063">
        <w:rPr>
          <w:bCs/>
        </w:rPr>
        <w:t xml:space="preserve"> March 15, 2022. </w:t>
      </w:r>
    </w:p>
    <w:p w14:paraId="322161E7" w14:textId="77777777" w:rsidR="005A6063" w:rsidRDefault="005A6063">
      <w:pPr>
        <w:rPr>
          <w:bCs/>
        </w:rPr>
      </w:pPr>
    </w:p>
    <w:p w14:paraId="58440968" w14:textId="7644740A" w:rsidR="00B25A76" w:rsidRDefault="002F2ACF">
      <w:pPr>
        <w:rPr>
          <w:bCs/>
        </w:rPr>
      </w:pPr>
      <w:r>
        <w:rPr>
          <w:bCs/>
        </w:rPr>
        <w:t xml:space="preserve">GWDB’s Operations Committee voted </w:t>
      </w:r>
      <w:r w:rsidR="005A6063">
        <w:rPr>
          <w:bCs/>
        </w:rPr>
        <w:t xml:space="preserve">unanimously </w:t>
      </w:r>
      <w:r>
        <w:rPr>
          <w:bCs/>
        </w:rPr>
        <w:t xml:space="preserve">at its March </w:t>
      </w:r>
      <w:r w:rsidR="009E3135">
        <w:rPr>
          <w:bCs/>
        </w:rPr>
        <w:t>3</w:t>
      </w:r>
      <w:r>
        <w:rPr>
          <w:bCs/>
        </w:rPr>
        <w:t>, 2022 meeting to approve</w:t>
      </w:r>
      <w:r w:rsidR="005A6063">
        <w:rPr>
          <w:bCs/>
        </w:rPr>
        <w:t xml:space="preserve"> the current plan modification. Chair Loren Nelson made a motion to authorize GWDB staff to submit the modification to USDOL. Shirley Barnes seconded the motion and it passed.</w:t>
      </w:r>
    </w:p>
    <w:p w14:paraId="6D89F7D8" w14:textId="60F601D8" w:rsidR="00B25A76" w:rsidRDefault="00B25A76">
      <w:pPr>
        <w:rPr>
          <w:bCs/>
        </w:rPr>
      </w:pPr>
    </w:p>
    <w:p w14:paraId="58B1965B" w14:textId="21D36017" w:rsidR="00B25A76" w:rsidRDefault="00B25A76">
      <w:pPr>
        <w:rPr>
          <w:bCs/>
        </w:rPr>
      </w:pPr>
      <w:r>
        <w:rPr>
          <w:bCs/>
        </w:rPr>
        <w:t xml:space="preserve">A Question &amp; Answer period followed the presentations. PowerPoint slides </w:t>
      </w:r>
      <w:r w:rsidR="000F7745">
        <w:rPr>
          <w:bCs/>
        </w:rPr>
        <w:t xml:space="preserve">from today’s meeting </w:t>
      </w:r>
      <w:r>
        <w:rPr>
          <w:bCs/>
        </w:rPr>
        <w:t xml:space="preserve">are available on the </w:t>
      </w:r>
      <w:hyperlink r:id="rId11" w:history="1">
        <w:r w:rsidRPr="00B25A76">
          <w:rPr>
            <w:rStyle w:val="Hyperlink"/>
            <w:bCs/>
          </w:rPr>
          <w:t>GWDB web site</w:t>
        </w:r>
      </w:hyperlink>
      <w:r>
        <w:rPr>
          <w:bCs/>
        </w:rPr>
        <w:t xml:space="preserve"> under the Materials tab. </w:t>
      </w:r>
    </w:p>
    <w:p w14:paraId="45D8EF7D" w14:textId="73573A16" w:rsidR="00651CA6" w:rsidRPr="00284AC4" w:rsidRDefault="00651CA6">
      <w:pPr>
        <w:rPr>
          <w:bCs/>
        </w:rPr>
      </w:pPr>
    </w:p>
    <w:p w14:paraId="5902D38F" w14:textId="00E624EB" w:rsidR="00686EDC" w:rsidRPr="00B70CD9" w:rsidRDefault="00686EDC">
      <w:pPr>
        <w:rPr>
          <w:b/>
          <w:bCs/>
        </w:rPr>
      </w:pPr>
      <w:r w:rsidRPr="00B70CD9">
        <w:rPr>
          <w:b/>
          <w:bCs/>
        </w:rPr>
        <w:t>Adjournment</w:t>
      </w:r>
    </w:p>
    <w:p w14:paraId="13D357D0" w14:textId="68B9D644" w:rsidR="004B431D" w:rsidRPr="004B431D" w:rsidRDefault="004B431D" w:rsidP="004B431D">
      <w:pPr>
        <w:rPr>
          <w:rFonts w:cstheme="minorHAnsi"/>
        </w:rPr>
      </w:pPr>
      <w:r>
        <w:rPr>
          <w:rFonts w:cstheme="minorHAnsi"/>
        </w:rPr>
        <w:t xml:space="preserve">A motion to adjourn was made by </w:t>
      </w:r>
      <w:r w:rsidR="007C527B">
        <w:rPr>
          <w:rFonts w:cstheme="minorHAnsi"/>
        </w:rPr>
        <w:t xml:space="preserve">Scott Parker and Sam Heimlich </w:t>
      </w:r>
      <w:r>
        <w:rPr>
          <w:rFonts w:cstheme="minorHAnsi"/>
        </w:rPr>
        <w:t xml:space="preserve">seconded the motion. The meeting was adjourned at </w:t>
      </w:r>
      <w:r w:rsidR="00F45446">
        <w:rPr>
          <w:rFonts w:cstheme="minorHAnsi"/>
        </w:rPr>
        <w:t>12:00 Noon.</w:t>
      </w:r>
      <w:r>
        <w:rPr>
          <w:rFonts w:cstheme="minorHAnsi"/>
        </w:rPr>
        <w:t xml:space="preserve"> </w:t>
      </w:r>
      <w:r w:rsidRPr="004B431D">
        <w:rPr>
          <w:rFonts w:cstheme="minorHAnsi"/>
        </w:rPr>
        <w:t xml:space="preserve"> </w:t>
      </w:r>
    </w:p>
    <w:p w14:paraId="2DDC8BA6" w14:textId="77777777" w:rsidR="004B431D" w:rsidRPr="00B70CD9" w:rsidRDefault="004B431D" w:rsidP="004B431D">
      <w:pPr>
        <w:rPr>
          <w:rFonts w:cstheme="minorHAnsi"/>
        </w:rPr>
      </w:pPr>
    </w:p>
    <w:p w14:paraId="498DBC29" w14:textId="3BFF3795" w:rsidR="00686EDC" w:rsidRPr="007074E6" w:rsidRDefault="00686EDC">
      <w:pPr>
        <w:rPr>
          <w:b/>
          <w:bCs/>
          <w:i/>
          <w:iCs/>
        </w:rPr>
      </w:pPr>
      <w:r w:rsidRPr="00686EDC">
        <w:rPr>
          <w:i/>
          <w:iCs/>
        </w:rPr>
        <w:t>The next meeting of the Governor’s Workforce Development Board</w:t>
      </w:r>
      <w:r w:rsidR="00A2424E">
        <w:rPr>
          <w:i/>
          <w:iCs/>
        </w:rPr>
        <w:t xml:space="preserve"> </w:t>
      </w:r>
      <w:r w:rsidRPr="00686EDC">
        <w:rPr>
          <w:i/>
          <w:iCs/>
        </w:rPr>
        <w:t xml:space="preserve">is scheduled </w:t>
      </w:r>
      <w:r w:rsidRPr="007074E6">
        <w:rPr>
          <w:b/>
          <w:bCs/>
          <w:i/>
          <w:iCs/>
        </w:rPr>
        <w:t xml:space="preserve">from </w:t>
      </w:r>
      <w:r w:rsidR="00F45446">
        <w:rPr>
          <w:b/>
          <w:bCs/>
          <w:i/>
          <w:iCs/>
        </w:rPr>
        <w:t>2</w:t>
      </w:r>
      <w:r w:rsidR="007074E6" w:rsidRPr="007074E6">
        <w:rPr>
          <w:b/>
          <w:bCs/>
          <w:i/>
          <w:iCs/>
        </w:rPr>
        <w:t>:00</w:t>
      </w:r>
      <w:r w:rsidRPr="007074E6">
        <w:rPr>
          <w:b/>
          <w:bCs/>
          <w:i/>
          <w:iCs/>
        </w:rPr>
        <w:t xml:space="preserve"> to </w:t>
      </w:r>
      <w:r w:rsidR="00F45446">
        <w:rPr>
          <w:b/>
          <w:bCs/>
          <w:i/>
          <w:iCs/>
        </w:rPr>
        <w:t>4</w:t>
      </w:r>
      <w:r w:rsidR="007F3F47" w:rsidRPr="007074E6">
        <w:rPr>
          <w:b/>
          <w:bCs/>
          <w:i/>
          <w:iCs/>
        </w:rPr>
        <w:t xml:space="preserve">:00 </w:t>
      </w:r>
      <w:r w:rsidR="00F45446">
        <w:rPr>
          <w:b/>
          <w:bCs/>
          <w:i/>
          <w:iCs/>
        </w:rPr>
        <w:t xml:space="preserve">p.m. </w:t>
      </w:r>
      <w:r w:rsidRPr="007074E6">
        <w:rPr>
          <w:b/>
          <w:bCs/>
          <w:i/>
          <w:iCs/>
        </w:rPr>
        <w:t>on</w:t>
      </w:r>
      <w:r w:rsidR="007074E6">
        <w:rPr>
          <w:b/>
          <w:bCs/>
          <w:i/>
          <w:iCs/>
        </w:rPr>
        <w:t xml:space="preserve"> Wednesday,</w:t>
      </w:r>
      <w:r w:rsidRPr="007074E6">
        <w:rPr>
          <w:b/>
          <w:bCs/>
          <w:i/>
          <w:iCs/>
        </w:rPr>
        <w:t xml:space="preserve"> </w:t>
      </w:r>
      <w:r w:rsidR="00F45446">
        <w:rPr>
          <w:b/>
          <w:bCs/>
          <w:i/>
          <w:iCs/>
        </w:rPr>
        <w:t xml:space="preserve">August 24, 2022 </w:t>
      </w:r>
      <w:r w:rsidRPr="007074E6">
        <w:rPr>
          <w:b/>
          <w:bCs/>
          <w:i/>
          <w:iCs/>
        </w:rPr>
        <w:t xml:space="preserve">via Zoom.  </w:t>
      </w:r>
    </w:p>
    <w:p w14:paraId="481D5EDE" w14:textId="3AAE952F" w:rsidR="00686EDC" w:rsidRPr="00686EDC" w:rsidRDefault="00686EDC">
      <w:pPr>
        <w:rPr>
          <w:i/>
          <w:iCs/>
        </w:rPr>
      </w:pPr>
      <w:r w:rsidRPr="00686EDC">
        <w:rPr>
          <w:i/>
          <w:iCs/>
        </w:rPr>
        <w:t xml:space="preserve"> </w:t>
      </w:r>
    </w:p>
    <w:p w14:paraId="123BD349" w14:textId="77777777" w:rsidR="00686EDC" w:rsidRPr="00686EDC" w:rsidRDefault="00686EDC">
      <w:pPr>
        <w:rPr>
          <w:i/>
          <w:iCs/>
        </w:rPr>
      </w:pPr>
    </w:p>
    <w:sectPr w:rsidR="00686EDC" w:rsidRPr="00686EDC" w:rsidSect="00B9382A">
      <w:headerReference w:type="even" r:id="rId12"/>
      <w:headerReference w:type="default" r:id="rId13"/>
      <w:footerReference w:type="even" r:id="rId14"/>
      <w:footerReference w:type="default" r:id="rId15"/>
      <w:headerReference w:type="first" r:id="rId16"/>
      <w:footerReference w:type="first" r:id="rId1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4A06A" w14:textId="77777777" w:rsidR="00FF520C" w:rsidRDefault="00FF520C" w:rsidP="00CA3B59">
      <w:r>
        <w:separator/>
      </w:r>
    </w:p>
  </w:endnote>
  <w:endnote w:type="continuationSeparator" w:id="0">
    <w:p w14:paraId="117A87F1" w14:textId="77777777" w:rsidR="00FF520C" w:rsidRDefault="00FF520C" w:rsidP="00CA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94D9" w14:textId="77777777" w:rsidR="00E44A56" w:rsidRDefault="00E44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896117"/>
      <w:docPartObj>
        <w:docPartGallery w:val="Page Numbers (Bottom of Page)"/>
        <w:docPartUnique/>
      </w:docPartObj>
    </w:sdtPr>
    <w:sdtEndPr>
      <w:rPr>
        <w:noProof/>
      </w:rPr>
    </w:sdtEndPr>
    <w:sdtContent>
      <w:p w14:paraId="0E780C1C" w14:textId="64D43E6C" w:rsidR="00AA1485" w:rsidRDefault="00AA14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DC2637" w14:textId="77777777" w:rsidR="009623E5" w:rsidRDefault="00962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B2A9" w14:textId="77777777" w:rsidR="00E44A56" w:rsidRDefault="00E44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48972" w14:textId="77777777" w:rsidR="00FF520C" w:rsidRDefault="00FF520C" w:rsidP="00CA3B59">
      <w:r>
        <w:separator/>
      </w:r>
    </w:p>
  </w:footnote>
  <w:footnote w:type="continuationSeparator" w:id="0">
    <w:p w14:paraId="12357A12" w14:textId="77777777" w:rsidR="00FF520C" w:rsidRDefault="00FF520C" w:rsidP="00CA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4CA5" w14:textId="77777777" w:rsidR="00E44A56" w:rsidRDefault="00E4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166E" w14:textId="743D265D" w:rsidR="009623E5" w:rsidRDefault="00962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7A1F" w14:textId="77777777" w:rsidR="00E44A56" w:rsidRDefault="00E44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4089C"/>
    <w:multiLevelType w:val="hybridMultilevel"/>
    <w:tmpl w:val="E60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A4457"/>
    <w:multiLevelType w:val="hybridMultilevel"/>
    <w:tmpl w:val="E72C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B59"/>
    <w:rsid w:val="00006208"/>
    <w:rsid w:val="0001215E"/>
    <w:rsid w:val="00064324"/>
    <w:rsid w:val="00077F19"/>
    <w:rsid w:val="000A62AA"/>
    <w:rsid w:val="000F7745"/>
    <w:rsid w:val="0011002B"/>
    <w:rsid w:val="00180C60"/>
    <w:rsid w:val="001B6400"/>
    <w:rsid w:val="001C555C"/>
    <w:rsid w:val="001D7652"/>
    <w:rsid w:val="002251E5"/>
    <w:rsid w:val="002553EB"/>
    <w:rsid w:val="00284AC4"/>
    <w:rsid w:val="002D49F3"/>
    <w:rsid w:val="002F2ACF"/>
    <w:rsid w:val="002F7F21"/>
    <w:rsid w:val="003154F7"/>
    <w:rsid w:val="00321A3C"/>
    <w:rsid w:val="00322694"/>
    <w:rsid w:val="00364C64"/>
    <w:rsid w:val="003A49A6"/>
    <w:rsid w:val="003D21EB"/>
    <w:rsid w:val="004B1A9B"/>
    <w:rsid w:val="004B431D"/>
    <w:rsid w:val="004E0B95"/>
    <w:rsid w:val="00520994"/>
    <w:rsid w:val="005A5A7D"/>
    <w:rsid w:val="005A5FBD"/>
    <w:rsid w:val="005A6063"/>
    <w:rsid w:val="00647FCE"/>
    <w:rsid w:val="00651CA6"/>
    <w:rsid w:val="00686B17"/>
    <w:rsid w:val="00686EDC"/>
    <w:rsid w:val="006C1A9B"/>
    <w:rsid w:val="0070382F"/>
    <w:rsid w:val="007074E6"/>
    <w:rsid w:val="00720B66"/>
    <w:rsid w:val="00734EF2"/>
    <w:rsid w:val="00775200"/>
    <w:rsid w:val="00780294"/>
    <w:rsid w:val="00782678"/>
    <w:rsid w:val="00796493"/>
    <w:rsid w:val="007C527B"/>
    <w:rsid w:val="007C591B"/>
    <w:rsid w:val="007C6072"/>
    <w:rsid w:val="007E7925"/>
    <w:rsid w:val="007F3F47"/>
    <w:rsid w:val="008022F7"/>
    <w:rsid w:val="00886ED0"/>
    <w:rsid w:val="008951A8"/>
    <w:rsid w:val="008B4CA2"/>
    <w:rsid w:val="008C6223"/>
    <w:rsid w:val="00950A91"/>
    <w:rsid w:val="009522C0"/>
    <w:rsid w:val="00955DBB"/>
    <w:rsid w:val="009623E5"/>
    <w:rsid w:val="009B5D7E"/>
    <w:rsid w:val="009E3135"/>
    <w:rsid w:val="009E38F9"/>
    <w:rsid w:val="009E4582"/>
    <w:rsid w:val="00A02784"/>
    <w:rsid w:val="00A2424E"/>
    <w:rsid w:val="00A37AED"/>
    <w:rsid w:val="00A60477"/>
    <w:rsid w:val="00A735F7"/>
    <w:rsid w:val="00AA1485"/>
    <w:rsid w:val="00AC57EA"/>
    <w:rsid w:val="00B1518A"/>
    <w:rsid w:val="00B20C6B"/>
    <w:rsid w:val="00B25A76"/>
    <w:rsid w:val="00B70CD9"/>
    <w:rsid w:val="00B768A8"/>
    <w:rsid w:val="00B9382A"/>
    <w:rsid w:val="00BC6DFC"/>
    <w:rsid w:val="00CA157A"/>
    <w:rsid w:val="00CA3B59"/>
    <w:rsid w:val="00CB5EBE"/>
    <w:rsid w:val="00CB6577"/>
    <w:rsid w:val="00CD4CF7"/>
    <w:rsid w:val="00CE7677"/>
    <w:rsid w:val="00D23F3A"/>
    <w:rsid w:val="00D7102C"/>
    <w:rsid w:val="00D957C5"/>
    <w:rsid w:val="00DB0226"/>
    <w:rsid w:val="00DC7DDA"/>
    <w:rsid w:val="00E16718"/>
    <w:rsid w:val="00E20E85"/>
    <w:rsid w:val="00E22A1B"/>
    <w:rsid w:val="00E44A56"/>
    <w:rsid w:val="00E6275D"/>
    <w:rsid w:val="00E658F5"/>
    <w:rsid w:val="00E80DEA"/>
    <w:rsid w:val="00EA38D2"/>
    <w:rsid w:val="00EC0F29"/>
    <w:rsid w:val="00EC7325"/>
    <w:rsid w:val="00EF0F24"/>
    <w:rsid w:val="00EF31CA"/>
    <w:rsid w:val="00F10A11"/>
    <w:rsid w:val="00F45446"/>
    <w:rsid w:val="00F4565C"/>
    <w:rsid w:val="00F80202"/>
    <w:rsid w:val="00F80752"/>
    <w:rsid w:val="00F90320"/>
    <w:rsid w:val="00F94328"/>
    <w:rsid w:val="00FF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0FA40F"/>
  <w15:chartTrackingRefBased/>
  <w15:docId w15:val="{F0743395-8DB1-4499-9F06-17833855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B59"/>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B59"/>
    <w:pPr>
      <w:tabs>
        <w:tab w:val="center" w:pos="4680"/>
        <w:tab w:val="right" w:pos="9360"/>
      </w:tabs>
    </w:pPr>
  </w:style>
  <w:style w:type="character" w:customStyle="1" w:styleId="HeaderChar">
    <w:name w:val="Header Char"/>
    <w:basedOn w:val="DefaultParagraphFont"/>
    <w:link w:val="Header"/>
    <w:uiPriority w:val="99"/>
    <w:rsid w:val="00CA3B59"/>
    <w:rPr>
      <w:sz w:val="24"/>
    </w:rPr>
  </w:style>
  <w:style w:type="paragraph" w:styleId="Footer">
    <w:name w:val="footer"/>
    <w:basedOn w:val="Normal"/>
    <w:link w:val="FooterChar"/>
    <w:uiPriority w:val="99"/>
    <w:unhideWhenUsed/>
    <w:rsid w:val="00CA3B59"/>
    <w:pPr>
      <w:tabs>
        <w:tab w:val="center" w:pos="4680"/>
        <w:tab w:val="right" w:pos="9360"/>
      </w:tabs>
    </w:pPr>
  </w:style>
  <w:style w:type="character" w:customStyle="1" w:styleId="FooterChar">
    <w:name w:val="Footer Char"/>
    <w:basedOn w:val="DefaultParagraphFont"/>
    <w:link w:val="Footer"/>
    <w:uiPriority w:val="99"/>
    <w:rsid w:val="00CA3B59"/>
    <w:rPr>
      <w:sz w:val="24"/>
    </w:rPr>
  </w:style>
  <w:style w:type="character" w:styleId="Hyperlink">
    <w:name w:val="Hyperlink"/>
    <w:basedOn w:val="DefaultParagraphFont"/>
    <w:uiPriority w:val="99"/>
    <w:unhideWhenUsed/>
    <w:rsid w:val="00CB5EBE"/>
    <w:rPr>
      <w:color w:val="0563C1" w:themeColor="hyperlink"/>
      <w:u w:val="single"/>
    </w:rPr>
  </w:style>
  <w:style w:type="character" w:styleId="UnresolvedMention">
    <w:name w:val="Unresolved Mention"/>
    <w:basedOn w:val="DefaultParagraphFont"/>
    <w:uiPriority w:val="99"/>
    <w:semiHidden/>
    <w:unhideWhenUsed/>
    <w:rsid w:val="00CB5EBE"/>
    <w:rPr>
      <w:color w:val="605E5C"/>
      <w:shd w:val="clear" w:color="auto" w:fill="E1DFDD"/>
    </w:rPr>
  </w:style>
  <w:style w:type="paragraph" w:styleId="NormalWeb">
    <w:name w:val="Normal (Web)"/>
    <w:basedOn w:val="Normal"/>
    <w:uiPriority w:val="99"/>
    <w:semiHidden/>
    <w:unhideWhenUsed/>
    <w:rsid w:val="00F4565C"/>
    <w:pPr>
      <w:spacing w:before="100" w:beforeAutospacing="1" w:after="100" w:afterAutospacing="1"/>
    </w:pPr>
    <w:rPr>
      <w:rFonts w:ascii="Times New Roman" w:eastAsia="Times New Roman" w:hAnsi="Times New Roman" w:cs="Times New Roman"/>
      <w:szCs w:val="24"/>
    </w:rPr>
  </w:style>
  <w:style w:type="paragraph" w:styleId="ListParagraph">
    <w:name w:val="List Paragraph"/>
    <w:basedOn w:val="Normal"/>
    <w:uiPriority w:val="34"/>
    <w:qFormat/>
    <w:rsid w:val="00CD4CF7"/>
    <w:pPr>
      <w:ind w:left="720"/>
      <w:contextualSpacing/>
    </w:pPr>
    <w:rPr>
      <w:rFonts w:ascii="Cambria" w:hAnsi="Cambria"/>
      <w:sz w:val="22"/>
    </w:rPr>
  </w:style>
  <w:style w:type="character" w:styleId="FollowedHyperlink">
    <w:name w:val="FollowedHyperlink"/>
    <w:basedOn w:val="DefaultParagraphFont"/>
    <w:uiPriority w:val="99"/>
    <w:semiHidden/>
    <w:unhideWhenUsed/>
    <w:rsid w:val="00B25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26429">
      <w:bodyDiv w:val="1"/>
      <w:marLeft w:val="0"/>
      <w:marRight w:val="0"/>
      <w:marTop w:val="0"/>
      <w:marBottom w:val="0"/>
      <w:divBdr>
        <w:top w:val="none" w:sz="0" w:space="0" w:color="auto"/>
        <w:left w:val="none" w:sz="0" w:space="0" w:color="auto"/>
        <w:bottom w:val="none" w:sz="0" w:space="0" w:color="auto"/>
        <w:right w:val="none" w:sz="0" w:space="0" w:color="auto"/>
      </w:divBdr>
    </w:div>
    <w:div w:id="1530682947">
      <w:bodyDiv w:val="1"/>
      <w:marLeft w:val="0"/>
      <w:marRight w:val="0"/>
      <w:marTop w:val="0"/>
      <w:marBottom w:val="0"/>
      <w:divBdr>
        <w:top w:val="none" w:sz="0" w:space="0" w:color="auto"/>
        <w:left w:val="none" w:sz="0" w:space="0" w:color="auto"/>
        <w:bottom w:val="none" w:sz="0" w:space="0" w:color="auto"/>
        <w:right w:val="none" w:sz="0" w:space="0" w:color="auto"/>
      </w:divBdr>
    </w:div>
    <w:div w:id="1798329310">
      <w:bodyDiv w:val="1"/>
      <w:marLeft w:val="0"/>
      <w:marRight w:val="0"/>
      <w:marTop w:val="0"/>
      <w:marBottom w:val="0"/>
      <w:divBdr>
        <w:top w:val="none" w:sz="0" w:space="0" w:color="auto"/>
        <w:left w:val="none" w:sz="0" w:space="0" w:color="auto"/>
        <w:bottom w:val="none" w:sz="0" w:space="0" w:color="auto"/>
        <w:right w:val="none" w:sz="0" w:space="0" w:color="auto"/>
      </w:divBdr>
    </w:div>
    <w:div w:id="190737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gov/deed/gwdb/about/gwd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mn.gov/deed/da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3227EF-5687-4170-8504-799CE435B4D3}">
  <ds:schemaRefs>
    <ds:schemaRef ds:uri="http://schemas.openxmlformats.org/officeDocument/2006/bibliography"/>
  </ds:schemaRefs>
</ds:datastoreItem>
</file>

<file path=customXml/itemProps2.xml><?xml version="1.0" encoding="utf-8"?>
<ds:datastoreItem xmlns:ds="http://schemas.openxmlformats.org/officeDocument/2006/customXml" ds:itemID="{C4880B9A-05C9-472D-93F6-677786AC9180}"/>
</file>

<file path=customXml/itemProps3.xml><?xml version="1.0" encoding="utf-8"?>
<ds:datastoreItem xmlns:ds="http://schemas.openxmlformats.org/officeDocument/2006/customXml" ds:itemID="{AD7CEE35-2428-453F-9F76-D2639A421F1E}"/>
</file>

<file path=customXml/itemProps4.xml><?xml version="1.0" encoding="utf-8"?>
<ds:datastoreItem xmlns:ds="http://schemas.openxmlformats.org/officeDocument/2006/customXml" ds:itemID="{4A983602-C76E-4696-AC42-80C03F64C9DF}"/>
</file>

<file path=docProps/app.xml><?xml version="1.0" encoding="utf-8"?>
<Properties xmlns="http://schemas.openxmlformats.org/officeDocument/2006/extended-properties" xmlns:vt="http://schemas.openxmlformats.org/officeDocument/2006/docPropsVTypes">
  <Template>Normal</Template>
  <TotalTime>1899</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Kammen, Kay (DEED)</dc:creator>
  <cp:keywords/>
  <dc:description/>
  <cp:lastModifiedBy>Kammen, Kay (DEED)</cp:lastModifiedBy>
  <cp:revision>6</cp:revision>
  <dcterms:created xsi:type="dcterms:W3CDTF">2022-08-17T14:48:00Z</dcterms:created>
  <dcterms:modified xsi:type="dcterms:W3CDTF">2022-08-18T23:08:00Z</dcterms:modified>
</cp:coreProperties>
</file>