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8CE" w14:textId="37008994" w:rsidR="00E64323" w:rsidRPr="003A155E" w:rsidRDefault="00E64323">
      <w:pPr>
        <w:rPr>
          <w:rFonts w:ascii="Segoe UI" w:hAnsi="Segoe UI" w:cs="Segoe UI"/>
          <w:b/>
          <w:bCs/>
          <w:sz w:val="24"/>
          <w:szCs w:val="24"/>
        </w:rPr>
      </w:pPr>
      <w:r w:rsidRPr="00E64323">
        <w:rPr>
          <w:rFonts w:ascii="Segoe UI" w:hAnsi="Segoe UI" w:cs="Segoe UI"/>
          <w:b/>
          <w:bCs/>
          <w:sz w:val="24"/>
          <w:szCs w:val="24"/>
        </w:rPr>
        <w:t>Applications window for Point Source Implementation Grant Program (PSIG) now open</w:t>
      </w:r>
    </w:p>
    <w:p w14:paraId="05F3E39A" w14:textId="05A7E123" w:rsidR="00E64323" w:rsidRDefault="00E6432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Minnesota Public Facilities Authority (MPFA) is accepting applications for the PSIG program from July 1, 202</w:t>
      </w:r>
      <w:r w:rsidR="004D1850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 xml:space="preserve"> through July 31, 202</w:t>
      </w:r>
      <w:r w:rsidR="004D1850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 xml:space="preserve"> for grant awards during Fiscal Year 202</w:t>
      </w:r>
      <w:r w:rsidR="004D1850">
        <w:rPr>
          <w:rFonts w:ascii="Segoe UI" w:hAnsi="Segoe UI" w:cs="Segoe UI"/>
          <w:sz w:val="24"/>
          <w:szCs w:val="24"/>
        </w:rPr>
        <w:t>7</w:t>
      </w:r>
      <w:r>
        <w:rPr>
          <w:rFonts w:ascii="Segoe UI" w:hAnsi="Segoe UI" w:cs="Segoe UI"/>
          <w:sz w:val="24"/>
          <w:szCs w:val="24"/>
        </w:rPr>
        <w:t xml:space="preserve">. Eligible projects are those that expect to </w:t>
      </w:r>
      <w:r w:rsidR="00F76A4B">
        <w:rPr>
          <w:rFonts w:ascii="Segoe UI" w:hAnsi="Segoe UI" w:cs="Segoe UI"/>
          <w:sz w:val="24"/>
          <w:szCs w:val="24"/>
        </w:rPr>
        <w:t xml:space="preserve">start </w:t>
      </w:r>
      <w:r>
        <w:rPr>
          <w:rFonts w:ascii="Segoe UI" w:hAnsi="Segoe UI" w:cs="Segoe UI"/>
          <w:sz w:val="24"/>
          <w:szCs w:val="24"/>
        </w:rPr>
        <w:t xml:space="preserve">construction by </w:t>
      </w:r>
      <w:r w:rsidR="00F76A4B">
        <w:rPr>
          <w:rFonts w:ascii="Segoe UI" w:hAnsi="Segoe UI" w:cs="Segoe UI"/>
          <w:sz w:val="24"/>
          <w:szCs w:val="24"/>
        </w:rPr>
        <w:t>June 30, 202</w:t>
      </w:r>
      <w:r w:rsidR="004D1850">
        <w:rPr>
          <w:rFonts w:ascii="Segoe UI" w:hAnsi="Segoe UI" w:cs="Segoe UI"/>
          <w:sz w:val="24"/>
          <w:szCs w:val="24"/>
        </w:rPr>
        <w:t>7</w:t>
      </w:r>
      <w:r w:rsidR="00F76A4B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Grant application </w:t>
      </w:r>
      <w:hyperlink r:id="rId5" w:history="1">
        <w:r w:rsidRPr="003A155E">
          <w:rPr>
            <w:rStyle w:val="Hyperlink"/>
            <w:rFonts w:ascii="Segoe UI" w:hAnsi="Segoe UI" w:cs="Segoe UI"/>
            <w:sz w:val="24"/>
            <w:szCs w:val="24"/>
          </w:rPr>
          <w:t>forms</w:t>
        </w:r>
      </w:hyperlink>
      <w:r>
        <w:rPr>
          <w:rFonts w:ascii="Segoe UI" w:hAnsi="Segoe UI" w:cs="Segoe UI"/>
          <w:sz w:val="24"/>
          <w:szCs w:val="24"/>
        </w:rPr>
        <w:t xml:space="preserve"> are available on the MPFA </w:t>
      </w:r>
      <w:hyperlink r:id="rId6" w:history="1">
        <w:r w:rsidRPr="00E64323">
          <w:rPr>
            <w:rStyle w:val="Hyperlink"/>
            <w:rFonts w:ascii="Segoe UI" w:hAnsi="Segoe UI" w:cs="Segoe UI"/>
            <w:sz w:val="24"/>
            <w:szCs w:val="24"/>
          </w:rPr>
          <w:t>website</w:t>
        </w:r>
      </w:hyperlink>
      <w:r>
        <w:rPr>
          <w:rFonts w:ascii="Segoe UI" w:hAnsi="Segoe UI" w:cs="Segoe UI"/>
          <w:sz w:val="24"/>
          <w:szCs w:val="24"/>
        </w:rPr>
        <w:t>. Applications must be received by July 31, 202</w:t>
      </w:r>
      <w:r w:rsidR="004D1850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 xml:space="preserve"> to be considered. </w:t>
      </w:r>
      <w:r w:rsidR="003A155E">
        <w:rPr>
          <w:rFonts w:ascii="Segoe UI" w:hAnsi="Segoe UI" w:cs="Segoe UI"/>
          <w:sz w:val="24"/>
          <w:szCs w:val="24"/>
        </w:rPr>
        <w:t xml:space="preserve">Submit completed applications to </w:t>
      </w:r>
      <w:hyperlink r:id="rId7" w:history="1">
        <w:r w:rsidR="00F76A4B" w:rsidRPr="00F76A4B">
          <w:rPr>
            <w:rStyle w:val="Hyperlink"/>
            <w:rFonts w:ascii="Segoe UI" w:hAnsi="Segoe UI" w:cs="Segoe UI"/>
            <w:sz w:val="24"/>
            <w:szCs w:val="24"/>
          </w:rPr>
          <w:t>MPFA loan officers</w:t>
        </w:r>
      </w:hyperlink>
      <w:r w:rsidR="00F76A4B">
        <w:rPr>
          <w:rFonts w:ascii="Segoe UI" w:hAnsi="Segoe UI" w:cs="Segoe UI"/>
          <w:sz w:val="24"/>
          <w:szCs w:val="24"/>
        </w:rPr>
        <w:t xml:space="preserve">. </w:t>
      </w:r>
    </w:p>
    <w:p w14:paraId="301F201A" w14:textId="5A3E2A4F" w:rsidR="003A155E" w:rsidRPr="003A155E" w:rsidRDefault="003A155E" w:rsidP="003A155E">
      <w:pPr>
        <w:rPr>
          <w:rFonts w:ascii="Segoe UI" w:hAnsi="Segoe UI" w:cs="Segoe UI"/>
          <w:sz w:val="24"/>
          <w:szCs w:val="24"/>
        </w:rPr>
      </w:pPr>
      <w:r w:rsidRPr="003A155E">
        <w:rPr>
          <w:rFonts w:ascii="Segoe UI" w:hAnsi="Segoe UI" w:cs="Segoe UI"/>
          <w:sz w:val="24"/>
          <w:szCs w:val="24"/>
        </w:rPr>
        <w:t>Applicants that previously submitted PSIG application</w:t>
      </w:r>
      <w:r>
        <w:rPr>
          <w:rFonts w:ascii="Segoe UI" w:hAnsi="Segoe UI" w:cs="Segoe UI"/>
          <w:sz w:val="24"/>
          <w:szCs w:val="24"/>
        </w:rPr>
        <w:t>s</w:t>
      </w:r>
      <w:r w:rsidRPr="003A155E">
        <w:rPr>
          <w:rFonts w:ascii="Segoe UI" w:hAnsi="Segoe UI" w:cs="Segoe UI"/>
          <w:sz w:val="24"/>
          <w:szCs w:val="24"/>
        </w:rPr>
        <w:t xml:space="preserve"> but </w:t>
      </w:r>
      <w:r>
        <w:rPr>
          <w:rFonts w:ascii="Segoe UI" w:hAnsi="Segoe UI" w:cs="Segoe UI"/>
          <w:sz w:val="24"/>
          <w:szCs w:val="24"/>
        </w:rPr>
        <w:t xml:space="preserve">have </w:t>
      </w:r>
      <w:r w:rsidRPr="003A155E">
        <w:rPr>
          <w:rFonts w:ascii="Segoe UI" w:hAnsi="Segoe UI" w:cs="Segoe UI"/>
          <w:sz w:val="24"/>
          <w:szCs w:val="24"/>
        </w:rPr>
        <w:t>not receive MPCA certification by June 30, 202</w:t>
      </w:r>
      <w:r>
        <w:rPr>
          <w:rFonts w:ascii="Segoe UI" w:hAnsi="Segoe UI" w:cs="Segoe UI"/>
          <w:sz w:val="24"/>
          <w:szCs w:val="24"/>
        </w:rPr>
        <w:t>5</w:t>
      </w:r>
      <w:r w:rsidRPr="003A155E">
        <w:rPr>
          <w:rFonts w:ascii="Segoe UI" w:hAnsi="Segoe UI" w:cs="Segoe UI"/>
          <w:sz w:val="24"/>
          <w:szCs w:val="24"/>
        </w:rPr>
        <w:t xml:space="preserve"> must </w:t>
      </w:r>
      <w:r w:rsidR="007B7F1E">
        <w:rPr>
          <w:rFonts w:ascii="Segoe UI" w:hAnsi="Segoe UI" w:cs="Segoe UI"/>
          <w:sz w:val="24"/>
          <w:szCs w:val="24"/>
        </w:rPr>
        <w:t>re</w:t>
      </w:r>
      <w:r w:rsidRPr="003A155E">
        <w:rPr>
          <w:rFonts w:ascii="Segoe UI" w:hAnsi="Segoe UI" w:cs="Segoe UI"/>
          <w:sz w:val="24"/>
          <w:szCs w:val="24"/>
        </w:rPr>
        <w:t xml:space="preserve">submit </w:t>
      </w:r>
      <w:r w:rsidR="00034D53">
        <w:rPr>
          <w:rFonts w:ascii="Segoe UI" w:hAnsi="Segoe UI" w:cs="Segoe UI"/>
          <w:sz w:val="24"/>
          <w:szCs w:val="24"/>
        </w:rPr>
        <w:t xml:space="preserve">an </w:t>
      </w:r>
      <w:r w:rsidR="00F76A4B">
        <w:rPr>
          <w:rFonts w:ascii="Segoe UI" w:hAnsi="Segoe UI" w:cs="Segoe UI"/>
          <w:sz w:val="24"/>
          <w:szCs w:val="24"/>
        </w:rPr>
        <w:t xml:space="preserve">updated </w:t>
      </w:r>
      <w:r w:rsidR="00034D53">
        <w:rPr>
          <w:rFonts w:ascii="Segoe UI" w:hAnsi="Segoe UI" w:cs="Segoe UI"/>
          <w:sz w:val="24"/>
          <w:szCs w:val="24"/>
        </w:rPr>
        <w:t xml:space="preserve">application </w:t>
      </w:r>
      <w:r w:rsidRPr="003A155E">
        <w:rPr>
          <w:rFonts w:ascii="Segoe UI" w:hAnsi="Segoe UI" w:cs="Segoe UI"/>
          <w:sz w:val="24"/>
          <w:szCs w:val="24"/>
        </w:rPr>
        <w:t>by the July 31, 202</w:t>
      </w:r>
      <w:r w:rsidR="004D1850">
        <w:rPr>
          <w:rFonts w:ascii="Segoe UI" w:hAnsi="Segoe UI" w:cs="Segoe UI"/>
          <w:sz w:val="24"/>
          <w:szCs w:val="24"/>
        </w:rPr>
        <w:t>6</w:t>
      </w:r>
      <w:r w:rsidRPr="003A155E">
        <w:rPr>
          <w:rFonts w:ascii="Segoe UI" w:hAnsi="Segoe UI" w:cs="Segoe UI"/>
          <w:sz w:val="24"/>
          <w:szCs w:val="24"/>
        </w:rPr>
        <w:t xml:space="preserve"> deadline. </w:t>
      </w:r>
    </w:p>
    <w:p w14:paraId="4B2D6C6A" w14:textId="3F9A2A61" w:rsidR="00E64323" w:rsidRDefault="00E64323">
      <w:pPr>
        <w:rPr>
          <w:rFonts w:ascii="Segoe UI" w:hAnsi="Segoe UI" w:cs="Segoe UI"/>
          <w:sz w:val="24"/>
          <w:szCs w:val="24"/>
        </w:rPr>
      </w:pPr>
      <w:hyperlink r:id="rId8" w:history="1">
        <w:r w:rsidRPr="003A155E">
          <w:rPr>
            <w:rStyle w:val="Hyperlink"/>
            <w:rFonts w:ascii="Segoe UI" w:hAnsi="Segoe UI" w:cs="Segoe UI"/>
            <w:sz w:val="24"/>
            <w:szCs w:val="24"/>
          </w:rPr>
          <w:t>PSIG</w:t>
        </w:r>
      </w:hyperlink>
      <w:r>
        <w:rPr>
          <w:rFonts w:ascii="Segoe UI" w:hAnsi="Segoe UI" w:cs="Segoe UI"/>
          <w:sz w:val="24"/>
          <w:szCs w:val="24"/>
        </w:rPr>
        <w:t xml:space="preserve"> (</w:t>
      </w:r>
      <w:r w:rsidRPr="00E64323">
        <w:rPr>
          <w:rFonts w:ascii="Segoe UI" w:hAnsi="Segoe UI" w:cs="Segoe UI"/>
          <w:sz w:val="24"/>
          <w:szCs w:val="24"/>
        </w:rPr>
        <w:t>Minnesota Statutes, Section 446A.073 as amended)</w:t>
      </w:r>
      <w:r>
        <w:rPr>
          <w:rFonts w:ascii="Segoe UI" w:hAnsi="Segoe UI" w:cs="Segoe UI"/>
          <w:sz w:val="24"/>
          <w:szCs w:val="24"/>
        </w:rPr>
        <w:t xml:space="preserve"> is jointly administered by the MPFA and the Minnesota Pollution Control Agency (MPCA). </w:t>
      </w:r>
      <w:r w:rsidRPr="00E64323">
        <w:rPr>
          <w:rFonts w:ascii="Segoe UI" w:hAnsi="Segoe UI" w:cs="Segoe UI"/>
          <w:sz w:val="24"/>
          <w:szCs w:val="24"/>
        </w:rPr>
        <w:t>Eligible projects must be ranked on the MPCA’s 202</w:t>
      </w:r>
      <w:r w:rsidR="004D1850">
        <w:rPr>
          <w:rFonts w:ascii="Segoe UI" w:hAnsi="Segoe UI" w:cs="Segoe UI"/>
          <w:sz w:val="24"/>
          <w:szCs w:val="24"/>
        </w:rPr>
        <w:t>7</w:t>
      </w:r>
      <w:r w:rsidRPr="00E64323">
        <w:rPr>
          <w:rFonts w:ascii="Segoe UI" w:hAnsi="Segoe UI" w:cs="Segoe UI"/>
          <w:sz w:val="24"/>
          <w:szCs w:val="24"/>
        </w:rPr>
        <w:t xml:space="preserve"> Project Priority List (PPL). Eligible drinking water treatment projects must be listed on the Minnesota Department of Health’s (MDH) Drinking Water Revolving Fund (DWRF) 202</w:t>
      </w:r>
      <w:r w:rsidR="004D1850">
        <w:rPr>
          <w:rFonts w:ascii="Segoe UI" w:hAnsi="Segoe UI" w:cs="Segoe UI"/>
          <w:sz w:val="24"/>
          <w:szCs w:val="24"/>
        </w:rPr>
        <w:t>7</w:t>
      </w:r>
      <w:r w:rsidRPr="00E64323">
        <w:rPr>
          <w:rFonts w:ascii="Segoe UI" w:hAnsi="Segoe UI" w:cs="Segoe UI"/>
          <w:sz w:val="24"/>
          <w:szCs w:val="24"/>
        </w:rPr>
        <w:t xml:space="preserve"> Project Priority List (PPL).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4673EE6B" w14:textId="27ECF0EC" w:rsidR="00E64323" w:rsidRDefault="00E6432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PSIG provides up to 80% grant up to $</w:t>
      </w:r>
      <w:r w:rsidR="007B7F1E">
        <w:rPr>
          <w:rFonts w:ascii="Segoe UI" w:hAnsi="Segoe UI" w:cs="Segoe UI"/>
          <w:sz w:val="24"/>
          <w:szCs w:val="24"/>
        </w:rPr>
        <w:t>12</w:t>
      </w:r>
      <w:r>
        <w:rPr>
          <w:rFonts w:ascii="Segoe UI" w:hAnsi="Segoe UI" w:cs="Segoe UI"/>
          <w:sz w:val="24"/>
          <w:szCs w:val="24"/>
        </w:rPr>
        <w:t xml:space="preserve"> million to eligible governmental units for water infrastructure projects necessary to:</w:t>
      </w:r>
    </w:p>
    <w:p w14:paraId="5F93BD4D" w14:textId="68EDF1A4" w:rsidR="00E64323" w:rsidRPr="00E64323" w:rsidRDefault="00E64323" w:rsidP="00E64323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64323">
        <w:rPr>
          <w:rFonts w:ascii="Segoe UI" w:hAnsi="Segoe UI" w:cs="Segoe UI"/>
          <w:sz w:val="24"/>
          <w:szCs w:val="24"/>
        </w:rPr>
        <w:t>meet wasteload reductions prescribed under a total maximum daily load (TMDL) plan required by Section 303(d) of the federal Clean Water Act</w:t>
      </w:r>
      <w:r>
        <w:rPr>
          <w:rFonts w:ascii="Segoe UI" w:hAnsi="Segoe UI" w:cs="Segoe UI"/>
          <w:sz w:val="24"/>
          <w:szCs w:val="24"/>
        </w:rPr>
        <w:t>,</w:t>
      </w:r>
    </w:p>
    <w:p w14:paraId="41D22EAE" w14:textId="63C21F9C" w:rsidR="00E64323" w:rsidRPr="00E64323" w:rsidRDefault="00E64323" w:rsidP="00E64323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64323">
        <w:rPr>
          <w:rFonts w:ascii="Segoe UI" w:hAnsi="Segoe UI" w:cs="Segoe UI"/>
          <w:sz w:val="24"/>
          <w:szCs w:val="24"/>
        </w:rPr>
        <w:t>meet a phosphorus concentration or mass limit which requires discharging one milligram per liter or less at permitted design flow, which is incorporated into a permit issued by the MPCA</w:t>
      </w:r>
      <w:r>
        <w:rPr>
          <w:rFonts w:ascii="Segoe UI" w:hAnsi="Segoe UI" w:cs="Segoe UI"/>
          <w:sz w:val="24"/>
          <w:szCs w:val="24"/>
        </w:rPr>
        <w:t>,</w:t>
      </w:r>
    </w:p>
    <w:p w14:paraId="37559EC8" w14:textId="77777777" w:rsidR="00E64323" w:rsidRPr="00E64323" w:rsidRDefault="00E64323" w:rsidP="00E64323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64323">
        <w:rPr>
          <w:rFonts w:ascii="Segoe UI" w:hAnsi="Segoe UI" w:cs="Segoe UI"/>
          <w:sz w:val="24"/>
          <w:szCs w:val="24"/>
        </w:rPr>
        <w:t>meet any other water quality-based effluent limit established under section Minnesota Statute Section 115.03, subd 1, (e)(8), that is incorporated into a permit issued by MPCA that exceeds secondary treatment limits; or</w:t>
      </w:r>
    </w:p>
    <w:p w14:paraId="2A0C271F" w14:textId="1717C527" w:rsidR="00E64323" w:rsidRPr="003A155E" w:rsidRDefault="00E64323" w:rsidP="003A155E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64323">
        <w:rPr>
          <w:rFonts w:ascii="Segoe UI" w:hAnsi="Segoe UI" w:cs="Segoe UI"/>
          <w:sz w:val="24"/>
          <w:szCs w:val="24"/>
        </w:rPr>
        <w:t>meet a total nitrogen concentration or mass limit that requires discharging ten milligrams per liter or less at permitted design flow.</w:t>
      </w:r>
    </w:p>
    <w:p w14:paraId="08D27C02" w14:textId="6B800AA6" w:rsidR="00E64323" w:rsidRPr="00E64323" w:rsidRDefault="003A155E">
      <w:r w:rsidRPr="003A155E">
        <w:rPr>
          <w:rFonts w:ascii="Segoe UI" w:hAnsi="Segoe UI" w:cs="Segoe UI"/>
          <w:sz w:val="24"/>
          <w:szCs w:val="24"/>
        </w:rPr>
        <w:t>Direct questions about project eligibility and MPCA certification requirements to Pam Foster at the MPCA at 218</w:t>
      </w:r>
      <w:r w:rsidR="00AC1EB9">
        <w:rPr>
          <w:rFonts w:ascii="Segoe UI" w:hAnsi="Segoe UI" w:cs="Segoe UI"/>
          <w:sz w:val="24"/>
          <w:szCs w:val="24"/>
        </w:rPr>
        <w:t>.</w:t>
      </w:r>
      <w:r w:rsidRPr="003A155E">
        <w:rPr>
          <w:rFonts w:ascii="Segoe UI" w:hAnsi="Segoe UI" w:cs="Segoe UI"/>
          <w:sz w:val="24"/>
          <w:szCs w:val="24"/>
        </w:rPr>
        <w:t>302</w:t>
      </w:r>
      <w:r w:rsidR="00AC1EB9">
        <w:rPr>
          <w:rFonts w:ascii="Segoe UI" w:hAnsi="Segoe UI" w:cs="Segoe UI"/>
          <w:sz w:val="24"/>
          <w:szCs w:val="24"/>
        </w:rPr>
        <w:t>.</w:t>
      </w:r>
      <w:r w:rsidRPr="003A155E">
        <w:rPr>
          <w:rFonts w:ascii="Segoe UI" w:hAnsi="Segoe UI" w:cs="Segoe UI"/>
          <w:sz w:val="24"/>
          <w:szCs w:val="24"/>
        </w:rPr>
        <w:t xml:space="preserve">6619, or </w:t>
      </w:r>
      <w:hyperlink r:id="rId9" w:history="1">
        <w:r w:rsidRPr="003A155E">
          <w:rPr>
            <w:rStyle w:val="Hyperlink"/>
            <w:rFonts w:ascii="Segoe UI" w:hAnsi="Segoe UI" w:cs="Segoe UI"/>
            <w:sz w:val="24"/>
            <w:szCs w:val="24"/>
          </w:rPr>
          <w:t>pamela.foster@state.mn.us</w:t>
        </w:r>
      </w:hyperlink>
      <w:r w:rsidRPr="003A155E">
        <w:rPr>
          <w:rFonts w:ascii="Segoe UI" w:hAnsi="Segoe UI" w:cs="Segoe UI"/>
          <w:sz w:val="24"/>
          <w:szCs w:val="24"/>
        </w:rPr>
        <w:t xml:space="preserve">. </w:t>
      </w:r>
      <w:r w:rsidR="00AC1EB9">
        <w:rPr>
          <w:rFonts w:ascii="Segoe UI" w:hAnsi="Segoe UI" w:cs="Segoe UI"/>
          <w:sz w:val="24"/>
          <w:szCs w:val="24"/>
        </w:rPr>
        <w:t xml:space="preserve">Visit </w:t>
      </w:r>
      <w:r w:rsidRPr="003A155E">
        <w:rPr>
          <w:rFonts w:ascii="Segoe UI" w:hAnsi="Segoe UI" w:cs="Segoe UI"/>
          <w:sz w:val="24"/>
          <w:szCs w:val="24"/>
        </w:rPr>
        <w:t xml:space="preserve">the MPCA web site at </w:t>
      </w:r>
      <w:hyperlink r:id="rId10" w:tgtFrame="_blank" w:history="1">
        <w:r w:rsidRPr="003A155E">
          <w:rPr>
            <w:rStyle w:val="Hyperlink"/>
            <w:rFonts w:ascii="Segoe UI" w:hAnsi="Segoe UI" w:cs="Segoe UI"/>
            <w:sz w:val="24"/>
            <w:szCs w:val="24"/>
          </w:rPr>
          <w:t>pca.state.mn.us/PPL</w:t>
        </w:r>
      </w:hyperlink>
      <w:r w:rsidRPr="003A155E">
        <w:rPr>
          <w:rFonts w:ascii="Segoe UI" w:hAnsi="Segoe UI" w:cs="Segoe UI"/>
          <w:sz w:val="24"/>
          <w:szCs w:val="24"/>
        </w:rPr>
        <w:t xml:space="preserve"> for additional information. </w:t>
      </w:r>
      <w:r>
        <w:rPr>
          <w:rFonts w:ascii="Segoe UI" w:hAnsi="Segoe UI" w:cs="Segoe UI"/>
          <w:sz w:val="24"/>
          <w:szCs w:val="24"/>
        </w:rPr>
        <w:t>C</w:t>
      </w:r>
      <w:r w:rsidRPr="003A155E">
        <w:rPr>
          <w:rFonts w:ascii="Segoe UI" w:hAnsi="Segoe UI" w:cs="Segoe UI"/>
          <w:sz w:val="24"/>
          <w:szCs w:val="24"/>
        </w:rPr>
        <w:t xml:space="preserve">ontact your </w:t>
      </w:r>
      <w:hyperlink r:id="rId11" w:history="1">
        <w:r w:rsidR="00AC1EB9" w:rsidRPr="00AC1EB9">
          <w:rPr>
            <w:rStyle w:val="Hyperlink"/>
            <w:rFonts w:ascii="Segoe UI" w:hAnsi="Segoe UI" w:cs="Segoe UI"/>
            <w:sz w:val="24"/>
            <w:szCs w:val="24"/>
          </w:rPr>
          <w:t xml:space="preserve">MPFA </w:t>
        </w:r>
        <w:r w:rsidRPr="00AC1EB9">
          <w:rPr>
            <w:rStyle w:val="Hyperlink"/>
            <w:rFonts w:ascii="Segoe UI" w:hAnsi="Segoe UI" w:cs="Segoe UI"/>
            <w:sz w:val="24"/>
            <w:szCs w:val="24"/>
          </w:rPr>
          <w:t xml:space="preserve">loan officer </w:t>
        </w:r>
      </w:hyperlink>
      <w:r>
        <w:rPr>
          <w:rFonts w:ascii="Segoe UI" w:hAnsi="Segoe UI" w:cs="Segoe UI"/>
          <w:sz w:val="24"/>
          <w:szCs w:val="24"/>
        </w:rPr>
        <w:t xml:space="preserve">for </w:t>
      </w:r>
      <w:r w:rsidR="00AC1EB9">
        <w:rPr>
          <w:rFonts w:ascii="Segoe UI" w:hAnsi="Segoe UI" w:cs="Segoe UI"/>
          <w:sz w:val="24"/>
          <w:szCs w:val="24"/>
        </w:rPr>
        <w:t xml:space="preserve">project eligibility and </w:t>
      </w:r>
      <w:r>
        <w:rPr>
          <w:rFonts w:ascii="Segoe UI" w:hAnsi="Segoe UI" w:cs="Segoe UI"/>
          <w:sz w:val="24"/>
          <w:szCs w:val="24"/>
        </w:rPr>
        <w:t>application process and funding questions.</w:t>
      </w:r>
    </w:p>
    <w:p w14:paraId="3488ADF5" w14:textId="77777777" w:rsidR="00E64323" w:rsidRDefault="00E64323"/>
    <w:sectPr w:rsidR="00E64323" w:rsidSect="003A155E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C5046"/>
    <w:multiLevelType w:val="multilevel"/>
    <w:tmpl w:val="A7F0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53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23"/>
    <w:rsid w:val="00034D53"/>
    <w:rsid w:val="000522A2"/>
    <w:rsid w:val="00063DC2"/>
    <w:rsid w:val="00156024"/>
    <w:rsid w:val="003A155E"/>
    <w:rsid w:val="00433FA8"/>
    <w:rsid w:val="004C40BB"/>
    <w:rsid w:val="004D1850"/>
    <w:rsid w:val="00562392"/>
    <w:rsid w:val="006E0267"/>
    <w:rsid w:val="007B7F1E"/>
    <w:rsid w:val="00915800"/>
    <w:rsid w:val="009523B9"/>
    <w:rsid w:val="00A01D3A"/>
    <w:rsid w:val="00A30103"/>
    <w:rsid w:val="00AC1EB9"/>
    <w:rsid w:val="00CC4757"/>
    <w:rsid w:val="00D42D68"/>
    <w:rsid w:val="00E64323"/>
    <w:rsid w:val="00EC4E25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A36D"/>
  <w15:chartTrackingRefBased/>
  <w15:docId w15:val="{68ABCE05-4C24-4CC4-9FCE-22CA5BE1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3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deed/pfa/funds-programs/point-source-grants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s-2.govdelivery.com/CL0/https:%2F%2Fmn.gov%2Fdeed%2Fpfa%2Fcontact%2F/1/0101019060945501-b9131c47-88d6-43c8-9f62-98252e23d112-000000/n2RDsyKRbDRUQ7PUD4hZoop1e7099vKSTR2S4DfzGWE=3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file://mndeeddom.deed.state.mn.us/data/HQ-BCD/Groups/PFA/Archive%20-%20Look%20on%20Sharepoint%20for%20me!/APPFORMS/APPFORMS%20TEMP%20Program%20Mgmt/2026_PSIG_App/mn.gov/pfa" TargetMode="External"/><Relationship Id="rId11" Type="http://schemas.openxmlformats.org/officeDocument/2006/relationships/hyperlink" Target="https://links-2.govdelivery.com/CL0/https:%2F%2Fmn.gov%2Fdeed%2Fpfa%2Fcontact%2F/1/0101019060945501-b9131c47-88d6-43c8-9f62-98252e23d112-000000/n2RDsyKRbDRUQ7PUD4hZoop1e7099vKSTR2S4DfzGWE=359" TargetMode="External"/><Relationship Id="rId5" Type="http://schemas.openxmlformats.org/officeDocument/2006/relationships/hyperlink" Target="https://mn.gov/deed/pfa/funds-programs/point-source-grants.jsp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links-2.govdelivery.com/CL0/https:%2F%2Fwww.pca.state.mn.us%2Fbusiness-with-us%2Fwastewater-and-stormwater-financial-assistance/1/0101019060945501-b9131c47-88d6-43c8-9f62-98252e23d112-000000/NgnsybLwO2R981wjFX_JvKFdiU53QcEt10XGcImIICA=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mela.foster@state.mn.u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b6303a1c84475b397e355e2704d62d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f5af848191570b8e68c2657ecdc73046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E1A62F7F-D75B-4237-AFC3-E3FC63CA2FC7}"/>
</file>

<file path=customXml/itemProps2.xml><?xml version="1.0" encoding="utf-8"?>
<ds:datastoreItem xmlns:ds="http://schemas.openxmlformats.org/officeDocument/2006/customXml" ds:itemID="{D8054D4A-8008-4A74-9298-736FD87D97B4}"/>
</file>

<file path=customXml/itemProps3.xml><?xml version="1.0" encoding="utf-8"?>
<ds:datastoreItem xmlns:ds="http://schemas.openxmlformats.org/officeDocument/2006/customXml" ds:itemID="{9E70B71A-CFA4-427A-89DA-888BE21D8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Berkholtz, Karin (She/Her/Hers) (PFA)</dc:creator>
  <cp:keywords/>
  <dc:description/>
  <cp:lastModifiedBy>Berkholtz, Karin (She/Her/Hers) (PFA)</cp:lastModifiedBy>
  <cp:revision>2</cp:revision>
  <dcterms:created xsi:type="dcterms:W3CDTF">2026-01-21T17:38:00Z</dcterms:created>
  <dcterms:modified xsi:type="dcterms:W3CDTF">2026-01-21T17:38:00Z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