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4581" w14:textId="6B977F2E" w:rsidR="001B6E5E" w:rsidRPr="00A87E2F" w:rsidRDefault="002E3FB5" w:rsidP="002E3FB5">
      <w:pPr>
        <w:tabs>
          <w:tab w:val="left" w:pos="360"/>
          <w:tab w:val="left" w:pos="6660"/>
        </w:tabs>
        <w:spacing w:after="120"/>
        <w:jc w:val="center"/>
      </w:pPr>
      <w:r w:rsidRPr="00A87E2F">
        <w:rPr>
          <w:noProof/>
        </w:rPr>
        <w:drawing>
          <wp:inline distT="0" distB="0" distL="0" distR="0" wp14:anchorId="2DF70B70" wp14:editId="50959AC5">
            <wp:extent cx="6492240" cy="1136015"/>
            <wp:effectExtent l="0" t="0" r="3810" b="6985"/>
            <wp:docPr id="1227088462" name="Picture 1" descr="Minnesota Exports Statistics Report, 4th Quarter. 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88462" name="Picture 1" descr="Minnesota Exports Statistics Report, 4th Quarter. Decorative bann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2240" cy="1136015"/>
                    </a:xfrm>
                    <a:prstGeom prst="rect">
                      <a:avLst/>
                    </a:prstGeom>
                  </pic:spPr>
                </pic:pic>
              </a:graphicData>
            </a:graphic>
          </wp:inline>
        </w:drawing>
      </w:r>
    </w:p>
    <w:p w14:paraId="280C54B8" w14:textId="5ED303AA" w:rsidR="00D84668" w:rsidRPr="00A87E2F" w:rsidRDefault="00D84668" w:rsidP="00D84668">
      <w:pPr>
        <w:pStyle w:val="NoSpacing"/>
        <w:jc w:val="center"/>
        <w:rPr>
          <w:rStyle w:val="Emphasis"/>
          <w:b/>
        </w:rPr>
      </w:pPr>
      <w:r w:rsidRPr="00A87E2F">
        <w:rPr>
          <w:rStyle w:val="Emphasis"/>
          <w:b/>
        </w:rPr>
        <w:t xml:space="preserve">Data on Minnesota Exports for </w:t>
      </w:r>
      <w:r w:rsidR="002E3FB5" w:rsidRPr="00A87E2F">
        <w:rPr>
          <w:rStyle w:val="Emphasis"/>
          <w:b/>
        </w:rPr>
        <w:t>Fourth</w:t>
      </w:r>
      <w:r w:rsidRPr="00A87E2F">
        <w:rPr>
          <w:rStyle w:val="Emphasis"/>
          <w:b/>
        </w:rPr>
        <w:t xml:space="preserve"> Quarter 202</w:t>
      </w:r>
      <w:r w:rsidR="004E75BE" w:rsidRPr="00A87E2F">
        <w:rPr>
          <w:rStyle w:val="Emphasis"/>
          <w:b/>
        </w:rPr>
        <w:t>5</w:t>
      </w:r>
      <w:r w:rsidRPr="00A87E2F">
        <w:rPr>
          <w:rStyle w:val="Emphasis"/>
          <w:b/>
        </w:rPr>
        <w:t xml:space="preserve"> – Published </w:t>
      </w:r>
      <w:r w:rsidR="00A87E2F">
        <w:rPr>
          <w:rStyle w:val="Emphasis"/>
          <w:b/>
        </w:rPr>
        <w:t>May</w:t>
      </w:r>
      <w:r w:rsidR="00E25680" w:rsidRPr="00A87E2F">
        <w:rPr>
          <w:rStyle w:val="Emphasis"/>
          <w:b/>
        </w:rPr>
        <w:t xml:space="preserve"> </w:t>
      </w:r>
      <w:r w:rsidRPr="00A87E2F">
        <w:rPr>
          <w:rStyle w:val="Emphasis"/>
          <w:b/>
        </w:rPr>
        <w:t>202</w:t>
      </w:r>
      <w:r w:rsidR="00C82A5E" w:rsidRPr="00A87E2F">
        <w:rPr>
          <w:rStyle w:val="Emphasis"/>
          <w:b/>
        </w:rPr>
        <w:t>6</w:t>
      </w:r>
      <w:r w:rsidR="006042ED" w:rsidRPr="00A87E2F">
        <w:rPr>
          <w:rStyle w:val="Emphasis"/>
          <w:b/>
        </w:rPr>
        <w:t xml:space="preserve"> </w:t>
      </w:r>
    </w:p>
    <w:p w14:paraId="7C1ADAF3" w14:textId="77777777" w:rsidR="00D84668" w:rsidRPr="00A87E2F" w:rsidRDefault="00D84668" w:rsidP="00D84668">
      <w:pPr>
        <w:pStyle w:val="NoSpacing"/>
        <w:jc w:val="center"/>
        <w:rPr>
          <w:rStyle w:val="Emphasis"/>
          <w:b/>
          <w:bCs/>
        </w:rPr>
      </w:pPr>
      <w:r w:rsidRPr="00A87E2F">
        <w:rPr>
          <w:rStyle w:val="Emphasis"/>
          <w:b/>
        </w:rPr>
        <w:t>For More Information</w:t>
      </w:r>
      <w:r w:rsidRPr="00A87E2F">
        <w:rPr>
          <w:rStyle w:val="Emphasis"/>
        </w:rPr>
        <w:t xml:space="preserve">: </w:t>
      </w:r>
      <w:r w:rsidRPr="00A87E2F">
        <w:rPr>
          <w:b/>
          <w:bCs/>
          <w:i/>
          <w:iCs/>
        </w:rPr>
        <w:t>Mary Haugen (mary.haugen@state.mn.us)</w:t>
      </w:r>
    </w:p>
    <w:p w14:paraId="18DCA261" w14:textId="6A64ED16" w:rsidR="00641D3B" w:rsidRPr="00A87E2F" w:rsidRDefault="00CC5F28" w:rsidP="00C9794E">
      <w:pPr>
        <w:pStyle w:val="Heading1"/>
        <w:rPr>
          <w:rFonts w:asciiTheme="minorHAnsi" w:hAnsiTheme="minorHAnsi"/>
          <w:color w:val="auto"/>
          <w:sz w:val="36"/>
          <w:szCs w:val="28"/>
        </w:rPr>
        <w:sectPr w:rsidR="00641D3B" w:rsidRPr="00A87E2F" w:rsidSect="00FE15EB">
          <w:headerReference w:type="even" r:id="rId12"/>
          <w:headerReference w:type="default" r:id="rId13"/>
          <w:footerReference w:type="even" r:id="rId14"/>
          <w:footnotePr>
            <w:numRestart w:val="eachSect"/>
          </w:footnotePr>
          <w:endnotePr>
            <w:numFmt w:val="decimal"/>
          </w:endnotePr>
          <w:type w:val="continuous"/>
          <w:pgSz w:w="12240" w:h="15840" w:code="1"/>
          <w:pgMar w:top="864" w:right="1008" w:bottom="864" w:left="1008" w:header="720" w:footer="720" w:gutter="0"/>
          <w:cols w:space="720"/>
          <w:titlePg/>
          <w:docGrid w:linePitch="272"/>
        </w:sectPr>
      </w:pPr>
      <w:r w:rsidRPr="00A87E2F">
        <w:rPr>
          <w:rFonts w:asciiTheme="minorHAnsi" w:hAnsiTheme="minorHAnsi"/>
          <w:color w:val="auto"/>
          <w:sz w:val="36"/>
          <w:szCs w:val="28"/>
        </w:rPr>
        <w:t xml:space="preserve">Minnesota </w:t>
      </w:r>
      <w:r w:rsidR="00FA433D" w:rsidRPr="00A87E2F">
        <w:rPr>
          <w:rFonts w:asciiTheme="minorHAnsi" w:hAnsiTheme="minorHAnsi"/>
          <w:color w:val="auto"/>
          <w:sz w:val="36"/>
          <w:szCs w:val="28"/>
        </w:rPr>
        <w:t xml:space="preserve">Exports </w:t>
      </w:r>
      <w:r w:rsidR="006D0AB9" w:rsidRPr="00A87E2F">
        <w:rPr>
          <w:rFonts w:asciiTheme="minorHAnsi" w:hAnsiTheme="minorHAnsi"/>
          <w:color w:val="auto"/>
          <w:sz w:val="36"/>
          <w:szCs w:val="28"/>
        </w:rPr>
        <w:t>Fall</w:t>
      </w:r>
      <w:r w:rsidR="004928D5" w:rsidRPr="00A87E2F">
        <w:rPr>
          <w:rFonts w:asciiTheme="minorHAnsi" w:hAnsiTheme="minorHAnsi"/>
          <w:color w:val="auto"/>
          <w:sz w:val="36"/>
          <w:szCs w:val="28"/>
        </w:rPr>
        <w:t xml:space="preserve"> 1</w:t>
      </w:r>
      <w:r w:rsidR="006D0AB9" w:rsidRPr="00A87E2F">
        <w:rPr>
          <w:rFonts w:asciiTheme="minorHAnsi" w:hAnsiTheme="minorHAnsi"/>
          <w:color w:val="auto"/>
          <w:sz w:val="36"/>
          <w:szCs w:val="28"/>
        </w:rPr>
        <w:t>0</w:t>
      </w:r>
      <w:r w:rsidR="006042ED" w:rsidRPr="00A87E2F">
        <w:rPr>
          <w:rFonts w:asciiTheme="minorHAnsi" w:hAnsiTheme="minorHAnsi"/>
          <w:color w:val="auto"/>
          <w:sz w:val="36"/>
          <w:szCs w:val="28"/>
        </w:rPr>
        <w:t>%</w:t>
      </w:r>
      <w:r w:rsidR="00ED7F1C" w:rsidRPr="00A87E2F">
        <w:rPr>
          <w:rFonts w:asciiTheme="minorHAnsi" w:hAnsiTheme="minorHAnsi"/>
          <w:color w:val="auto"/>
          <w:sz w:val="36"/>
          <w:szCs w:val="28"/>
        </w:rPr>
        <w:t xml:space="preserve"> </w:t>
      </w:r>
      <w:r w:rsidR="000D5EC5" w:rsidRPr="00A87E2F">
        <w:rPr>
          <w:rFonts w:asciiTheme="minorHAnsi" w:hAnsiTheme="minorHAnsi"/>
          <w:color w:val="auto"/>
          <w:sz w:val="36"/>
          <w:szCs w:val="28"/>
        </w:rPr>
        <w:t>to $</w:t>
      </w:r>
      <w:r w:rsidR="004928D5" w:rsidRPr="00A87E2F">
        <w:rPr>
          <w:rFonts w:asciiTheme="minorHAnsi" w:hAnsiTheme="minorHAnsi"/>
          <w:color w:val="auto"/>
          <w:sz w:val="36"/>
          <w:szCs w:val="28"/>
        </w:rPr>
        <w:t>5</w:t>
      </w:r>
      <w:r w:rsidR="00BB19C4" w:rsidRPr="00A87E2F">
        <w:rPr>
          <w:rFonts w:asciiTheme="minorHAnsi" w:hAnsiTheme="minorHAnsi"/>
          <w:color w:val="auto"/>
          <w:sz w:val="36"/>
          <w:szCs w:val="28"/>
        </w:rPr>
        <w:t>.</w:t>
      </w:r>
      <w:r w:rsidR="00440BAE" w:rsidRPr="00A87E2F">
        <w:rPr>
          <w:rFonts w:asciiTheme="minorHAnsi" w:hAnsiTheme="minorHAnsi"/>
          <w:color w:val="auto"/>
          <w:sz w:val="36"/>
          <w:szCs w:val="28"/>
        </w:rPr>
        <w:t>7</w:t>
      </w:r>
      <w:r w:rsidR="000D5EC5" w:rsidRPr="00A87E2F">
        <w:rPr>
          <w:rFonts w:asciiTheme="minorHAnsi" w:hAnsiTheme="minorHAnsi"/>
          <w:color w:val="auto"/>
          <w:sz w:val="36"/>
          <w:szCs w:val="28"/>
        </w:rPr>
        <w:t xml:space="preserve"> Billion</w:t>
      </w:r>
      <w:r w:rsidR="00ED7F1C" w:rsidRPr="00A87E2F">
        <w:rPr>
          <w:rFonts w:asciiTheme="minorHAnsi" w:hAnsiTheme="minorHAnsi"/>
          <w:color w:val="auto"/>
          <w:sz w:val="36"/>
          <w:szCs w:val="28"/>
        </w:rPr>
        <w:t xml:space="preserve"> </w:t>
      </w:r>
      <w:r w:rsidRPr="00A87E2F">
        <w:rPr>
          <w:rFonts w:asciiTheme="minorHAnsi" w:hAnsiTheme="minorHAnsi"/>
          <w:color w:val="auto"/>
          <w:sz w:val="36"/>
          <w:szCs w:val="28"/>
        </w:rPr>
        <w:t xml:space="preserve">in </w:t>
      </w:r>
      <w:r w:rsidR="002E3FB5" w:rsidRPr="00A87E2F">
        <w:rPr>
          <w:rFonts w:asciiTheme="minorHAnsi" w:hAnsiTheme="minorHAnsi"/>
          <w:color w:val="auto"/>
          <w:sz w:val="36"/>
          <w:szCs w:val="28"/>
        </w:rPr>
        <w:t>Fourth</w:t>
      </w:r>
      <w:r w:rsidRPr="00A87E2F">
        <w:rPr>
          <w:rFonts w:asciiTheme="minorHAnsi" w:hAnsiTheme="minorHAnsi"/>
          <w:color w:val="auto"/>
          <w:sz w:val="36"/>
          <w:szCs w:val="28"/>
        </w:rPr>
        <w:t xml:space="preserve"> Quarter</w:t>
      </w:r>
    </w:p>
    <w:p w14:paraId="2062535F" w14:textId="2F279844" w:rsidR="00952407" w:rsidRPr="00A87E2F" w:rsidRDefault="007F1C4A" w:rsidP="00B742BF">
      <w:pPr>
        <w:pStyle w:val="BodyText"/>
        <w:numPr>
          <w:ilvl w:val="0"/>
          <w:numId w:val="26"/>
        </w:numPr>
        <w:spacing w:before="0" w:after="0"/>
        <w:rPr>
          <w:rFonts w:eastAsiaTheme="majorEastAsia" w:cstheme="minorHAnsi"/>
          <w:i/>
          <w:iCs/>
        </w:rPr>
      </w:pPr>
      <w:r w:rsidRPr="00A87E2F">
        <w:t>Minnesota</w:t>
      </w:r>
      <w:r w:rsidR="00674246" w:rsidRPr="00A87E2F">
        <w:t>’s</w:t>
      </w:r>
      <w:r w:rsidRPr="00A87E2F">
        <w:t xml:space="preserve"> exports</w:t>
      </w:r>
      <w:r w:rsidR="00F20245" w:rsidRPr="00A87E2F">
        <w:t xml:space="preserve"> of goods</w:t>
      </w:r>
      <w:r w:rsidRPr="00A87E2F">
        <w:t xml:space="preserve"> (incl</w:t>
      </w:r>
      <w:r w:rsidR="004C6288" w:rsidRPr="00A87E2F">
        <w:t>uding</w:t>
      </w:r>
      <w:r w:rsidRPr="00A87E2F">
        <w:t xml:space="preserve"> agricultur</w:t>
      </w:r>
      <w:r w:rsidR="00E21972" w:rsidRPr="00A87E2F">
        <w:t>e</w:t>
      </w:r>
      <w:r w:rsidRPr="00A87E2F">
        <w:t>, mining and manufact</w:t>
      </w:r>
      <w:r w:rsidR="00A02A94" w:rsidRPr="00A87E2F">
        <w:t>ur</w:t>
      </w:r>
      <w:r w:rsidR="00E21972" w:rsidRPr="00A87E2F">
        <w:t>ing</w:t>
      </w:r>
      <w:r w:rsidR="00A02A94" w:rsidRPr="00A87E2F">
        <w:t xml:space="preserve">) </w:t>
      </w:r>
      <w:r w:rsidR="00367E5D" w:rsidRPr="00A87E2F">
        <w:t>declin</w:t>
      </w:r>
      <w:r w:rsidR="00A17E16" w:rsidRPr="00A87E2F">
        <w:t>ed</w:t>
      </w:r>
      <w:r w:rsidR="00367E5D" w:rsidRPr="00A87E2F">
        <w:t xml:space="preserve"> to </w:t>
      </w:r>
      <w:r w:rsidR="000F06F6" w:rsidRPr="00A87E2F">
        <w:t>$</w:t>
      </w:r>
      <w:r w:rsidR="004928D5" w:rsidRPr="00A87E2F">
        <w:t>5.</w:t>
      </w:r>
      <w:r w:rsidR="00440BAE" w:rsidRPr="00A87E2F">
        <w:t>7</w:t>
      </w:r>
      <w:r w:rsidR="000F06F6" w:rsidRPr="00A87E2F">
        <w:t xml:space="preserve"> billion</w:t>
      </w:r>
      <w:r w:rsidR="007A6CDF" w:rsidRPr="00A87E2F">
        <w:t xml:space="preserve"> in the </w:t>
      </w:r>
      <w:r w:rsidR="006D0AB9" w:rsidRPr="00A87E2F">
        <w:t xml:space="preserve">fourth </w:t>
      </w:r>
      <w:r w:rsidR="007A6CDF" w:rsidRPr="00A87E2F">
        <w:t xml:space="preserve">quarter </w:t>
      </w:r>
      <w:r w:rsidR="006D0AB9" w:rsidRPr="00A87E2F">
        <w:t xml:space="preserve">of </w:t>
      </w:r>
      <w:r w:rsidR="00BB19C4" w:rsidRPr="00A87E2F">
        <w:t>2025</w:t>
      </w:r>
      <w:r w:rsidR="00A17E16" w:rsidRPr="00A87E2F">
        <w:t xml:space="preserve">, </w:t>
      </w:r>
      <w:r w:rsidR="00440BAE" w:rsidRPr="00A87E2F">
        <w:t>slid</w:t>
      </w:r>
      <w:r w:rsidR="004928D5" w:rsidRPr="00A87E2F">
        <w:t>ing</w:t>
      </w:r>
      <w:r w:rsidR="00A17E16" w:rsidRPr="00A87E2F">
        <w:t xml:space="preserve"> </w:t>
      </w:r>
      <w:r w:rsidR="004928D5" w:rsidRPr="00A87E2F">
        <w:t>1</w:t>
      </w:r>
      <w:r w:rsidR="006D0AB9" w:rsidRPr="00A87E2F">
        <w:t>0</w:t>
      </w:r>
      <w:r w:rsidR="00A17E16" w:rsidRPr="00A87E2F">
        <w:t xml:space="preserve">% </w:t>
      </w:r>
      <w:r w:rsidR="00952407" w:rsidRPr="00A87E2F">
        <w:t>since the</w:t>
      </w:r>
      <w:r w:rsidR="00A17E16" w:rsidRPr="00A87E2F">
        <w:t xml:space="preserve"> </w:t>
      </w:r>
      <w:r w:rsidR="006D0AB9" w:rsidRPr="00A87E2F">
        <w:t>f</w:t>
      </w:r>
      <w:r w:rsidR="002E3FB5" w:rsidRPr="00A87E2F">
        <w:t>ourth</w:t>
      </w:r>
      <w:r w:rsidR="00A17E16" w:rsidRPr="00A87E2F">
        <w:t xml:space="preserve"> quarter of 2024.</w:t>
      </w:r>
      <w:r w:rsidR="008620B1" w:rsidRPr="00A87E2F">
        <w:t xml:space="preserve"> </w:t>
      </w:r>
    </w:p>
    <w:p w14:paraId="25F712D3" w14:textId="4DAF4B1A" w:rsidR="00B34F18" w:rsidRPr="00A87E2F" w:rsidRDefault="00B34F18" w:rsidP="00B34F18">
      <w:pPr>
        <w:pStyle w:val="BodyText"/>
        <w:numPr>
          <w:ilvl w:val="0"/>
          <w:numId w:val="26"/>
        </w:numPr>
        <w:spacing w:before="0" w:after="0"/>
      </w:pPr>
      <w:r w:rsidRPr="00A87E2F">
        <w:t>Sharply depressed sales of mineral fuel, oil sold to Canada persisted; excluding these exports to Canada, Minnesota’s other exports dipped 2%.</w:t>
      </w:r>
    </w:p>
    <w:p w14:paraId="3337A3EA" w14:textId="51416C19" w:rsidR="007B41D3" w:rsidRPr="00A87E2F" w:rsidRDefault="006D0AB9" w:rsidP="00B34F18">
      <w:pPr>
        <w:pStyle w:val="BodyText"/>
        <w:numPr>
          <w:ilvl w:val="0"/>
          <w:numId w:val="26"/>
        </w:numPr>
        <w:spacing w:before="0" w:after="0"/>
      </w:pPr>
      <w:r w:rsidRPr="00A87E2F">
        <w:t xml:space="preserve">In contrast, </w:t>
      </w:r>
      <w:r w:rsidR="000F06F6" w:rsidRPr="00A87E2F">
        <w:t xml:space="preserve">U.S. exports grew </w:t>
      </w:r>
      <w:r w:rsidRPr="00A87E2F">
        <w:t>9</w:t>
      </w:r>
      <w:r w:rsidR="000F06F6" w:rsidRPr="00A87E2F">
        <w:t>% during this period</w:t>
      </w:r>
      <w:r w:rsidR="00B34F18" w:rsidRPr="00A87E2F">
        <w:t>, despite</w:t>
      </w:r>
      <w:r w:rsidR="007B41D3" w:rsidRPr="00A87E2F">
        <w:t xml:space="preserve"> challenging trade policies and tariffs.</w:t>
      </w:r>
      <w:r w:rsidR="002C5FD9" w:rsidRPr="00A87E2F">
        <w:t xml:space="preserve"> Exports grew for more than half of states.</w:t>
      </w:r>
    </w:p>
    <w:p w14:paraId="1858A6F5" w14:textId="54A6FB05" w:rsidR="007B41D3" w:rsidRPr="00A87E2F" w:rsidRDefault="006842CA" w:rsidP="00B742BF">
      <w:pPr>
        <w:pStyle w:val="BodyText"/>
        <w:numPr>
          <w:ilvl w:val="0"/>
          <w:numId w:val="26"/>
        </w:numPr>
        <w:spacing w:before="0" w:after="0"/>
      </w:pPr>
      <w:r w:rsidRPr="00A87E2F">
        <w:t xml:space="preserve">For </w:t>
      </w:r>
      <w:r w:rsidR="006D0AB9" w:rsidRPr="00A87E2F">
        <w:t>all of</w:t>
      </w:r>
      <w:r w:rsidRPr="00A87E2F">
        <w:t xml:space="preserve"> 2025, </w:t>
      </w:r>
      <w:r w:rsidR="00B34F18" w:rsidRPr="00A87E2F">
        <w:t>the state’s</w:t>
      </w:r>
      <w:r w:rsidR="00030330" w:rsidRPr="00A87E2F">
        <w:t xml:space="preserve"> exports</w:t>
      </w:r>
      <w:r w:rsidR="006D0AB9" w:rsidRPr="00A87E2F">
        <w:t xml:space="preserve"> </w:t>
      </w:r>
      <w:r w:rsidRPr="00A87E2F">
        <w:t>f</w:t>
      </w:r>
      <w:r w:rsidR="006D0AB9" w:rsidRPr="00A87E2F">
        <w:t>ell</w:t>
      </w:r>
      <w:r w:rsidR="007B41D3" w:rsidRPr="00A87E2F">
        <w:t xml:space="preserve"> 1</w:t>
      </w:r>
      <w:r w:rsidR="00030330" w:rsidRPr="00A87E2F">
        <w:t>3</w:t>
      </w:r>
      <w:r w:rsidR="007B41D3" w:rsidRPr="00A87E2F">
        <w:t>%, while U.S. exports</w:t>
      </w:r>
      <w:r w:rsidR="00030330" w:rsidRPr="00A87E2F">
        <w:t xml:space="preserve"> jumped</w:t>
      </w:r>
      <w:r w:rsidR="006D0AB9" w:rsidRPr="00A87E2F">
        <w:t xml:space="preserve"> </w:t>
      </w:r>
      <w:r w:rsidR="00030330" w:rsidRPr="00A87E2F">
        <w:t>6</w:t>
      </w:r>
      <w:r w:rsidR="007B41D3" w:rsidRPr="00A87E2F">
        <w:t>%.</w:t>
      </w:r>
    </w:p>
    <w:p w14:paraId="03CA25DA" w14:textId="0372EA35" w:rsidR="007F1C4A" w:rsidRPr="00A87E2F" w:rsidRDefault="007F1C4A" w:rsidP="00C9794E">
      <w:pPr>
        <w:pStyle w:val="Heading4"/>
        <w:spacing w:before="0" w:after="120"/>
        <w:rPr>
          <w:szCs w:val="24"/>
        </w:rPr>
      </w:pPr>
      <w:r w:rsidRPr="00A87E2F">
        <w:rPr>
          <w:szCs w:val="24"/>
        </w:rPr>
        <w:t xml:space="preserve">Figure </w:t>
      </w:r>
      <w:r w:rsidRPr="00A87E2F">
        <w:rPr>
          <w:szCs w:val="24"/>
        </w:rPr>
        <w:fldChar w:fldCharType="begin"/>
      </w:r>
      <w:r w:rsidRPr="00A87E2F">
        <w:rPr>
          <w:szCs w:val="24"/>
        </w:rPr>
        <w:instrText xml:space="preserve"> SEQ Figure \* ARABIC </w:instrText>
      </w:r>
      <w:r w:rsidRPr="00A87E2F">
        <w:rPr>
          <w:szCs w:val="24"/>
        </w:rPr>
        <w:fldChar w:fldCharType="separate"/>
      </w:r>
      <w:r w:rsidR="00C430F8" w:rsidRPr="00A87E2F">
        <w:rPr>
          <w:szCs w:val="24"/>
        </w:rPr>
        <w:t>1</w:t>
      </w:r>
      <w:r w:rsidRPr="00A87E2F">
        <w:rPr>
          <w:szCs w:val="24"/>
        </w:rPr>
        <w:fldChar w:fldCharType="end"/>
      </w:r>
      <w:r w:rsidR="00A52415" w:rsidRPr="00A87E2F">
        <w:rPr>
          <w:szCs w:val="24"/>
        </w:rPr>
        <w:t>.</w:t>
      </w:r>
      <w:r w:rsidR="00F72892" w:rsidRPr="00A87E2F">
        <w:rPr>
          <w:szCs w:val="24"/>
        </w:rPr>
        <w:t xml:space="preserve"> </w:t>
      </w:r>
      <w:r w:rsidR="004E1B65" w:rsidRPr="00A87E2F">
        <w:rPr>
          <w:szCs w:val="24"/>
        </w:rPr>
        <w:t>Mixed Performances Across States</w:t>
      </w:r>
    </w:p>
    <w:p w14:paraId="5AE04CB7" w14:textId="58A65FAA" w:rsidR="00B742BF" w:rsidRPr="00A87E2F" w:rsidRDefault="009F4D89" w:rsidP="009F4D89">
      <w:r w:rsidRPr="00A87E2F">
        <w:rPr>
          <w:noProof/>
        </w:rPr>
        <mc:AlternateContent>
          <mc:Choice Requires="wps">
            <w:drawing>
              <wp:anchor distT="0" distB="0" distL="114300" distR="114300" simplePos="0" relativeHeight="251658241" behindDoc="0" locked="0" layoutInCell="1" allowOverlap="1" wp14:anchorId="098AB7ED" wp14:editId="1CD1EC6D">
                <wp:simplePos x="0" y="0"/>
                <wp:positionH relativeFrom="page">
                  <wp:posOffset>3976370</wp:posOffset>
                </wp:positionH>
                <wp:positionV relativeFrom="paragraph">
                  <wp:posOffset>1480406</wp:posOffset>
                </wp:positionV>
                <wp:extent cx="1319530" cy="250900"/>
                <wp:effectExtent l="0" t="0" r="0"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50900"/>
                        </a:xfrm>
                        <a:prstGeom prst="rect">
                          <a:avLst/>
                        </a:prstGeom>
                        <a:noFill/>
                        <a:ln w="9525">
                          <a:noFill/>
                          <a:miter lim="800000"/>
                          <a:headEnd/>
                          <a:tailEnd/>
                        </a:ln>
                      </wps:spPr>
                      <wps:txb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AB7ED" id="_x0000_t202" coordsize="21600,21600" o:spt="202" path="m,l,21600r21600,l21600,xe">
                <v:stroke joinstyle="miter"/>
                <v:path gradientshapeok="t" o:connecttype="rect"/>
              </v:shapetype>
              <v:shape id="Text Box 2" o:spid="_x0000_s1026" type="#_x0000_t202" alt="&quot;&quot;" style="position:absolute;margin-left:313.1pt;margin-top:116.55pt;width:103.9pt;height:1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At9w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" filled="f" stroked="f">
                <v:textbo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v:textbox>
                <w10:wrap anchorx="page"/>
              </v:shape>
            </w:pict>
          </mc:Fallback>
        </mc:AlternateContent>
      </w:r>
      <w:r w:rsidRPr="00A87E2F">
        <w:rPr>
          <w:noProof/>
        </w:rPr>
        <mc:AlternateContent>
          <mc:Choice Requires="wps">
            <w:drawing>
              <wp:anchor distT="0" distB="0" distL="114300" distR="114300" simplePos="0" relativeHeight="251658240" behindDoc="0" locked="0" layoutInCell="1" allowOverlap="1" wp14:anchorId="24E76B40" wp14:editId="6587667E">
                <wp:simplePos x="0" y="0"/>
                <wp:positionH relativeFrom="margin">
                  <wp:posOffset>5874347</wp:posOffset>
                </wp:positionH>
                <wp:positionV relativeFrom="paragraph">
                  <wp:posOffset>1202353</wp:posOffset>
                </wp:positionV>
                <wp:extent cx="863600" cy="473725"/>
                <wp:effectExtent l="0" t="0" r="0" b="2540"/>
                <wp:wrapNone/>
                <wp:docPr id="307" name="Text Box 2" descr="call out box for 2025-Q4 trend:&#10;MN -10%&#10;US +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73725"/>
                        </a:xfrm>
                        <a:prstGeom prst="rect">
                          <a:avLst/>
                        </a:prstGeom>
                        <a:noFill/>
                        <a:ln w="9525">
                          <a:noFill/>
                          <a:miter lim="800000"/>
                          <a:headEnd/>
                          <a:tailEnd/>
                        </a:ln>
                      </wps:spPr>
                      <wps:txbx>
                        <w:txbxContent>
                          <w:p w14:paraId="60A296D5" w14:textId="38F8BD22"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4928D5">
                              <w:rPr>
                                <w:b/>
                                <w:i/>
                                <w:szCs w:val="24"/>
                              </w:rPr>
                              <w:t>1</w:t>
                            </w:r>
                            <w:r w:rsidR="006D0AB9">
                              <w:rPr>
                                <w:b/>
                                <w:i/>
                                <w:szCs w:val="24"/>
                              </w:rPr>
                              <w:t>0</w:t>
                            </w:r>
                            <w:r w:rsidRPr="00044ED9">
                              <w:rPr>
                                <w:b/>
                                <w:i/>
                                <w:szCs w:val="24"/>
                              </w:rPr>
                              <w:t>%</w:t>
                            </w:r>
                          </w:p>
                          <w:p w14:paraId="588145EA" w14:textId="7A3B30E9"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6D0AB9">
                              <w:rPr>
                                <w:b/>
                                <w:i/>
                                <w:szCs w:val="24"/>
                              </w:rPr>
                              <w:t>9</w:t>
                            </w:r>
                            <w:r w:rsidR="007F1C4A" w:rsidRPr="00044ED9">
                              <w:rPr>
                                <w:b/>
                                <w: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76B40" id="_x0000_s1027" type="#_x0000_t202" alt="call out box for 2025-Q4 trend:&#10;MN -10%&#10;US +9%" style="position:absolute;margin-left:462.55pt;margin-top:94.65pt;width:68pt;height:3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" filled="f" stroked="f">
                <v:textbox>
                  <w:txbxContent>
                    <w:p w14:paraId="60A296D5" w14:textId="38F8BD22"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4928D5">
                        <w:rPr>
                          <w:b/>
                          <w:i/>
                          <w:szCs w:val="24"/>
                        </w:rPr>
                        <w:t>1</w:t>
                      </w:r>
                      <w:r w:rsidR="006D0AB9">
                        <w:rPr>
                          <w:b/>
                          <w:i/>
                          <w:szCs w:val="24"/>
                        </w:rPr>
                        <w:t>0</w:t>
                      </w:r>
                      <w:r w:rsidRPr="00044ED9">
                        <w:rPr>
                          <w:b/>
                          <w:i/>
                          <w:szCs w:val="24"/>
                        </w:rPr>
                        <w:t>%</w:t>
                      </w:r>
                    </w:p>
                    <w:p w14:paraId="588145EA" w14:textId="7A3B30E9"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6D0AB9">
                        <w:rPr>
                          <w:b/>
                          <w:i/>
                          <w:szCs w:val="24"/>
                        </w:rPr>
                        <w:t>9</w:t>
                      </w:r>
                      <w:r w:rsidR="007F1C4A" w:rsidRPr="00044ED9">
                        <w:rPr>
                          <w:b/>
                          <w:i/>
                          <w:szCs w:val="24"/>
                        </w:rPr>
                        <w:t>%</w:t>
                      </w:r>
                    </w:p>
                  </w:txbxContent>
                </v:textbox>
                <w10:wrap anchorx="margin"/>
              </v:shape>
            </w:pict>
          </mc:Fallback>
        </mc:AlternateContent>
      </w:r>
      <w:r w:rsidR="006D0AB9" w:rsidRPr="00A87E2F">
        <w:rPr>
          <w:noProof/>
        </w:rPr>
        <w:drawing>
          <wp:inline distT="0" distB="0" distL="0" distR="0" wp14:anchorId="502D7980" wp14:editId="17329793">
            <wp:extent cx="3189113" cy="1729768"/>
            <wp:effectExtent l="0" t="0" r="0" b="3810"/>
            <wp:docPr id="496839426" name="Picture 2" descr="Map of U.S. showing 50 states, colored in yellow for decline and green for growth.&#10;State Pct Change 2024-Q4 to 2025-Q4&#10;Alabama -34%&#10;Alaska 2%&#10;Arizona 25%&#10;Arkansas -5%&#10;California 0%&#10;Colorado -2%&#10;Connecticut 7%&#10;Delaware 25%&#10;Dist of Columbia 34%&#10;Florida 12%&#10;Georgia 13%&#10;Hawaii -38%&#10;Idaho -4%&#10;Illinois -2%&#10;Indiana 17%&#10;Iowa -7%&#10;Kansas 5%&#10;Kentucky -4%&#10;Louisiana 5%&#10;Maine 18%&#10;Maryland -8%&#10;Massachusetts 20%&#10;Michigan -2%&#10;Minnesota -10%&#10;Mississippi 13%&#10;Missouri -1%&#10;Montana -4%&#10;Nebraska -5%&#10;Nevada 50%&#10;New Hampshire 2%&#10;New Jersey 16%&#10;New Mexico 33%&#10;New York 134%&#10;North Carolina 8%&#10;North Dakota 14%&#10;Ohio 9%&#10;Oklahoma -11%&#10;Oregon -12%&#10;Pennsylvania 1%&#10;Rhode Island 104%&#10;South Carolina 10%&#10;South Dakota 0%&#10;Tennessee 5%&#10;Texas -1%&#10;United States 9%&#10;Utah 87%&#10;Vermont -2%&#10;Virginia -11%&#10;Washington 16%&#10;West Virginia 2%&#10;Wisconsin -1%&#10;Wyoming -9%&#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39426" name="Picture 2" descr="Map of U.S. showing 50 states, colored in yellow for decline and green for growth.&#10;State Pct Change 2024-Q4 to 2025-Q4&#10;Alabama -34%&#10;Alaska 2%&#10;Arizona 25%&#10;Arkansas -5%&#10;California 0%&#10;Colorado -2%&#10;Connecticut 7%&#10;Delaware 25%&#10;Dist of Columbia 34%&#10;Florida 12%&#10;Georgia 13%&#10;Hawaii -38%&#10;Idaho -4%&#10;Illinois -2%&#10;Indiana 17%&#10;Iowa -7%&#10;Kansas 5%&#10;Kentucky -4%&#10;Louisiana 5%&#10;Maine 18%&#10;Maryland -8%&#10;Massachusetts 20%&#10;Michigan -2%&#10;Minnesota -10%&#10;Mississippi 13%&#10;Missouri -1%&#10;Montana -4%&#10;Nebraska -5%&#10;Nevada 50%&#10;New Hampshire 2%&#10;New Jersey 16%&#10;New Mexico 33%&#10;New York 134%&#10;North Carolina 8%&#10;North Dakota 14%&#10;Ohio 9%&#10;Oklahoma -11%&#10;Oregon -12%&#10;Pennsylvania 1%&#10;Rhode Island 104%&#10;South Carolina 10%&#10;South Dakota 0%&#10;Tennessee 5%&#10;Texas -1%&#10;United States 9%&#10;Utah 87%&#10;Vermont -2%&#10;Virginia -11%&#10;Washington 16%&#10;West Virginia 2%&#10;Wisconsin -1%&#10;Wyoming -9%&#10;&#1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508" t="12619" r="11859" b="10197"/>
                    <a:stretch>
                      <a:fillRect/>
                    </a:stretch>
                  </pic:blipFill>
                  <pic:spPr bwMode="auto">
                    <a:xfrm>
                      <a:off x="0" y="0"/>
                      <a:ext cx="3232075" cy="1753070"/>
                    </a:xfrm>
                    <a:prstGeom prst="rect">
                      <a:avLst/>
                    </a:prstGeom>
                    <a:noFill/>
                    <a:ln>
                      <a:noFill/>
                    </a:ln>
                    <a:extLst>
                      <a:ext uri="{53640926-AAD7-44D8-BBD7-CCE9431645EC}">
                        <a14:shadowObscured xmlns:a14="http://schemas.microsoft.com/office/drawing/2010/main"/>
                      </a:ext>
                    </a:extLst>
                  </pic:spPr>
                </pic:pic>
              </a:graphicData>
            </a:graphic>
          </wp:inline>
        </w:drawing>
      </w:r>
    </w:p>
    <w:p w14:paraId="6B23B2F3" w14:textId="2C0BA6C6" w:rsidR="00BE4DAD" w:rsidRPr="00A87E2F" w:rsidRDefault="00A52415" w:rsidP="009F4D89">
      <w:pPr>
        <w:spacing w:line="271" w:lineRule="auto"/>
        <w:rPr>
          <w:rFonts w:ascii="Arial Narrow" w:hAnsi="Arial Narrow"/>
          <w:sz w:val="2"/>
          <w:szCs w:val="2"/>
        </w:rPr>
        <w:sectPr w:rsidR="00BE4DAD" w:rsidRPr="00A87E2F" w:rsidSect="00FE15EB">
          <w:footnotePr>
            <w:numRestart w:val="eachSect"/>
          </w:footnotePr>
          <w:endnotePr>
            <w:numFmt w:val="decimal"/>
          </w:endnotePr>
          <w:type w:val="continuous"/>
          <w:pgSz w:w="12240" w:h="15840" w:code="1"/>
          <w:pgMar w:top="864" w:right="1008" w:bottom="864" w:left="1008" w:header="720" w:footer="720" w:gutter="0"/>
          <w:cols w:num="2" w:space="450"/>
          <w:titlePg/>
          <w:docGrid w:linePitch="299"/>
        </w:sectPr>
      </w:pPr>
      <w:r w:rsidRPr="00A87E2F">
        <w:rPr>
          <w:rFonts w:ascii="Arial Narrow" w:hAnsi="Arial Narrow"/>
          <w:noProof/>
          <w:sz w:val="2"/>
          <w:szCs w:val="2"/>
        </w:rPr>
        <w:drawing>
          <wp:inline distT="0" distB="0" distL="0" distR="0" wp14:anchorId="5C21AFCD" wp14:editId="29095EE2">
            <wp:extent cx="1126069" cy="160867"/>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t="41379" b="24138"/>
                    <a:stretch/>
                  </pic:blipFill>
                  <pic:spPr bwMode="auto">
                    <a:xfrm>
                      <a:off x="0" y="0"/>
                      <a:ext cx="1132027" cy="161718"/>
                    </a:xfrm>
                    <a:prstGeom prst="rect">
                      <a:avLst/>
                    </a:prstGeom>
                    <a:noFill/>
                    <a:ln>
                      <a:noFill/>
                    </a:ln>
                    <a:extLst>
                      <a:ext uri="{53640926-AAD7-44D8-BBD7-CCE9431645EC}">
                        <a14:shadowObscured xmlns:a14="http://schemas.microsoft.com/office/drawing/2010/main"/>
                      </a:ext>
                    </a:extLst>
                  </pic:spPr>
                </pic:pic>
              </a:graphicData>
            </a:graphic>
          </wp:inline>
        </w:drawing>
      </w:r>
    </w:p>
    <w:p w14:paraId="3B7C68EA" w14:textId="0887105B" w:rsidR="004B25EA" w:rsidRPr="00A87E2F" w:rsidRDefault="00D753BD" w:rsidP="00A17E16">
      <w:pPr>
        <w:pStyle w:val="Heading2"/>
        <w:spacing w:before="120"/>
        <w:rPr>
          <w:rFonts w:cstheme="minorHAnsi"/>
          <w:i/>
          <w:iCs/>
          <w:color w:val="auto"/>
          <w:sz w:val="28"/>
          <w:szCs w:val="28"/>
        </w:rPr>
      </w:pPr>
      <w:r w:rsidRPr="00A87E2F">
        <w:rPr>
          <w:rFonts w:cstheme="minorHAnsi"/>
          <w:i/>
          <w:iCs/>
          <w:color w:val="auto"/>
          <w:sz w:val="28"/>
          <w:szCs w:val="28"/>
        </w:rPr>
        <w:t>Exports Surge to Europe</w:t>
      </w:r>
      <w:r w:rsidR="001E1D66" w:rsidRPr="00A87E2F">
        <w:rPr>
          <w:rFonts w:cstheme="minorHAnsi"/>
          <w:i/>
          <w:iCs/>
          <w:color w:val="auto"/>
          <w:sz w:val="28"/>
          <w:szCs w:val="28"/>
        </w:rPr>
        <w:t>, Help Offset Sharp</w:t>
      </w:r>
      <w:r w:rsidRPr="00A87E2F">
        <w:rPr>
          <w:rFonts w:cstheme="minorHAnsi"/>
          <w:i/>
          <w:iCs/>
          <w:color w:val="auto"/>
          <w:sz w:val="28"/>
          <w:szCs w:val="28"/>
        </w:rPr>
        <w:t xml:space="preserve"> D</w:t>
      </w:r>
      <w:r w:rsidR="001E1D66" w:rsidRPr="00A87E2F">
        <w:rPr>
          <w:rFonts w:cstheme="minorHAnsi"/>
          <w:i/>
          <w:iCs/>
          <w:color w:val="auto"/>
          <w:sz w:val="28"/>
          <w:szCs w:val="28"/>
        </w:rPr>
        <w:t>ecline</w:t>
      </w:r>
      <w:r w:rsidRPr="00A87E2F">
        <w:rPr>
          <w:rFonts w:cstheme="minorHAnsi"/>
          <w:i/>
          <w:iCs/>
          <w:color w:val="auto"/>
          <w:sz w:val="28"/>
          <w:szCs w:val="28"/>
        </w:rPr>
        <w:t xml:space="preserve"> </w:t>
      </w:r>
      <w:r w:rsidR="001F31B5" w:rsidRPr="00A87E2F">
        <w:rPr>
          <w:rFonts w:cstheme="minorHAnsi"/>
          <w:i/>
          <w:iCs/>
          <w:color w:val="auto"/>
          <w:sz w:val="28"/>
          <w:szCs w:val="28"/>
        </w:rPr>
        <w:t>to North Americ</w:t>
      </w:r>
      <w:r w:rsidRPr="00A87E2F">
        <w:rPr>
          <w:rFonts w:cstheme="minorHAnsi"/>
          <w:i/>
          <w:iCs/>
          <w:color w:val="auto"/>
          <w:sz w:val="28"/>
          <w:szCs w:val="28"/>
        </w:rPr>
        <w:t>a</w:t>
      </w:r>
    </w:p>
    <w:p w14:paraId="5EEE3C86" w14:textId="3205D069" w:rsidR="007B41D3" w:rsidRPr="00A87E2F" w:rsidRDefault="00B74AC4" w:rsidP="00163D3F">
      <w:pPr>
        <w:pStyle w:val="BodyText"/>
        <w:numPr>
          <w:ilvl w:val="0"/>
          <w:numId w:val="27"/>
        </w:numPr>
        <w:spacing w:before="0" w:after="0"/>
        <w:rPr>
          <w:b/>
          <w:bCs/>
        </w:rPr>
      </w:pPr>
      <w:r w:rsidRPr="00A87E2F">
        <w:t>E</w:t>
      </w:r>
      <w:r w:rsidR="00547123" w:rsidRPr="00A87E2F">
        <w:t>xports</w:t>
      </w:r>
      <w:r w:rsidR="00326887" w:rsidRPr="00A87E2F">
        <w:t xml:space="preserve"> </w:t>
      </w:r>
      <w:r w:rsidR="00547123" w:rsidRPr="00A87E2F">
        <w:t>to</w:t>
      </w:r>
      <w:r w:rsidR="00603FEE" w:rsidRPr="00A87E2F">
        <w:t xml:space="preserve"> </w:t>
      </w:r>
      <w:r w:rsidR="00603FEE" w:rsidRPr="00A87E2F">
        <w:rPr>
          <w:b/>
          <w:bCs/>
        </w:rPr>
        <w:t>North America</w:t>
      </w:r>
      <w:r w:rsidR="00603FEE" w:rsidRPr="00A87E2F">
        <w:t xml:space="preserve"> </w:t>
      </w:r>
      <w:r w:rsidR="00030330" w:rsidRPr="00A87E2F">
        <w:t>tumbled</w:t>
      </w:r>
      <w:r w:rsidR="00326887" w:rsidRPr="00A87E2F">
        <w:t xml:space="preserve"> 26% to </w:t>
      </w:r>
      <w:r w:rsidR="00635523" w:rsidRPr="00A87E2F">
        <w:t>$</w:t>
      </w:r>
      <w:r w:rsidR="00292BB8" w:rsidRPr="00A87E2F">
        <w:t>2</w:t>
      </w:r>
      <w:r w:rsidR="00030330" w:rsidRPr="00A87E2F">
        <w:t>.1</w:t>
      </w:r>
      <w:r w:rsidR="00635523" w:rsidRPr="00A87E2F">
        <w:t xml:space="preserve"> billion</w:t>
      </w:r>
      <w:r w:rsidR="00547123" w:rsidRPr="00A87E2F">
        <w:t>,</w:t>
      </w:r>
      <w:r w:rsidR="00DB439A" w:rsidRPr="00A87E2F">
        <w:t xml:space="preserve"> </w:t>
      </w:r>
      <w:r w:rsidR="001E1D66" w:rsidRPr="00A87E2F">
        <w:t>falling sharp</w:t>
      </w:r>
      <w:r w:rsidR="00C9524F" w:rsidRPr="00A87E2F">
        <w:t xml:space="preserve">ly to </w:t>
      </w:r>
      <w:r w:rsidR="00547123" w:rsidRPr="00A87E2F">
        <w:rPr>
          <w:b/>
          <w:bCs/>
        </w:rPr>
        <w:t>Canada</w:t>
      </w:r>
      <w:r w:rsidR="00547123" w:rsidRPr="00A87E2F">
        <w:t xml:space="preserve"> (down </w:t>
      </w:r>
      <w:r w:rsidR="001F31B5" w:rsidRPr="00A87E2F">
        <w:t>3</w:t>
      </w:r>
      <w:r w:rsidR="00C9524F" w:rsidRPr="00A87E2F">
        <w:t>7</w:t>
      </w:r>
      <w:r w:rsidR="00547123" w:rsidRPr="00A87E2F">
        <w:t>%</w:t>
      </w:r>
      <w:r w:rsidR="00292BB8" w:rsidRPr="00A87E2F">
        <w:t>)</w:t>
      </w:r>
      <w:r w:rsidR="008F2A32" w:rsidRPr="00A87E2F">
        <w:t xml:space="preserve"> </w:t>
      </w:r>
      <w:r w:rsidR="001E1D66" w:rsidRPr="00A87E2F">
        <w:t>but slightly</w:t>
      </w:r>
      <w:r w:rsidR="00C9524F" w:rsidRPr="00A87E2F">
        <w:t xml:space="preserve"> to</w:t>
      </w:r>
      <w:r w:rsidR="008F2A32" w:rsidRPr="00A87E2F">
        <w:t xml:space="preserve"> </w:t>
      </w:r>
      <w:r w:rsidR="008F2A32" w:rsidRPr="00A87E2F">
        <w:rPr>
          <w:b/>
          <w:bCs/>
        </w:rPr>
        <w:t xml:space="preserve">Mexico </w:t>
      </w:r>
      <w:r w:rsidR="008F2A32" w:rsidRPr="00A87E2F">
        <w:t xml:space="preserve">(down </w:t>
      </w:r>
      <w:r w:rsidR="00C9524F" w:rsidRPr="00A87E2F">
        <w:t>3</w:t>
      </w:r>
      <w:r w:rsidR="008F2A32" w:rsidRPr="00A87E2F">
        <w:t>%).</w:t>
      </w:r>
      <w:r w:rsidR="00DB439A" w:rsidRPr="00A87E2F">
        <w:t xml:space="preserve"> </w:t>
      </w:r>
      <w:r w:rsidR="00C9524F" w:rsidRPr="00A87E2F">
        <w:t xml:space="preserve"> </w:t>
      </w:r>
      <w:r w:rsidR="001E1D66" w:rsidRPr="00A87E2F">
        <w:rPr>
          <w:b/>
          <w:bCs/>
        </w:rPr>
        <w:t>M</w:t>
      </w:r>
      <w:r w:rsidR="003D433E" w:rsidRPr="00A87E2F">
        <w:rPr>
          <w:b/>
          <w:bCs/>
        </w:rPr>
        <w:t>ineral fuels</w:t>
      </w:r>
      <w:r w:rsidR="003D433E" w:rsidRPr="00A87E2F">
        <w:t xml:space="preserve"> </w:t>
      </w:r>
      <w:r w:rsidR="001E1D66" w:rsidRPr="00A87E2F">
        <w:t>exports to</w:t>
      </w:r>
      <w:r w:rsidR="00FE551A" w:rsidRPr="00A87E2F">
        <w:t xml:space="preserve"> Canada</w:t>
      </w:r>
      <w:r w:rsidR="00C9524F" w:rsidRPr="00A87E2F">
        <w:t xml:space="preserve"> (down 97%, or by $540 million)</w:t>
      </w:r>
      <w:r w:rsidR="001E1D66" w:rsidRPr="00A87E2F">
        <w:t xml:space="preserve"> drove the overall trend.</w:t>
      </w:r>
    </w:p>
    <w:p w14:paraId="1F2869C7" w14:textId="2D2DD21E" w:rsidR="00C9524F" w:rsidRPr="00A87E2F" w:rsidRDefault="00F95855" w:rsidP="00C9524F">
      <w:pPr>
        <w:pStyle w:val="BodyText"/>
        <w:numPr>
          <w:ilvl w:val="0"/>
          <w:numId w:val="27"/>
        </w:numPr>
        <w:spacing w:before="0" w:after="0"/>
        <w:rPr>
          <w:b/>
          <w:bCs/>
        </w:rPr>
      </w:pPr>
      <w:r w:rsidRPr="00A87E2F">
        <w:t xml:space="preserve">Minnesota </w:t>
      </w:r>
      <w:r w:rsidR="009C1206" w:rsidRPr="00A87E2F">
        <w:t>sales</w:t>
      </w:r>
      <w:r w:rsidR="008F2A32" w:rsidRPr="00A87E2F">
        <w:t xml:space="preserve"> </w:t>
      </w:r>
      <w:r w:rsidR="006D017C" w:rsidRPr="00A87E2F">
        <w:t xml:space="preserve">to </w:t>
      </w:r>
      <w:r w:rsidR="007405DC" w:rsidRPr="00A87E2F">
        <w:rPr>
          <w:b/>
          <w:bCs/>
        </w:rPr>
        <w:t>Asia</w:t>
      </w:r>
      <w:r w:rsidR="006104C8" w:rsidRPr="00A87E2F">
        <w:rPr>
          <w:b/>
          <w:bCs/>
        </w:rPr>
        <w:t xml:space="preserve"> </w:t>
      </w:r>
      <w:r w:rsidR="00786AC7" w:rsidRPr="00A87E2F">
        <w:t>($1.6 billion</w:t>
      </w:r>
      <w:r w:rsidR="007B41D3" w:rsidRPr="00A87E2F">
        <w:t xml:space="preserve">, down </w:t>
      </w:r>
      <w:r w:rsidR="00C9524F" w:rsidRPr="00A87E2F">
        <w:t>4</w:t>
      </w:r>
      <w:r w:rsidR="007B41D3" w:rsidRPr="00A87E2F">
        <w:t>%</w:t>
      </w:r>
      <w:r w:rsidR="008F2A32" w:rsidRPr="00A87E2F">
        <w:t>)</w:t>
      </w:r>
      <w:r w:rsidR="007B41D3" w:rsidRPr="00A87E2F">
        <w:t xml:space="preserve"> shrank</w:t>
      </w:r>
      <w:r w:rsidR="00C9524F" w:rsidRPr="00A87E2F">
        <w:t xml:space="preserve"> modestly</w:t>
      </w:r>
      <w:r w:rsidR="007B41D3" w:rsidRPr="00A87E2F">
        <w:t>.</w:t>
      </w:r>
      <w:r w:rsidR="009C1206" w:rsidRPr="00A87E2F">
        <w:t xml:space="preserve"> </w:t>
      </w:r>
      <w:r w:rsidR="00C9524F" w:rsidRPr="00A87E2F">
        <w:t>Impressive e</w:t>
      </w:r>
      <w:r w:rsidR="009C1206" w:rsidRPr="00A87E2F">
        <w:t>xport</w:t>
      </w:r>
      <w:r w:rsidR="00C9524F" w:rsidRPr="00A87E2F">
        <w:t xml:space="preserve"> gains</w:t>
      </w:r>
      <w:r w:rsidR="009C1206" w:rsidRPr="00A87E2F">
        <w:t xml:space="preserve"> to </w:t>
      </w:r>
      <w:r w:rsidR="00C9524F" w:rsidRPr="00A87E2F">
        <w:rPr>
          <w:b/>
        </w:rPr>
        <w:t>Korea</w:t>
      </w:r>
      <w:r w:rsidR="005558ED" w:rsidRPr="00A87E2F">
        <w:rPr>
          <w:bCs/>
        </w:rPr>
        <w:t xml:space="preserve"> (</w:t>
      </w:r>
      <w:r w:rsidR="00224DC4" w:rsidRPr="00A87E2F">
        <w:rPr>
          <w:bCs/>
        </w:rPr>
        <w:t>$</w:t>
      </w:r>
      <w:r w:rsidR="00C9524F" w:rsidRPr="00A87E2F">
        <w:rPr>
          <w:bCs/>
        </w:rPr>
        <w:t>214</w:t>
      </w:r>
      <w:r w:rsidR="00224DC4" w:rsidRPr="00A87E2F">
        <w:rPr>
          <w:bCs/>
        </w:rPr>
        <w:t xml:space="preserve"> million, </w:t>
      </w:r>
      <w:r w:rsidR="005558ED" w:rsidRPr="00A87E2F">
        <w:rPr>
          <w:bCs/>
        </w:rPr>
        <w:t xml:space="preserve">up </w:t>
      </w:r>
      <w:r w:rsidR="00C9524F" w:rsidRPr="00A87E2F">
        <w:rPr>
          <w:bCs/>
        </w:rPr>
        <w:t>30</w:t>
      </w:r>
      <w:r w:rsidR="005558ED" w:rsidRPr="00A87E2F">
        <w:rPr>
          <w:bCs/>
        </w:rPr>
        <w:t>%)</w:t>
      </w:r>
      <w:r w:rsidR="00C9524F" w:rsidRPr="00A87E2F">
        <w:rPr>
          <w:bCs/>
        </w:rPr>
        <w:t>,</w:t>
      </w:r>
      <w:r w:rsidR="005558ED" w:rsidRPr="00A87E2F">
        <w:rPr>
          <w:bCs/>
        </w:rPr>
        <w:t xml:space="preserve"> </w:t>
      </w:r>
      <w:r w:rsidR="00C9524F" w:rsidRPr="00A87E2F">
        <w:rPr>
          <w:b/>
        </w:rPr>
        <w:t>Japan</w:t>
      </w:r>
      <w:r w:rsidR="005558ED" w:rsidRPr="00A87E2F">
        <w:rPr>
          <w:b/>
        </w:rPr>
        <w:t xml:space="preserve"> </w:t>
      </w:r>
      <w:r w:rsidR="005558ED" w:rsidRPr="00A87E2F">
        <w:rPr>
          <w:bCs/>
        </w:rPr>
        <w:t>(</w:t>
      </w:r>
      <w:r w:rsidR="00224DC4" w:rsidRPr="00A87E2F">
        <w:rPr>
          <w:bCs/>
        </w:rPr>
        <w:t>$</w:t>
      </w:r>
      <w:r w:rsidR="00C9524F" w:rsidRPr="00A87E2F">
        <w:rPr>
          <w:bCs/>
        </w:rPr>
        <w:t>259</w:t>
      </w:r>
      <w:r w:rsidR="00224DC4" w:rsidRPr="00A87E2F">
        <w:rPr>
          <w:bCs/>
        </w:rPr>
        <w:t xml:space="preserve"> million, </w:t>
      </w:r>
      <w:r w:rsidR="005558ED" w:rsidRPr="00A87E2F">
        <w:rPr>
          <w:bCs/>
        </w:rPr>
        <w:t xml:space="preserve">up </w:t>
      </w:r>
      <w:r w:rsidR="00C9524F" w:rsidRPr="00A87E2F">
        <w:rPr>
          <w:bCs/>
        </w:rPr>
        <w:t>17</w:t>
      </w:r>
      <w:r w:rsidR="005558ED" w:rsidRPr="00A87E2F">
        <w:rPr>
          <w:bCs/>
        </w:rPr>
        <w:t>%)</w:t>
      </w:r>
      <w:r w:rsidR="00C9524F" w:rsidRPr="00A87E2F">
        <w:rPr>
          <w:bCs/>
        </w:rPr>
        <w:t xml:space="preserve">, </w:t>
      </w:r>
      <w:r w:rsidR="00C9524F" w:rsidRPr="00A87E2F">
        <w:rPr>
          <w:b/>
        </w:rPr>
        <w:t xml:space="preserve">Thailand </w:t>
      </w:r>
      <w:r w:rsidR="00C9524F" w:rsidRPr="00A87E2F">
        <w:rPr>
          <w:bCs/>
        </w:rPr>
        <w:t xml:space="preserve">($146 million, up 27%) and </w:t>
      </w:r>
      <w:r w:rsidR="00C9524F" w:rsidRPr="00A87E2F">
        <w:rPr>
          <w:b/>
        </w:rPr>
        <w:t xml:space="preserve">Malaysia </w:t>
      </w:r>
      <w:r w:rsidR="00C9524F" w:rsidRPr="00A87E2F">
        <w:rPr>
          <w:bCs/>
        </w:rPr>
        <w:t xml:space="preserve">($106 million, up 30%) </w:t>
      </w:r>
      <w:r w:rsidR="00824EF8" w:rsidRPr="00A87E2F">
        <w:rPr>
          <w:bCs/>
        </w:rPr>
        <w:t>were offset by</w:t>
      </w:r>
      <w:r w:rsidR="00C9524F" w:rsidRPr="00A87E2F">
        <w:rPr>
          <w:bCs/>
        </w:rPr>
        <w:t xml:space="preserve"> adverse trends in</w:t>
      </w:r>
      <w:r w:rsidR="00C9524F" w:rsidRPr="00A87E2F">
        <w:t xml:space="preserve"> </w:t>
      </w:r>
      <w:r w:rsidR="00C9524F" w:rsidRPr="00A87E2F">
        <w:rPr>
          <w:b/>
        </w:rPr>
        <w:t xml:space="preserve">China </w:t>
      </w:r>
      <w:r w:rsidR="00C9524F" w:rsidRPr="00A87E2F">
        <w:rPr>
          <w:bCs/>
        </w:rPr>
        <w:t xml:space="preserve">(down 27%), </w:t>
      </w:r>
      <w:r w:rsidR="00C9524F" w:rsidRPr="00A87E2F">
        <w:rPr>
          <w:b/>
        </w:rPr>
        <w:t xml:space="preserve">Taiwan </w:t>
      </w:r>
      <w:r w:rsidR="00C9524F" w:rsidRPr="00A87E2F">
        <w:rPr>
          <w:bCs/>
        </w:rPr>
        <w:t xml:space="preserve">(down 32%) and </w:t>
      </w:r>
      <w:r w:rsidR="00C9524F" w:rsidRPr="00A87E2F">
        <w:rPr>
          <w:b/>
        </w:rPr>
        <w:t xml:space="preserve">Vietnam </w:t>
      </w:r>
      <w:r w:rsidR="00C9524F" w:rsidRPr="00A87E2F">
        <w:rPr>
          <w:bCs/>
        </w:rPr>
        <w:t>(down 11%).</w:t>
      </w:r>
    </w:p>
    <w:p w14:paraId="7BAF209A" w14:textId="422229A1" w:rsidR="005558ED" w:rsidRPr="00A87E2F" w:rsidRDefault="005558ED" w:rsidP="00163D3F">
      <w:pPr>
        <w:pStyle w:val="BodyText"/>
        <w:numPr>
          <w:ilvl w:val="0"/>
          <w:numId w:val="27"/>
        </w:numPr>
        <w:spacing w:before="0" w:after="0"/>
        <w:rPr>
          <w:b/>
          <w:bCs/>
        </w:rPr>
      </w:pPr>
      <w:r w:rsidRPr="00A87E2F">
        <w:t>Sales to</w:t>
      </w:r>
      <w:r w:rsidR="009C1206" w:rsidRPr="00A87E2F">
        <w:t xml:space="preserve"> </w:t>
      </w:r>
      <w:r w:rsidR="008F2A32" w:rsidRPr="00A87E2F">
        <w:rPr>
          <w:b/>
          <w:bCs/>
        </w:rPr>
        <w:t>Europe</w:t>
      </w:r>
      <w:r w:rsidR="009C1206" w:rsidRPr="00A87E2F">
        <w:t xml:space="preserve"> </w:t>
      </w:r>
      <w:r w:rsidRPr="00A87E2F">
        <w:t>($1.</w:t>
      </w:r>
      <w:r w:rsidR="00824EF8" w:rsidRPr="00A87E2F">
        <w:t>4</w:t>
      </w:r>
      <w:r w:rsidRPr="00A87E2F">
        <w:t xml:space="preserve"> billion, up </w:t>
      </w:r>
      <w:r w:rsidR="00824EF8" w:rsidRPr="00A87E2F">
        <w:t>10</w:t>
      </w:r>
      <w:r w:rsidRPr="00A87E2F">
        <w:t xml:space="preserve">%) </w:t>
      </w:r>
      <w:r w:rsidR="00824EF8" w:rsidRPr="00A87E2F">
        <w:t>showed stellar growth.</w:t>
      </w:r>
      <w:r w:rsidR="00117A11" w:rsidRPr="00A87E2F">
        <w:t xml:space="preserve"> </w:t>
      </w:r>
      <w:r w:rsidR="00824EF8" w:rsidRPr="00A87E2F">
        <w:t>T</w:t>
      </w:r>
      <w:r w:rsidR="00224DC4" w:rsidRPr="00A87E2F">
        <w:t xml:space="preserve">he </w:t>
      </w:r>
      <w:r w:rsidR="00224DC4" w:rsidRPr="00A87E2F">
        <w:rPr>
          <w:b/>
          <w:bCs/>
        </w:rPr>
        <w:t>U.K.</w:t>
      </w:r>
      <w:r w:rsidR="00224DC4" w:rsidRPr="00A87E2F">
        <w:t xml:space="preserve"> (up 2</w:t>
      </w:r>
      <w:r w:rsidR="00824EF8" w:rsidRPr="00A87E2F">
        <w:t>6</w:t>
      </w:r>
      <w:r w:rsidR="00224DC4" w:rsidRPr="00A87E2F">
        <w:t>%)</w:t>
      </w:r>
      <w:r w:rsidR="00117A11" w:rsidRPr="00A87E2F">
        <w:t xml:space="preserve">, </w:t>
      </w:r>
      <w:r w:rsidR="00824EF8" w:rsidRPr="00A87E2F">
        <w:rPr>
          <w:b/>
          <w:bCs/>
        </w:rPr>
        <w:t xml:space="preserve">Italy </w:t>
      </w:r>
      <w:r w:rsidR="00824EF8" w:rsidRPr="00A87E2F">
        <w:t xml:space="preserve">(up 40%), </w:t>
      </w:r>
      <w:r w:rsidR="00824EF8" w:rsidRPr="00A87E2F">
        <w:rPr>
          <w:b/>
          <w:bCs/>
        </w:rPr>
        <w:t>Belgium</w:t>
      </w:r>
      <w:r w:rsidR="00117A11" w:rsidRPr="00A87E2F">
        <w:t xml:space="preserve"> (up </w:t>
      </w:r>
      <w:r w:rsidR="00824EF8" w:rsidRPr="00A87E2F">
        <w:t>15</w:t>
      </w:r>
      <w:r w:rsidR="00117A11" w:rsidRPr="00A87E2F">
        <w:t>%)</w:t>
      </w:r>
      <w:r w:rsidR="00A87E2F" w:rsidRPr="00A87E2F">
        <w:t>,</w:t>
      </w:r>
      <w:r w:rsidR="00824EF8" w:rsidRPr="00A87E2F">
        <w:t xml:space="preserve"> </w:t>
      </w:r>
      <w:r w:rsidR="00824EF8" w:rsidRPr="00A87E2F">
        <w:rPr>
          <w:b/>
          <w:bCs/>
        </w:rPr>
        <w:t>Germany</w:t>
      </w:r>
      <w:r w:rsidR="00117A11" w:rsidRPr="00A87E2F">
        <w:rPr>
          <w:b/>
          <w:bCs/>
        </w:rPr>
        <w:t xml:space="preserve"> </w:t>
      </w:r>
      <w:r w:rsidR="00117A11" w:rsidRPr="00A87E2F">
        <w:t xml:space="preserve">(up </w:t>
      </w:r>
      <w:r w:rsidR="00824EF8" w:rsidRPr="00A87E2F">
        <w:t>13</w:t>
      </w:r>
      <w:r w:rsidR="00117A11" w:rsidRPr="00A87E2F">
        <w:t xml:space="preserve">%) </w:t>
      </w:r>
      <w:r w:rsidR="00824EF8" w:rsidRPr="00A87E2F">
        <w:t xml:space="preserve">and </w:t>
      </w:r>
      <w:r w:rsidR="00824EF8" w:rsidRPr="00A87E2F">
        <w:rPr>
          <w:b/>
          <w:bCs/>
        </w:rPr>
        <w:t xml:space="preserve">Spain </w:t>
      </w:r>
      <w:r w:rsidR="00824EF8" w:rsidRPr="00A87E2F">
        <w:t xml:space="preserve">(up 82%) </w:t>
      </w:r>
      <w:r w:rsidR="00117A11" w:rsidRPr="00A87E2F">
        <w:t>generat</w:t>
      </w:r>
      <w:r w:rsidR="00824EF8" w:rsidRPr="00A87E2F">
        <w:t>ed</w:t>
      </w:r>
      <w:r w:rsidR="00117A11" w:rsidRPr="00A87E2F">
        <w:t xml:space="preserve"> the </w:t>
      </w:r>
      <w:r w:rsidR="00A87E2F" w:rsidRPr="00A87E2F">
        <w:t>most notable</w:t>
      </w:r>
      <w:r w:rsidR="00117A11" w:rsidRPr="00A87E2F">
        <w:t xml:space="preserve"> export gains.</w:t>
      </w:r>
    </w:p>
    <w:p w14:paraId="10C2429C" w14:textId="7DC639A8" w:rsidR="00417B8A" w:rsidRPr="00A87E2F" w:rsidRDefault="005558ED" w:rsidP="002E288C">
      <w:pPr>
        <w:pStyle w:val="BodyText"/>
        <w:numPr>
          <w:ilvl w:val="0"/>
          <w:numId w:val="27"/>
        </w:numPr>
        <w:spacing w:before="0" w:after="0"/>
      </w:pPr>
      <w:r w:rsidRPr="00A87E2F">
        <w:t xml:space="preserve">Minnesota </w:t>
      </w:r>
      <w:r w:rsidR="00D753BD" w:rsidRPr="00A87E2F">
        <w:t xml:space="preserve">businesses </w:t>
      </w:r>
      <w:r w:rsidR="00405907" w:rsidRPr="00A87E2F">
        <w:t>strengthened exports</w:t>
      </w:r>
      <w:r w:rsidRPr="00A87E2F">
        <w:t xml:space="preserve"> to the</w:t>
      </w:r>
      <w:r w:rsidRPr="00A87E2F">
        <w:rPr>
          <w:b/>
          <w:bCs/>
        </w:rPr>
        <w:t xml:space="preserve"> </w:t>
      </w:r>
      <w:r w:rsidR="00824EF8" w:rsidRPr="00A87E2F">
        <w:rPr>
          <w:b/>
          <w:bCs/>
        </w:rPr>
        <w:t>Caribbean, Central America and</w:t>
      </w:r>
      <w:r w:rsidR="00824EF8" w:rsidRPr="00A87E2F">
        <w:t xml:space="preserve"> </w:t>
      </w:r>
      <w:r w:rsidR="00824EF8" w:rsidRPr="00A87E2F">
        <w:rPr>
          <w:b/>
          <w:bCs/>
        </w:rPr>
        <w:t>South America</w:t>
      </w:r>
      <w:r w:rsidR="008F2A32" w:rsidRPr="00A87E2F">
        <w:t xml:space="preserve"> (</w:t>
      </w:r>
      <w:r w:rsidR="00224DC4" w:rsidRPr="00A87E2F">
        <w:t>$</w:t>
      </w:r>
      <w:r w:rsidR="00824EF8" w:rsidRPr="00A87E2F">
        <w:t>353</w:t>
      </w:r>
      <w:r w:rsidR="00224DC4" w:rsidRPr="00A87E2F">
        <w:t xml:space="preserve"> million, </w:t>
      </w:r>
      <w:r w:rsidR="008F2A32" w:rsidRPr="00A87E2F">
        <w:t xml:space="preserve">up </w:t>
      </w:r>
      <w:r w:rsidR="00824EF8" w:rsidRPr="00A87E2F">
        <w:t>5</w:t>
      </w:r>
      <w:r w:rsidR="008F2A32" w:rsidRPr="00A87E2F">
        <w:t xml:space="preserve">%) </w:t>
      </w:r>
      <w:r w:rsidR="00417B8A" w:rsidRPr="00A87E2F">
        <w:t xml:space="preserve">– led by </w:t>
      </w:r>
      <w:r w:rsidR="002E288C" w:rsidRPr="00A87E2F">
        <w:rPr>
          <w:b/>
          <w:bCs/>
        </w:rPr>
        <w:t>Costa Rica</w:t>
      </w:r>
      <w:r w:rsidR="00417B8A" w:rsidRPr="00A87E2F">
        <w:rPr>
          <w:b/>
          <w:bCs/>
        </w:rPr>
        <w:t xml:space="preserve"> </w:t>
      </w:r>
      <w:r w:rsidR="00417B8A" w:rsidRPr="00A87E2F">
        <w:t>($</w:t>
      </w:r>
      <w:r w:rsidR="002E288C" w:rsidRPr="00A87E2F">
        <w:t>136</w:t>
      </w:r>
      <w:r w:rsidR="00417B8A" w:rsidRPr="00A87E2F">
        <w:t xml:space="preserve"> million, up 1</w:t>
      </w:r>
      <w:r w:rsidR="002E288C" w:rsidRPr="00A87E2F">
        <w:t>8</w:t>
      </w:r>
      <w:r w:rsidR="00417B8A" w:rsidRPr="00A87E2F">
        <w:t>%)</w:t>
      </w:r>
      <w:r w:rsidR="00A87E2F" w:rsidRPr="00A87E2F">
        <w:t xml:space="preserve"> and </w:t>
      </w:r>
      <w:r w:rsidR="00A87E2F" w:rsidRPr="00A87E2F">
        <w:rPr>
          <w:b/>
          <w:bCs/>
        </w:rPr>
        <w:t xml:space="preserve">Dominican Republic </w:t>
      </w:r>
      <w:r w:rsidR="00A87E2F" w:rsidRPr="00A87E2F">
        <w:t>($24 million, up 66%)</w:t>
      </w:r>
      <w:r w:rsidR="00417B8A" w:rsidRPr="00A87E2F">
        <w:t xml:space="preserve"> – </w:t>
      </w:r>
      <w:r w:rsidR="008F2A32" w:rsidRPr="00A87E2F">
        <w:t>and</w:t>
      </w:r>
      <w:r w:rsidR="00417B8A" w:rsidRPr="00A87E2F">
        <w:t xml:space="preserve"> to </w:t>
      </w:r>
      <w:r w:rsidRPr="00A87E2F">
        <w:rPr>
          <w:b/>
          <w:bCs/>
        </w:rPr>
        <w:t>Africa</w:t>
      </w:r>
      <w:r w:rsidR="008F2A32" w:rsidRPr="00A87E2F">
        <w:t xml:space="preserve"> (</w:t>
      </w:r>
      <w:r w:rsidR="00224DC4" w:rsidRPr="00A87E2F">
        <w:t>$</w:t>
      </w:r>
      <w:r w:rsidR="00824EF8" w:rsidRPr="00A87E2F">
        <w:t>69</w:t>
      </w:r>
      <w:r w:rsidR="00224DC4" w:rsidRPr="00A87E2F">
        <w:t xml:space="preserve"> million, </w:t>
      </w:r>
      <w:r w:rsidR="008F2A32" w:rsidRPr="00A87E2F">
        <w:t xml:space="preserve">up </w:t>
      </w:r>
      <w:r w:rsidR="00824EF8" w:rsidRPr="00A87E2F">
        <w:t>13</w:t>
      </w:r>
      <w:r w:rsidR="008F2A32" w:rsidRPr="00A87E2F">
        <w:t>%)</w:t>
      </w:r>
      <w:r w:rsidR="00417B8A" w:rsidRPr="00A87E2F">
        <w:t xml:space="preserve"> – led by </w:t>
      </w:r>
      <w:r w:rsidR="002E288C" w:rsidRPr="00A87E2F">
        <w:rPr>
          <w:b/>
          <w:bCs/>
        </w:rPr>
        <w:t>South Africa</w:t>
      </w:r>
      <w:r w:rsidR="00417B8A" w:rsidRPr="00A87E2F">
        <w:rPr>
          <w:b/>
          <w:bCs/>
        </w:rPr>
        <w:t xml:space="preserve"> </w:t>
      </w:r>
      <w:r w:rsidR="00417B8A" w:rsidRPr="00A87E2F">
        <w:t>($</w:t>
      </w:r>
      <w:r w:rsidR="002E288C" w:rsidRPr="00A87E2F">
        <w:t xml:space="preserve">38 </w:t>
      </w:r>
      <w:r w:rsidR="00417B8A" w:rsidRPr="00A87E2F">
        <w:t xml:space="preserve">million, up </w:t>
      </w:r>
      <w:r w:rsidR="002E288C" w:rsidRPr="00A87E2F">
        <w:t>82</w:t>
      </w:r>
      <w:r w:rsidR="00417B8A" w:rsidRPr="00A87E2F">
        <w:t>%)</w:t>
      </w:r>
      <w:r w:rsidR="00A87E2F" w:rsidRPr="00A87E2F">
        <w:t xml:space="preserve"> and </w:t>
      </w:r>
      <w:r w:rsidR="00A87E2F" w:rsidRPr="00A87E2F">
        <w:rPr>
          <w:b/>
          <w:bCs/>
        </w:rPr>
        <w:t xml:space="preserve">Algeria </w:t>
      </w:r>
      <w:r w:rsidR="00A87E2F" w:rsidRPr="00A87E2F">
        <w:t>($11 million, up 79%).</w:t>
      </w:r>
    </w:p>
    <w:p w14:paraId="481CD972" w14:textId="423FBAE6" w:rsidR="007C165F" w:rsidRPr="00A87E2F" w:rsidRDefault="007C165F" w:rsidP="006D0AB9">
      <w:pPr>
        <w:pStyle w:val="Heading4"/>
        <w:spacing w:before="120" w:after="120"/>
      </w:pPr>
      <w:r w:rsidRPr="00A87E2F">
        <w:t xml:space="preserve">Figure </w:t>
      </w:r>
      <w:r w:rsidR="00E36364" w:rsidRPr="00A87E2F">
        <w:fldChar w:fldCharType="begin"/>
      </w:r>
      <w:r w:rsidR="00E36364" w:rsidRPr="00A87E2F">
        <w:instrText xml:space="preserve"> SEQ Figure \* ARABIC </w:instrText>
      </w:r>
      <w:r w:rsidR="00E36364" w:rsidRPr="00A87E2F">
        <w:fldChar w:fldCharType="separate"/>
      </w:r>
      <w:r w:rsidR="00C430F8" w:rsidRPr="00A87E2F">
        <w:t>2</w:t>
      </w:r>
      <w:r w:rsidR="00E36364" w:rsidRPr="00A87E2F">
        <w:fldChar w:fldCharType="end"/>
      </w:r>
      <w:r w:rsidR="00C84D0E" w:rsidRPr="00A87E2F">
        <w:t xml:space="preserve">. </w:t>
      </w:r>
      <w:r w:rsidR="00A44451" w:rsidRPr="00A87E2F">
        <w:t>Export Trends for</w:t>
      </w:r>
      <w:r w:rsidR="0038665A" w:rsidRPr="00A87E2F">
        <w:t xml:space="preserve"> Minnesota’s Top 10 Markets, </w:t>
      </w:r>
      <w:r w:rsidR="002E3FB5" w:rsidRPr="00A87E2F">
        <w:t>Fourth</w:t>
      </w:r>
      <w:r w:rsidR="00375ACF" w:rsidRPr="00A87E2F">
        <w:t xml:space="preserve"> </w:t>
      </w:r>
      <w:r w:rsidR="00725672" w:rsidRPr="00A87E2F">
        <w:t>Q</w:t>
      </w:r>
      <w:r w:rsidR="00375ACF" w:rsidRPr="00A87E2F">
        <w:t>uarter</w:t>
      </w:r>
      <w:r w:rsidR="00A52415" w:rsidRPr="00A87E2F">
        <w:t xml:space="preserve"> </w:t>
      </w:r>
      <w:r w:rsidR="00BB19C4" w:rsidRPr="00A87E2F">
        <w:t>2025</w:t>
      </w:r>
    </w:p>
    <w:p w14:paraId="4568CE8A" w14:textId="392B5264" w:rsidR="00224DC4" w:rsidRPr="00A87E2F" w:rsidRDefault="006D0AB9" w:rsidP="00BB3BC1">
      <w:r w:rsidRPr="00A87E2F">
        <w:rPr>
          <w:noProof/>
        </w:rPr>
        <w:drawing>
          <wp:inline distT="0" distB="0" distL="0" distR="0" wp14:anchorId="4CA9ACCA" wp14:editId="63C89863">
            <wp:extent cx="6492240" cy="1814305"/>
            <wp:effectExtent l="0" t="0" r="3810" b="0"/>
            <wp:docPr id="861234391" name="Picture 3" descr="double bar chart &#10;Minnesota export trends for top 10 countries, 2025-q4&#10;Country Exports (millions) Percent Change, 2024-Q4 to 2025-Q4&#10;WORLD  $5,708  -10%&#10;Canada (1)   $1,171  -37%&#10;Mexico (2)   $910  -3%&#10;China (3)   $413  -27%&#10;Japan (4)   $259  17%&#10;Ireland (5)   $199  7%&#10;Korea (6)   $214  30%&#10;Belgium (7)   $215  15%&#10;Germany (8)   $158  13%&#10;U.K. (9)   $182  26%&#10;Netherlands (10)   $134  -14%&#10;Other  $1,855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34391" name="Picture 3" descr="double bar chart &#10;Minnesota export trends for top 10 countries, 2025-q4&#10;Country Exports (millions) Percent Change, 2024-Q4 to 2025-Q4&#10;WORLD  $5,708  -10%&#10;Canada (1)   $1,171  -37%&#10;Mexico (2)   $910  -3%&#10;China (3)   $413  -27%&#10;Japan (4)   $259  17%&#10;Ireland (5)   $199  7%&#10;Korea (6)   $214  30%&#10;Belgium (7)   $215  15%&#10;Germany (8)   $158  13%&#10;U.K. (9)   $182  26%&#10;Netherlands (10)   $134  -14%&#10;Other  $1,855  3%"/>
                    <pic:cNvPicPr>
                      <a:picLocks noChangeAspect="1" noChangeArrowheads="1"/>
                    </pic:cNvPicPr>
                  </pic:nvPicPr>
                  <pic:blipFill rotWithShape="1">
                    <a:blip r:embed="rId17">
                      <a:extLst>
                        <a:ext uri="{28A0092B-C50C-407E-A947-70E740481C1C}">
                          <a14:useLocalDpi xmlns:a14="http://schemas.microsoft.com/office/drawing/2010/main" val="0"/>
                        </a:ext>
                      </a:extLst>
                    </a:blip>
                    <a:srcRect t="6168"/>
                    <a:stretch>
                      <a:fillRect/>
                    </a:stretch>
                  </pic:blipFill>
                  <pic:spPr bwMode="auto">
                    <a:xfrm>
                      <a:off x="0" y="0"/>
                      <a:ext cx="6492240" cy="1814305"/>
                    </a:xfrm>
                    <a:prstGeom prst="rect">
                      <a:avLst/>
                    </a:prstGeom>
                    <a:noFill/>
                    <a:ln>
                      <a:noFill/>
                    </a:ln>
                    <a:extLst>
                      <a:ext uri="{53640926-AAD7-44D8-BBD7-CCE9431645EC}">
                        <a14:shadowObscured xmlns:a14="http://schemas.microsoft.com/office/drawing/2010/main"/>
                      </a:ext>
                    </a:extLst>
                  </pic:spPr>
                </pic:pic>
              </a:graphicData>
            </a:graphic>
          </wp:inline>
        </w:drawing>
      </w:r>
    </w:p>
    <w:p w14:paraId="1FA7CF8F" w14:textId="663F66F6" w:rsidR="00911149" w:rsidRPr="00A87E2F" w:rsidRDefault="00BB0AAC" w:rsidP="003D3745">
      <w:pPr>
        <w:pStyle w:val="Heading2"/>
        <w:tabs>
          <w:tab w:val="left" w:pos="360"/>
        </w:tabs>
        <w:spacing w:after="240"/>
        <w:ind w:left="360" w:hanging="360"/>
        <w:rPr>
          <w:color w:val="auto"/>
        </w:rPr>
        <w:sectPr w:rsidR="00911149" w:rsidRPr="00A87E2F" w:rsidSect="00FE15EB">
          <w:footerReference w:type="default" r:id="rId18"/>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A87E2F">
        <w:rPr>
          <w:bCs w:val="0"/>
          <w:i/>
          <w:color w:val="auto"/>
          <w:sz w:val="28"/>
        </w:rPr>
        <w:t xml:space="preserve">Widespread </w:t>
      </w:r>
      <w:r w:rsidR="008620B1" w:rsidRPr="00A87E2F">
        <w:rPr>
          <w:bCs w:val="0"/>
          <w:i/>
          <w:color w:val="auto"/>
          <w:sz w:val="28"/>
        </w:rPr>
        <w:t>Slump</w:t>
      </w:r>
      <w:r w:rsidR="004E1B65" w:rsidRPr="00A87E2F">
        <w:rPr>
          <w:bCs w:val="0"/>
          <w:i/>
          <w:color w:val="auto"/>
          <w:sz w:val="28"/>
        </w:rPr>
        <w:t xml:space="preserve"> A</w:t>
      </w:r>
      <w:r w:rsidR="00890308" w:rsidRPr="00A87E2F">
        <w:rPr>
          <w:bCs w:val="0"/>
          <w:i/>
          <w:color w:val="auto"/>
          <w:sz w:val="28"/>
        </w:rPr>
        <w:t>cross</w:t>
      </w:r>
      <w:r w:rsidR="004E1B65" w:rsidRPr="00A87E2F">
        <w:rPr>
          <w:bCs w:val="0"/>
          <w:i/>
          <w:color w:val="auto"/>
          <w:sz w:val="28"/>
        </w:rPr>
        <w:t xml:space="preserve"> Major Product Categories, </w:t>
      </w:r>
      <w:r w:rsidRPr="00A87E2F">
        <w:rPr>
          <w:bCs w:val="0"/>
          <w:i/>
          <w:color w:val="auto"/>
          <w:sz w:val="28"/>
        </w:rPr>
        <w:t>Growth</w:t>
      </w:r>
      <w:r w:rsidR="007E29BA" w:rsidRPr="00A87E2F">
        <w:rPr>
          <w:bCs w:val="0"/>
          <w:i/>
          <w:color w:val="auto"/>
          <w:sz w:val="28"/>
        </w:rPr>
        <w:t xml:space="preserve"> in Limited</w:t>
      </w:r>
      <w:r w:rsidRPr="00A87E2F">
        <w:rPr>
          <w:bCs w:val="0"/>
          <w:i/>
          <w:color w:val="auto"/>
          <w:sz w:val="28"/>
        </w:rPr>
        <w:t xml:space="preserve"> </w:t>
      </w:r>
      <w:r w:rsidR="003279A8" w:rsidRPr="00A87E2F">
        <w:rPr>
          <w:bCs w:val="0"/>
          <w:i/>
          <w:color w:val="auto"/>
          <w:sz w:val="28"/>
        </w:rPr>
        <w:t xml:space="preserve">Areas </w:t>
      </w:r>
    </w:p>
    <w:p w14:paraId="0B14C700" w14:textId="5C77E8B7" w:rsidR="00890308" w:rsidRPr="00A87E2F" w:rsidRDefault="00117A11" w:rsidP="004268CA">
      <w:pPr>
        <w:pStyle w:val="NoSpacing"/>
        <w:numPr>
          <w:ilvl w:val="0"/>
          <w:numId w:val="20"/>
        </w:numPr>
        <w:spacing w:line="269" w:lineRule="auto"/>
        <w:ind w:right="-14"/>
        <w:rPr>
          <w:rFonts w:asciiTheme="majorHAnsi" w:eastAsiaTheme="majorEastAsia" w:hAnsiTheme="majorHAnsi" w:cstheme="majorBidi"/>
          <w:i/>
          <w:iCs/>
          <w:sz w:val="24"/>
          <w:szCs w:val="24"/>
        </w:rPr>
        <w:sectPr w:rsidR="00890308" w:rsidRPr="00A87E2F"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A87E2F">
        <w:t>Minnesota e</w:t>
      </w:r>
      <w:r w:rsidR="00F276A4" w:rsidRPr="00A87E2F">
        <w:t xml:space="preserve">xports </w:t>
      </w:r>
      <w:r w:rsidR="007856B0" w:rsidRPr="00A87E2F">
        <w:t>dropped 1</w:t>
      </w:r>
      <w:r w:rsidR="00890308" w:rsidRPr="00A87E2F">
        <w:t>0</w:t>
      </w:r>
      <w:r w:rsidR="007856B0" w:rsidRPr="00A87E2F">
        <w:t xml:space="preserve">% </w:t>
      </w:r>
      <w:r w:rsidR="003D3745" w:rsidRPr="00A87E2F">
        <w:t xml:space="preserve">in the fourth quarter </w:t>
      </w:r>
      <w:r w:rsidR="007856B0" w:rsidRPr="00A87E2F">
        <w:t xml:space="preserve">as </w:t>
      </w:r>
      <w:r w:rsidR="003D3745" w:rsidRPr="00A87E2F">
        <w:t>major</w:t>
      </w:r>
      <w:r w:rsidR="008F40AF" w:rsidRPr="00A87E2F">
        <w:t xml:space="preserve"> </w:t>
      </w:r>
      <w:r w:rsidR="00F276A4" w:rsidRPr="00A87E2F">
        <w:t>products</w:t>
      </w:r>
      <w:r w:rsidR="00890308" w:rsidRPr="00A87E2F">
        <w:t xml:space="preserve"> – such as</w:t>
      </w:r>
      <w:r w:rsidR="00BB0AAC" w:rsidRPr="00A87E2F">
        <w:t xml:space="preserve"> </w:t>
      </w:r>
      <w:r w:rsidR="004E1B65" w:rsidRPr="00A87E2F">
        <w:rPr>
          <w:b/>
          <w:bCs/>
        </w:rPr>
        <w:t>mineral fuel, oil</w:t>
      </w:r>
      <w:r w:rsidR="004E1B65" w:rsidRPr="00A87E2F">
        <w:t xml:space="preserve"> (down 9</w:t>
      </w:r>
      <w:r w:rsidR="00890308" w:rsidRPr="00A87E2F">
        <w:t>5</w:t>
      </w:r>
      <w:r w:rsidR="004E1B65" w:rsidRPr="00A87E2F">
        <w:t xml:space="preserve">%), </w:t>
      </w:r>
      <w:r w:rsidR="00890308" w:rsidRPr="00A87E2F">
        <w:rPr>
          <w:b/>
          <w:bCs/>
        </w:rPr>
        <w:t>ores, slag, ash</w:t>
      </w:r>
      <w:r w:rsidR="00890308" w:rsidRPr="00A87E2F">
        <w:t xml:space="preserve"> (down 85%), </w:t>
      </w:r>
      <w:r w:rsidR="004E1B65" w:rsidRPr="00A87E2F">
        <w:rPr>
          <w:b/>
          <w:bCs/>
        </w:rPr>
        <w:t>machinery</w:t>
      </w:r>
      <w:r w:rsidR="004E1B65" w:rsidRPr="00A87E2F">
        <w:t xml:space="preserve"> (down </w:t>
      </w:r>
      <w:r w:rsidR="00890308" w:rsidRPr="00A87E2F">
        <w:t>7</w:t>
      </w:r>
      <w:r w:rsidR="004E1B65" w:rsidRPr="00A87E2F">
        <w:t>%)</w:t>
      </w:r>
      <w:r w:rsidR="00890308" w:rsidRPr="00A87E2F">
        <w:t xml:space="preserve"> and</w:t>
      </w:r>
      <w:r w:rsidR="004E1B65" w:rsidRPr="00A87E2F">
        <w:t xml:space="preserve"> </w:t>
      </w:r>
      <w:r w:rsidR="008F40AF" w:rsidRPr="00A87E2F">
        <w:rPr>
          <w:b/>
          <w:bCs/>
        </w:rPr>
        <w:t>misc. chemicals</w:t>
      </w:r>
      <w:r w:rsidR="001D2F50" w:rsidRPr="00A87E2F">
        <w:rPr>
          <w:b/>
          <w:bCs/>
        </w:rPr>
        <w:t xml:space="preserve"> </w:t>
      </w:r>
      <w:r w:rsidR="001D2F50" w:rsidRPr="00A87E2F">
        <w:t xml:space="preserve">(down </w:t>
      </w:r>
      <w:r w:rsidR="00890308" w:rsidRPr="00A87E2F">
        <w:t>26</w:t>
      </w:r>
      <w:r w:rsidR="001D2F50" w:rsidRPr="00A87E2F">
        <w:t>%)</w:t>
      </w:r>
      <w:r w:rsidR="00890308" w:rsidRPr="00A87E2F">
        <w:t xml:space="preserve"> – los</w:t>
      </w:r>
      <w:r w:rsidR="003D3745" w:rsidRPr="00A87E2F">
        <w:t>t more</w:t>
      </w:r>
      <w:r w:rsidR="00890308" w:rsidRPr="00A87E2F">
        <w:t xml:space="preserve"> traction.</w:t>
      </w:r>
    </w:p>
    <w:p w14:paraId="20631419" w14:textId="556C4831" w:rsidR="004E6D50" w:rsidRPr="00A87E2F" w:rsidRDefault="00117A11" w:rsidP="004E6D50">
      <w:pPr>
        <w:pStyle w:val="NoSpacing"/>
        <w:numPr>
          <w:ilvl w:val="0"/>
          <w:numId w:val="20"/>
        </w:numPr>
        <w:spacing w:line="269" w:lineRule="auto"/>
        <w:ind w:right="-14"/>
        <w:rPr>
          <w:rFonts w:asciiTheme="minorHAnsi" w:eastAsiaTheme="majorEastAsia" w:hAnsiTheme="minorHAnsi" w:cstheme="minorHAnsi"/>
          <w:i/>
          <w:iCs/>
        </w:rPr>
      </w:pPr>
      <w:r w:rsidRPr="00A87E2F">
        <w:t>E</w:t>
      </w:r>
      <w:r w:rsidR="00097936" w:rsidRPr="00A87E2F">
        <w:t>xports of</w:t>
      </w:r>
      <w:r w:rsidR="00097936" w:rsidRPr="00A87E2F">
        <w:rPr>
          <w:b/>
        </w:rPr>
        <w:t xml:space="preserve"> mineral fuel, oil</w:t>
      </w:r>
      <w:r w:rsidR="00097936" w:rsidRPr="00A87E2F">
        <w:rPr>
          <w:bCs/>
        </w:rPr>
        <w:t xml:space="preserve"> (including </w:t>
      </w:r>
      <w:r w:rsidR="00097936" w:rsidRPr="00A87E2F">
        <w:rPr>
          <w:b/>
        </w:rPr>
        <w:t>motor fuel</w:t>
      </w:r>
      <w:r w:rsidR="00097936" w:rsidRPr="00A87E2F">
        <w:rPr>
          <w:bCs/>
        </w:rPr>
        <w:t>)</w:t>
      </w:r>
      <w:r w:rsidR="00097936" w:rsidRPr="00A87E2F">
        <w:rPr>
          <w:b/>
        </w:rPr>
        <w:t xml:space="preserve"> </w:t>
      </w:r>
      <w:r w:rsidR="00F743AB" w:rsidRPr="00A87E2F">
        <w:rPr>
          <w:bCs/>
        </w:rPr>
        <w:t>sank</w:t>
      </w:r>
      <w:r w:rsidRPr="00A87E2F">
        <w:rPr>
          <w:bCs/>
        </w:rPr>
        <w:t>, as e</w:t>
      </w:r>
      <w:r w:rsidR="00097936" w:rsidRPr="00A87E2F">
        <w:rPr>
          <w:bCs/>
        </w:rPr>
        <w:t>xports of these goods</w:t>
      </w:r>
      <w:r w:rsidRPr="00A87E2F">
        <w:rPr>
          <w:bCs/>
        </w:rPr>
        <w:t xml:space="preserve"> </w:t>
      </w:r>
      <w:r w:rsidRPr="00A87E2F">
        <w:rPr>
          <w:rFonts w:asciiTheme="minorHAnsi" w:hAnsiTheme="minorHAnsi" w:cstheme="minorHAnsi"/>
          <w:bCs/>
        </w:rPr>
        <w:t xml:space="preserve">to </w:t>
      </w:r>
      <w:r w:rsidRPr="00A87E2F">
        <w:rPr>
          <w:rFonts w:asciiTheme="minorHAnsi" w:hAnsiTheme="minorHAnsi" w:cstheme="minorHAnsi"/>
          <w:b/>
        </w:rPr>
        <w:t xml:space="preserve">Canada, </w:t>
      </w:r>
      <w:r w:rsidRPr="00A87E2F">
        <w:rPr>
          <w:rFonts w:asciiTheme="minorHAnsi" w:hAnsiTheme="minorHAnsi" w:cstheme="minorHAnsi"/>
          <w:bCs/>
        </w:rPr>
        <w:t>the dominant</w:t>
      </w:r>
      <w:r w:rsidRPr="00A87E2F">
        <w:rPr>
          <w:rFonts w:asciiTheme="minorHAnsi" w:hAnsiTheme="minorHAnsi" w:cstheme="minorHAnsi"/>
          <w:b/>
        </w:rPr>
        <w:t xml:space="preserve"> </w:t>
      </w:r>
      <w:r w:rsidRPr="00A87E2F">
        <w:rPr>
          <w:rFonts w:asciiTheme="minorHAnsi" w:hAnsiTheme="minorHAnsi" w:cstheme="minorHAnsi"/>
          <w:bCs/>
        </w:rPr>
        <w:t>market,</w:t>
      </w:r>
      <w:r w:rsidR="00097936" w:rsidRPr="00A87E2F">
        <w:rPr>
          <w:bCs/>
        </w:rPr>
        <w:t xml:space="preserve"> </w:t>
      </w:r>
      <w:r w:rsidR="00F743AB" w:rsidRPr="00A87E2F">
        <w:rPr>
          <w:bCs/>
        </w:rPr>
        <w:t xml:space="preserve">plunged </w:t>
      </w:r>
      <w:r w:rsidR="00097936" w:rsidRPr="00A87E2F">
        <w:rPr>
          <w:bCs/>
        </w:rPr>
        <w:t>$5</w:t>
      </w:r>
      <w:r w:rsidR="00F743AB" w:rsidRPr="00A87E2F">
        <w:rPr>
          <w:bCs/>
        </w:rPr>
        <w:t>4</w:t>
      </w:r>
      <w:r w:rsidR="00097936" w:rsidRPr="00A87E2F">
        <w:rPr>
          <w:bCs/>
        </w:rPr>
        <w:t>0 million</w:t>
      </w:r>
      <w:r w:rsidR="00097936" w:rsidRPr="00A87E2F">
        <w:rPr>
          <w:rFonts w:asciiTheme="minorHAnsi" w:hAnsiTheme="minorHAnsi" w:cstheme="minorHAnsi"/>
          <w:bCs/>
        </w:rPr>
        <w:t>.</w:t>
      </w:r>
      <w:r w:rsidR="00097936" w:rsidRPr="00A87E2F">
        <w:rPr>
          <w:rFonts w:asciiTheme="minorHAnsi" w:eastAsiaTheme="majorEastAsia" w:hAnsiTheme="minorHAnsi" w:cstheme="minorHAnsi"/>
          <w:i/>
          <w:iCs/>
        </w:rPr>
        <w:t xml:space="preserve"> </w:t>
      </w:r>
    </w:p>
    <w:p w14:paraId="5D9F658A" w14:textId="607F18DA" w:rsidR="00F743AB" w:rsidRPr="00A87E2F" w:rsidRDefault="001E1D66" w:rsidP="00F743AB">
      <w:pPr>
        <w:pStyle w:val="NoSpacing"/>
        <w:numPr>
          <w:ilvl w:val="0"/>
          <w:numId w:val="20"/>
        </w:numPr>
        <w:spacing w:line="269" w:lineRule="auto"/>
        <w:ind w:right="-14"/>
        <w:rPr>
          <w:rFonts w:asciiTheme="majorHAnsi" w:eastAsiaTheme="majorEastAsia" w:hAnsiTheme="majorHAnsi" w:cstheme="majorBidi"/>
          <w:b/>
          <w:i/>
          <w:iCs/>
          <w:sz w:val="24"/>
          <w:szCs w:val="24"/>
        </w:rPr>
      </w:pPr>
      <w:r w:rsidRPr="00A87E2F">
        <w:rPr>
          <w:rFonts w:asciiTheme="minorHAnsi" w:eastAsiaTheme="majorEastAsia" w:hAnsiTheme="minorHAnsi" w:cstheme="minorHAnsi"/>
        </w:rPr>
        <w:t>Weak</w:t>
      </w:r>
      <w:r w:rsidR="00F743AB" w:rsidRPr="00A87E2F">
        <w:rPr>
          <w:rFonts w:asciiTheme="minorHAnsi" w:eastAsiaTheme="majorEastAsia" w:hAnsiTheme="minorHAnsi" w:cstheme="minorHAnsi"/>
        </w:rPr>
        <w:t xml:space="preserve"> demand </w:t>
      </w:r>
      <w:r w:rsidR="003D3745" w:rsidRPr="00A87E2F">
        <w:rPr>
          <w:rFonts w:asciiTheme="minorHAnsi" w:eastAsiaTheme="majorEastAsia" w:hAnsiTheme="minorHAnsi" w:cstheme="minorHAnsi"/>
        </w:rPr>
        <w:t xml:space="preserve">for </w:t>
      </w:r>
      <w:r w:rsidR="003D3745" w:rsidRPr="00A87E2F">
        <w:rPr>
          <w:b/>
        </w:rPr>
        <w:t>iron ores</w:t>
      </w:r>
      <w:r w:rsidR="003D3745" w:rsidRPr="00A87E2F">
        <w:rPr>
          <w:rFonts w:asciiTheme="minorHAnsi" w:eastAsiaTheme="majorEastAsia" w:hAnsiTheme="minorHAnsi" w:cstheme="minorHAnsi"/>
        </w:rPr>
        <w:t xml:space="preserve"> </w:t>
      </w:r>
      <w:r w:rsidR="00F743AB" w:rsidRPr="00A87E2F">
        <w:rPr>
          <w:rFonts w:asciiTheme="minorHAnsi" w:eastAsiaTheme="majorEastAsia" w:hAnsiTheme="minorHAnsi" w:cstheme="minorHAnsi"/>
        </w:rPr>
        <w:t>i</w:t>
      </w:r>
      <w:r w:rsidR="00F743AB" w:rsidRPr="00A87E2F">
        <w:rPr>
          <w:bCs/>
        </w:rPr>
        <w:t xml:space="preserve">n </w:t>
      </w:r>
      <w:r w:rsidR="00F743AB" w:rsidRPr="00A87E2F">
        <w:rPr>
          <w:b/>
        </w:rPr>
        <w:t>Canada</w:t>
      </w:r>
      <w:r w:rsidR="00F743AB" w:rsidRPr="00A87E2F">
        <w:rPr>
          <w:bCs/>
        </w:rPr>
        <w:t xml:space="preserve"> (down 85%)</w:t>
      </w:r>
      <w:r w:rsidR="00B34F18" w:rsidRPr="00A87E2F">
        <w:rPr>
          <w:bCs/>
        </w:rPr>
        <w:t xml:space="preserve"> </w:t>
      </w:r>
      <w:r w:rsidR="00F743AB" w:rsidRPr="00A87E2F">
        <w:rPr>
          <w:bCs/>
        </w:rPr>
        <w:t xml:space="preserve">triggered </w:t>
      </w:r>
      <w:r w:rsidRPr="00A87E2F">
        <w:rPr>
          <w:bCs/>
        </w:rPr>
        <w:t>lackluster</w:t>
      </w:r>
      <w:r w:rsidR="00F743AB" w:rsidRPr="00A87E2F">
        <w:rPr>
          <w:bCs/>
        </w:rPr>
        <w:t xml:space="preserve"> exports of</w:t>
      </w:r>
      <w:r w:rsidR="003D3745" w:rsidRPr="00A87E2F">
        <w:rPr>
          <w:bCs/>
        </w:rPr>
        <w:t xml:space="preserve"> </w:t>
      </w:r>
      <w:r w:rsidR="003D3745" w:rsidRPr="00A87E2F">
        <w:rPr>
          <w:b/>
        </w:rPr>
        <w:t>ores, slag, ash</w:t>
      </w:r>
      <w:r w:rsidR="003D3745" w:rsidRPr="00A87E2F">
        <w:rPr>
          <w:bCs/>
        </w:rPr>
        <w:t>;</w:t>
      </w:r>
      <w:r w:rsidR="00F743AB" w:rsidRPr="00A87E2F">
        <w:rPr>
          <w:b/>
        </w:rPr>
        <w:t xml:space="preserve"> </w:t>
      </w:r>
      <w:r w:rsidR="00F743AB" w:rsidRPr="00A87E2F">
        <w:rPr>
          <w:bCs/>
        </w:rPr>
        <w:t xml:space="preserve">while </w:t>
      </w:r>
      <w:r w:rsidR="00F743AB" w:rsidRPr="00A87E2F">
        <w:rPr>
          <w:b/>
        </w:rPr>
        <w:t xml:space="preserve">China </w:t>
      </w:r>
      <w:r w:rsidR="00F743AB" w:rsidRPr="00A87E2F">
        <w:rPr>
          <w:bCs/>
        </w:rPr>
        <w:t xml:space="preserve">(down 63%) </w:t>
      </w:r>
      <w:r w:rsidR="003D3745" w:rsidRPr="00A87E2F">
        <w:rPr>
          <w:bCs/>
        </w:rPr>
        <w:t xml:space="preserve">steered </w:t>
      </w:r>
      <w:r w:rsidR="00F743AB" w:rsidRPr="00A87E2F">
        <w:rPr>
          <w:bCs/>
        </w:rPr>
        <w:t xml:space="preserve">the steep slide in exports of </w:t>
      </w:r>
      <w:r w:rsidR="00F743AB" w:rsidRPr="00A87E2F">
        <w:rPr>
          <w:b/>
        </w:rPr>
        <w:t>misc. chemical products</w:t>
      </w:r>
      <w:r w:rsidR="00F743AB" w:rsidRPr="00A87E2F">
        <w:rPr>
          <w:bCs/>
        </w:rPr>
        <w:t>.</w:t>
      </w:r>
    </w:p>
    <w:p w14:paraId="67CB0D7E" w14:textId="156C81F1" w:rsidR="00F743AB" w:rsidRPr="00A87E2F" w:rsidRDefault="00F743AB" w:rsidP="00F743AB">
      <w:pPr>
        <w:pStyle w:val="NoSpacing"/>
        <w:numPr>
          <w:ilvl w:val="0"/>
          <w:numId w:val="20"/>
        </w:numPr>
        <w:spacing w:line="269" w:lineRule="auto"/>
        <w:ind w:right="-14"/>
        <w:rPr>
          <w:rFonts w:asciiTheme="majorHAnsi" w:eastAsiaTheme="majorEastAsia" w:hAnsiTheme="majorHAnsi" w:cstheme="majorBidi"/>
          <w:b/>
          <w:i/>
          <w:iCs/>
          <w:sz w:val="24"/>
          <w:szCs w:val="24"/>
        </w:rPr>
      </w:pPr>
      <w:r w:rsidRPr="00A87E2F">
        <w:rPr>
          <w:bCs/>
        </w:rPr>
        <w:t>S</w:t>
      </w:r>
      <w:r w:rsidRPr="00A87E2F">
        <w:rPr>
          <w:rFonts w:asciiTheme="minorHAnsi" w:hAnsiTheme="minorHAnsi" w:cstheme="minorHAnsi"/>
          <w:bCs/>
        </w:rPr>
        <w:t xml:space="preserve">lumping markets for </w:t>
      </w:r>
      <w:r w:rsidRPr="00A87E2F">
        <w:rPr>
          <w:rFonts w:asciiTheme="minorHAnsi" w:eastAsiaTheme="majorEastAsia" w:hAnsiTheme="minorHAnsi" w:cstheme="minorHAnsi"/>
          <w:b/>
          <w:bCs/>
        </w:rPr>
        <w:t>machinery</w:t>
      </w:r>
      <w:r w:rsidRPr="00A87E2F">
        <w:rPr>
          <w:rFonts w:asciiTheme="minorHAnsi" w:eastAsiaTheme="majorEastAsia" w:hAnsiTheme="minorHAnsi" w:cstheme="minorHAnsi"/>
        </w:rPr>
        <w:t xml:space="preserve"> included </w:t>
      </w:r>
      <w:r w:rsidRPr="00A87E2F">
        <w:rPr>
          <w:rFonts w:asciiTheme="minorHAnsi" w:eastAsiaTheme="majorEastAsia" w:hAnsiTheme="minorHAnsi" w:cstheme="minorHAnsi"/>
          <w:b/>
          <w:bCs/>
        </w:rPr>
        <w:t xml:space="preserve">China </w:t>
      </w:r>
      <w:r w:rsidRPr="00A87E2F">
        <w:rPr>
          <w:rFonts w:asciiTheme="minorHAnsi" w:eastAsiaTheme="majorEastAsia" w:hAnsiTheme="minorHAnsi" w:cstheme="minorHAnsi"/>
        </w:rPr>
        <w:t>(down 31%),</w:t>
      </w:r>
      <w:r w:rsidRPr="00A87E2F">
        <w:rPr>
          <w:rFonts w:asciiTheme="minorHAnsi" w:eastAsiaTheme="majorEastAsia" w:hAnsiTheme="minorHAnsi" w:cstheme="minorHAnsi"/>
          <w:b/>
          <w:bCs/>
        </w:rPr>
        <w:t xml:space="preserve"> Israel </w:t>
      </w:r>
      <w:r w:rsidRPr="00A87E2F">
        <w:rPr>
          <w:rFonts w:asciiTheme="minorHAnsi" w:eastAsiaTheme="majorEastAsia" w:hAnsiTheme="minorHAnsi" w:cstheme="minorHAnsi"/>
        </w:rPr>
        <w:t xml:space="preserve">(down 82%) and </w:t>
      </w:r>
      <w:r w:rsidRPr="00A87E2F">
        <w:rPr>
          <w:rFonts w:asciiTheme="minorHAnsi" w:eastAsiaTheme="majorEastAsia" w:hAnsiTheme="minorHAnsi" w:cstheme="minorHAnsi"/>
          <w:b/>
          <w:bCs/>
        </w:rPr>
        <w:t xml:space="preserve">Mexico </w:t>
      </w:r>
      <w:r w:rsidRPr="00A87E2F">
        <w:rPr>
          <w:rFonts w:asciiTheme="minorHAnsi" w:eastAsiaTheme="majorEastAsia" w:hAnsiTheme="minorHAnsi" w:cstheme="minorHAnsi"/>
        </w:rPr>
        <w:t>(down 11%). Impacted segments included</w:t>
      </w:r>
      <w:r w:rsidR="00E5187C" w:rsidRPr="00A87E2F">
        <w:rPr>
          <w:rFonts w:asciiTheme="minorHAnsi" w:eastAsiaTheme="majorEastAsia" w:hAnsiTheme="minorHAnsi" w:cstheme="minorHAnsi"/>
        </w:rPr>
        <w:t xml:space="preserve"> </w:t>
      </w:r>
      <w:r w:rsidR="00E5187C" w:rsidRPr="00A87E2F">
        <w:rPr>
          <w:rFonts w:asciiTheme="minorHAnsi" w:eastAsiaTheme="majorEastAsia" w:hAnsiTheme="minorHAnsi" w:cstheme="minorHAnsi"/>
          <w:b/>
          <w:bCs/>
        </w:rPr>
        <w:t xml:space="preserve">air conditioners, machines working with textiles, centrifuges/filters </w:t>
      </w:r>
      <w:r w:rsidR="00E5187C" w:rsidRPr="00A87E2F">
        <w:rPr>
          <w:rFonts w:asciiTheme="minorHAnsi" w:eastAsiaTheme="majorEastAsia" w:hAnsiTheme="minorHAnsi" w:cstheme="minorHAnsi"/>
        </w:rPr>
        <w:t>and</w:t>
      </w:r>
      <w:r w:rsidR="00E5187C" w:rsidRPr="00A87E2F">
        <w:rPr>
          <w:rFonts w:asciiTheme="minorHAnsi" w:eastAsiaTheme="majorEastAsia" w:hAnsiTheme="minorHAnsi" w:cstheme="minorHAnsi"/>
          <w:b/>
          <w:bCs/>
        </w:rPr>
        <w:t xml:space="preserve"> printing equipment.</w:t>
      </w:r>
    </w:p>
    <w:p w14:paraId="047453D4" w14:textId="242B04ED" w:rsidR="00D33E15" w:rsidRPr="00A87E2F" w:rsidRDefault="00D33E15" w:rsidP="00E5187C">
      <w:pPr>
        <w:pStyle w:val="NoSpacing"/>
        <w:spacing w:before="120" w:line="269" w:lineRule="auto"/>
        <w:ind w:right="-14"/>
        <w:jc w:val="center"/>
        <w:rPr>
          <w:rStyle w:val="Heading4Char"/>
          <w:rFonts w:asciiTheme="minorHAnsi" w:hAnsiTheme="minorHAnsi" w:cstheme="minorHAnsi"/>
          <w:sz w:val="22"/>
        </w:rPr>
      </w:pPr>
      <w:r w:rsidRPr="00A87E2F">
        <w:rPr>
          <w:rStyle w:val="Heading4Char"/>
          <w:szCs w:val="24"/>
        </w:rPr>
        <w:t xml:space="preserve">Figure </w:t>
      </w:r>
      <w:r w:rsidRPr="00A87E2F">
        <w:rPr>
          <w:rStyle w:val="Heading4Char"/>
          <w:szCs w:val="24"/>
        </w:rPr>
        <w:fldChar w:fldCharType="begin"/>
      </w:r>
      <w:r w:rsidRPr="00A87E2F">
        <w:rPr>
          <w:rStyle w:val="Heading4Char"/>
          <w:szCs w:val="24"/>
        </w:rPr>
        <w:instrText xml:space="preserve"> SEQ Figure \* ARABIC </w:instrText>
      </w:r>
      <w:r w:rsidRPr="00A87E2F">
        <w:rPr>
          <w:rStyle w:val="Heading4Char"/>
          <w:szCs w:val="24"/>
        </w:rPr>
        <w:fldChar w:fldCharType="separate"/>
      </w:r>
      <w:r w:rsidRPr="00A87E2F">
        <w:rPr>
          <w:rStyle w:val="Heading4Char"/>
          <w:szCs w:val="24"/>
        </w:rPr>
        <w:t>3</w:t>
      </w:r>
      <w:r w:rsidRPr="00A87E2F">
        <w:rPr>
          <w:rStyle w:val="Heading4Char"/>
          <w:szCs w:val="24"/>
        </w:rPr>
        <w:fldChar w:fldCharType="end"/>
      </w:r>
      <w:r w:rsidRPr="00A87E2F">
        <w:rPr>
          <w:rStyle w:val="Heading4Char"/>
          <w:szCs w:val="24"/>
        </w:rPr>
        <w:t xml:space="preserve">. </w:t>
      </w:r>
      <w:r w:rsidR="00E2781A" w:rsidRPr="00A87E2F">
        <w:rPr>
          <w:rStyle w:val="Heading4Char"/>
          <w:szCs w:val="24"/>
        </w:rPr>
        <w:t xml:space="preserve">Top Markets for </w:t>
      </w:r>
      <w:r w:rsidR="00F743AB" w:rsidRPr="00A87E2F">
        <w:rPr>
          <w:rStyle w:val="Heading4Char"/>
          <w:szCs w:val="24"/>
        </w:rPr>
        <w:t>Machinery</w:t>
      </w:r>
    </w:p>
    <w:p w14:paraId="3DBC862D" w14:textId="6C55B44C" w:rsidR="00D33E15" w:rsidRPr="00A87E2F" w:rsidRDefault="00D33E15" w:rsidP="007E29BA">
      <w:pPr>
        <w:tabs>
          <w:tab w:val="left" w:pos="3330"/>
        </w:tabs>
        <w:spacing w:line="269" w:lineRule="auto"/>
        <w:ind w:right="54"/>
      </w:pPr>
      <w:r w:rsidRPr="00A87E2F">
        <w:rPr>
          <w:noProof/>
          <w:shd w:val="clear" w:color="auto" w:fill="E6E6E6"/>
        </w:rPr>
        <w:drawing>
          <wp:inline distT="0" distB="0" distL="0" distR="0" wp14:anchorId="35191F84" wp14:editId="441AF93B">
            <wp:extent cx="2933700" cy="1752600"/>
            <wp:effectExtent l="0" t="0" r="0" b="0"/>
            <wp:docPr id="52543106" name="Chart 52543106" descr="pie chart&#10;MN exports of Electrical equipment products, by country 2025-Q3&#10;Mexico 10%&#10;Canada 10%&#10;Thailand 8%&#10;China 8%&#10;UK 6%&#10;Japan 6%&#10;Switzerland 5%&#10;Ireland 5%&#10;Other 4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44919D" w14:textId="77777777" w:rsidR="00D33E15" w:rsidRPr="00A87E2F" w:rsidRDefault="00D33E15" w:rsidP="00D33E15">
      <w:pPr>
        <w:pStyle w:val="NoSpacing"/>
        <w:tabs>
          <w:tab w:val="left" w:pos="3330"/>
        </w:tabs>
        <w:spacing w:before="100" w:beforeAutospacing="1" w:line="269" w:lineRule="auto"/>
        <w:ind w:right="54"/>
        <w:sectPr w:rsidR="00D33E15" w:rsidRPr="00A87E2F" w:rsidSect="00D33E15">
          <w:footnotePr>
            <w:numRestart w:val="eachSect"/>
          </w:footnotePr>
          <w:endnotePr>
            <w:numFmt w:val="decimal"/>
          </w:endnotePr>
          <w:type w:val="continuous"/>
          <w:pgSz w:w="12240" w:h="15840" w:code="1"/>
          <w:pgMar w:top="864" w:right="1008" w:bottom="864" w:left="1008" w:header="720" w:footer="720" w:gutter="0"/>
          <w:cols w:num="2" w:space="720"/>
          <w:titlePg/>
          <w:docGrid w:linePitch="299"/>
        </w:sectPr>
      </w:pPr>
    </w:p>
    <w:p w14:paraId="6DC30864" w14:textId="6BD6A86B" w:rsidR="00F743AB" w:rsidRPr="00A87E2F" w:rsidRDefault="00F743AB" w:rsidP="00F743AB">
      <w:pPr>
        <w:pStyle w:val="NoSpacing"/>
        <w:numPr>
          <w:ilvl w:val="0"/>
          <w:numId w:val="20"/>
        </w:numPr>
        <w:spacing w:line="269" w:lineRule="auto"/>
        <w:ind w:right="-14"/>
        <w:rPr>
          <w:rFonts w:asciiTheme="minorHAnsi" w:eastAsiaTheme="majorEastAsia" w:hAnsiTheme="minorHAnsi" w:cstheme="minorHAnsi"/>
          <w:i/>
          <w:iCs/>
        </w:rPr>
      </w:pPr>
      <w:r w:rsidRPr="00A87E2F">
        <w:rPr>
          <w:b/>
          <w:bCs/>
        </w:rPr>
        <w:t xml:space="preserve">Electrical equipment </w:t>
      </w:r>
      <w:r w:rsidRPr="00A87E2F">
        <w:t>exports (up 26%)</w:t>
      </w:r>
      <w:r w:rsidRPr="00A87E2F">
        <w:rPr>
          <w:b/>
          <w:bCs/>
        </w:rPr>
        <w:t xml:space="preserve"> </w:t>
      </w:r>
      <w:r w:rsidRPr="00A87E2F">
        <w:t xml:space="preserve">swelled to the </w:t>
      </w:r>
      <w:r w:rsidRPr="00A87E2F">
        <w:rPr>
          <w:b/>
          <w:bCs/>
        </w:rPr>
        <w:t>U.K.</w:t>
      </w:r>
      <w:r w:rsidRPr="00A87E2F">
        <w:t xml:space="preserve"> (up 114%), </w:t>
      </w:r>
      <w:r w:rsidRPr="00A87E2F">
        <w:rPr>
          <w:b/>
          <w:bCs/>
        </w:rPr>
        <w:t>Korea</w:t>
      </w:r>
      <w:r w:rsidRPr="00A87E2F">
        <w:t xml:space="preserve"> (up 157%), </w:t>
      </w:r>
      <w:r w:rsidRPr="00A87E2F">
        <w:rPr>
          <w:b/>
          <w:bCs/>
        </w:rPr>
        <w:t xml:space="preserve">Thailand </w:t>
      </w:r>
      <w:r w:rsidRPr="00A87E2F">
        <w:t xml:space="preserve">(up 56%) and </w:t>
      </w:r>
      <w:r w:rsidRPr="00A87E2F">
        <w:rPr>
          <w:b/>
          <w:bCs/>
        </w:rPr>
        <w:t xml:space="preserve">Germany </w:t>
      </w:r>
      <w:r w:rsidRPr="00A87E2F">
        <w:t>(up 54%)</w:t>
      </w:r>
      <w:r w:rsidR="00DA25D8" w:rsidRPr="00A87E2F">
        <w:t xml:space="preserve"> – boosted by surges in demand </w:t>
      </w:r>
      <w:r w:rsidRPr="00A87E2F">
        <w:t xml:space="preserve">for </w:t>
      </w:r>
      <w:r w:rsidRPr="00A87E2F">
        <w:rPr>
          <w:b/>
        </w:rPr>
        <w:t>integrated circuits</w:t>
      </w:r>
      <w:r w:rsidR="00DA25D8" w:rsidRPr="00A87E2F">
        <w:rPr>
          <w:b/>
        </w:rPr>
        <w:t xml:space="preserve"> </w:t>
      </w:r>
      <w:r w:rsidR="00DA25D8" w:rsidRPr="00A87E2F">
        <w:rPr>
          <w:bCs/>
        </w:rPr>
        <w:t>(up 73%)</w:t>
      </w:r>
      <w:r w:rsidRPr="00A87E2F">
        <w:rPr>
          <w:bCs/>
        </w:rPr>
        <w:t>,</w:t>
      </w:r>
      <w:r w:rsidRPr="00A87E2F">
        <w:rPr>
          <w:b/>
        </w:rPr>
        <w:t xml:space="preserve"> </w:t>
      </w:r>
      <w:r w:rsidR="00DA25D8" w:rsidRPr="00A87E2F">
        <w:rPr>
          <w:b/>
        </w:rPr>
        <w:t>specialized equipment</w:t>
      </w:r>
      <w:r w:rsidRPr="00A87E2F">
        <w:rPr>
          <w:b/>
        </w:rPr>
        <w:t xml:space="preserve"> </w:t>
      </w:r>
      <w:r w:rsidR="00DA25D8" w:rsidRPr="00A87E2F">
        <w:rPr>
          <w:bCs/>
        </w:rPr>
        <w:t xml:space="preserve">(up 103%), </w:t>
      </w:r>
      <w:r w:rsidR="00791E4A" w:rsidRPr="00A87E2F">
        <w:rPr>
          <w:b/>
        </w:rPr>
        <w:t xml:space="preserve">electrical </w:t>
      </w:r>
      <w:r w:rsidR="00DA25D8" w:rsidRPr="00A87E2F">
        <w:rPr>
          <w:b/>
        </w:rPr>
        <w:t>switches</w:t>
      </w:r>
      <w:r w:rsidR="00DA25D8" w:rsidRPr="00A87E2F">
        <w:rPr>
          <w:bCs/>
        </w:rPr>
        <w:t xml:space="preserve"> (up 38%) and</w:t>
      </w:r>
      <w:r w:rsidRPr="00A87E2F">
        <w:rPr>
          <w:b/>
        </w:rPr>
        <w:t xml:space="preserve"> </w:t>
      </w:r>
      <w:r w:rsidR="00DA25D8" w:rsidRPr="00A87E2F">
        <w:rPr>
          <w:b/>
        </w:rPr>
        <w:t xml:space="preserve">heating equipment </w:t>
      </w:r>
      <w:r w:rsidR="00DA25D8" w:rsidRPr="00A87E2F">
        <w:rPr>
          <w:bCs/>
        </w:rPr>
        <w:t>(up 91%).</w:t>
      </w:r>
    </w:p>
    <w:p w14:paraId="53039F9D" w14:textId="22332742" w:rsidR="00454442" w:rsidRPr="00A87E2F" w:rsidRDefault="00F743AB" w:rsidP="003D3745">
      <w:pPr>
        <w:pStyle w:val="NoSpacing"/>
        <w:numPr>
          <w:ilvl w:val="0"/>
          <w:numId w:val="20"/>
        </w:numPr>
        <w:spacing w:line="269" w:lineRule="auto"/>
        <w:ind w:right="-14"/>
        <w:rPr>
          <w:rFonts w:asciiTheme="minorHAnsi" w:eastAsiaTheme="majorEastAsia" w:hAnsiTheme="minorHAnsi" w:cstheme="minorHAnsi"/>
          <w:i/>
          <w:iCs/>
        </w:rPr>
      </w:pPr>
      <w:r w:rsidRPr="00A87E2F">
        <w:rPr>
          <w:bCs/>
        </w:rPr>
        <w:t xml:space="preserve">With a </w:t>
      </w:r>
      <w:r w:rsidR="007A63FE" w:rsidRPr="00A87E2F">
        <w:rPr>
          <w:bCs/>
        </w:rPr>
        <w:t xml:space="preserve">combined </w:t>
      </w:r>
      <w:r w:rsidRPr="00A87E2F">
        <w:rPr>
          <w:bCs/>
        </w:rPr>
        <w:t xml:space="preserve">market share of </w:t>
      </w:r>
      <w:r w:rsidR="007A63FE" w:rsidRPr="00A87E2F">
        <w:rPr>
          <w:bCs/>
        </w:rPr>
        <w:t>nearly 60</w:t>
      </w:r>
      <w:r w:rsidRPr="00A87E2F">
        <w:rPr>
          <w:bCs/>
        </w:rPr>
        <w:t xml:space="preserve">%, </w:t>
      </w:r>
      <w:r w:rsidRPr="00A87E2F">
        <w:rPr>
          <w:b/>
        </w:rPr>
        <w:t xml:space="preserve">Canada </w:t>
      </w:r>
      <w:r w:rsidR="007A63FE" w:rsidRPr="00A87E2F">
        <w:rPr>
          <w:bCs/>
        </w:rPr>
        <w:t>(up 208%)</w:t>
      </w:r>
      <w:r w:rsidR="007A63FE" w:rsidRPr="00A87E2F">
        <w:rPr>
          <w:b/>
        </w:rPr>
        <w:t xml:space="preserve"> </w:t>
      </w:r>
      <w:r w:rsidR="007A63FE" w:rsidRPr="00A87E2F">
        <w:rPr>
          <w:bCs/>
        </w:rPr>
        <w:t xml:space="preserve">and </w:t>
      </w:r>
      <w:r w:rsidR="007A63FE" w:rsidRPr="00A87E2F">
        <w:rPr>
          <w:b/>
        </w:rPr>
        <w:t xml:space="preserve">Mexico </w:t>
      </w:r>
      <w:r w:rsidR="007A63FE" w:rsidRPr="00A87E2F">
        <w:rPr>
          <w:bCs/>
        </w:rPr>
        <w:t>(up 80%)</w:t>
      </w:r>
      <w:r w:rsidR="007A63FE" w:rsidRPr="00A87E2F">
        <w:rPr>
          <w:b/>
        </w:rPr>
        <w:t xml:space="preserve"> </w:t>
      </w:r>
      <w:r w:rsidRPr="00A87E2F">
        <w:rPr>
          <w:bCs/>
        </w:rPr>
        <w:t>uplifted</w:t>
      </w:r>
      <w:r w:rsidR="007A63FE" w:rsidRPr="00A87E2F">
        <w:rPr>
          <w:bCs/>
        </w:rPr>
        <w:t xml:space="preserve"> exports of</w:t>
      </w:r>
      <w:r w:rsidRPr="00A87E2F">
        <w:rPr>
          <w:bCs/>
        </w:rPr>
        <w:t xml:space="preserve"> </w:t>
      </w:r>
      <w:r w:rsidR="007A63FE" w:rsidRPr="00A87E2F">
        <w:rPr>
          <w:b/>
        </w:rPr>
        <w:t>cereals</w:t>
      </w:r>
      <w:r w:rsidRPr="00A87E2F">
        <w:rPr>
          <w:bCs/>
        </w:rPr>
        <w:t xml:space="preserve"> ($</w:t>
      </w:r>
      <w:r w:rsidR="007A63FE" w:rsidRPr="00A87E2F">
        <w:rPr>
          <w:bCs/>
        </w:rPr>
        <w:t>139</w:t>
      </w:r>
      <w:r w:rsidRPr="00A87E2F">
        <w:rPr>
          <w:bCs/>
        </w:rPr>
        <w:t xml:space="preserve"> million, up </w:t>
      </w:r>
      <w:r w:rsidR="00791E4A" w:rsidRPr="00A87E2F">
        <w:rPr>
          <w:bCs/>
        </w:rPr>
        <w:t>46</w:t>
      </w:r>
      <w:r w:rsidRPr="00A87E2F">
        <w:rPr>
          <w:bCs/>
        </w:rPr>
        <w:t>%</w:t>
      </w:r>
      <w:r w:rsidR="007A63FE" w:rsidRPr="00A87E2F">
        <w:rPr>
          <w:bCs/>
        </w:rPr>
        <w:t>)</w:t>
      </w:r>
      <w:r w:rsidR="003D3745" w:rsidRPr="00A87E2F">
        <w:rPr>
          <w:bCs/>
        </w:rPr>
        <w:t xml:space="preserve"> –</w:t>
      </w:r>
      <w:r w:rsidR="007A63FE" w:rsidRPr="00A87E2F">
        <w:rPr>
          <w:bCs/>
        </w:rPr>
        <w:t xml:space="preserve"> which mainly consisted of </w:t>
      </w:r>
      <w:r w:rsidR="007A63FE" w:rsidRPr="00A87E2F">
        <w:rPr>
          <w:b/>
        </w:rPr>
        <w:t>corn (maize)</w:t>
      </w:r>
      <w:r w:rsidR="007A63FE" w:rsidRPr="00A87E2F">
        <w:rPr>
          <w:bCs/>
        </w:rPr>
        <w:t xml:space="preserve"> (up 123%) and </w:t>
      </w:r>
      <w:r w:rsidR="007A63FE" w:rsidRPr="00A87E2F">
        <w:rPr>
          <w:b/>
        </w:rPr>
        <w:t>wheat</w:t>
      </w:r>
      <w:r w:rsidR="007A63FE" w:rsidRPr="00A87E2F">
        <w:rPr>
          <w:bCs/>
        </w:rPr>
        <w:t xml:space="preserve"> (up 23%).</w:t>
      </w:r>
      <w:r w:rsidR="00454442" w:rsidRPr="00A87E2F">
        <w:rPr>
          <w:bCs/>
        </w:rPr>
        <w:t xml:space="preserve"> </w:t>
      </w:r>
    </w:p>
    <w:p w14:paraId="60F08F57" w14:textId="670C480E" w:rsidR="00454442" w:rsidRPr="00A87E2F" w:rsidRDefault="001E1D66" w:rsidP="00454442">
      <w:pPr>
        <w:pStyle w:val="NoSpacing"/>
        <w:numPr>
          <w:ilvl w:val="0"/>
          <w:numId w:val="20"/>
        </w:numPr>
        <w:spacing w:line="269" w:lineRule="auto"/>
        <w:ind w:right="-14"/>
        <w:rPr>
          <w:rFonts w:asciiTheme="minorHAnsi" w:eastAsiaTheme="majorEastAsia" w:hAnsiTheme="minorHAnsi" w:cstheme="minorHAnsi"/>
          <w:i/>
          <w:iCs/>
        </w:rPr>
      </w:pPr>
      <w:r w:rsidRPr="00A87E2F">
        <w:rPr>
          <w:b/>
        </w:rPr>
        <w:t xml:space="preserve">Mexico’s </w:t>
      </w:r>
      <w:r w:rsidRPr="00A87E2F">
        <w:rPr>
          <w:bCs/>
        </w:rPr>
        <w:t xml:space="preserve">demand for </w:t>
      </w:r>
      <w:r w:rsidRPr="00A87E2F">
        <w:rPr>
          <w:b/>
        </w:rPr>
        <w:t>soybeans</w:t>
      </w:r>
      <w:r w:rsidRPr="00A87E2F">
        <w:rPr>
          <w:bCs/>
        </w:rPr>
        <w:t xml:space="preserve"> (up </w:t>
      </w:r>
      <w:r w:rsidR="00791E4A" w:rsidRPr="00A87E2F">
        <w:rPr>
          <w:bCs/>
        </w:rPr>
        <w:t>99</w:t>
      </w:r>
      <w:r w:rsidRPr="00A87E2F">
        <w:rPr>
          <w:bCs/>
        </w:rPr>
        <w:t xml:space="preserve">%) spurred growth in </w:t>
      </w:r>
      <w:r w:rsidRPr="00A87E2F">
        <w:rPr>
          <w:b/>
        </w:rPr>
        <w:t xml:space="preserve">oil seeds, misc. grain. </w:t>
      </w:r>
      <w:r w:rsidRPr="00A87E2F">
        <w:rPr>
          <w:bCs/>
        </w:rPr>
        <w:t xml:space="preserve">Both </w:t>
      </w:r>
      <w:r w:rsidR="00454442" w:rsidRPr="00A87E2F">
        <w:rPr>
          <w:b/>
        </w:rPr>
        <w:t xml:space="preserve">Canada </w:t>
      </w:r>
      <w:r w:rsidR="00454442" w:rsidRPr="00A87E2F">
        <w:rPr>
          <w:bCs/>
        </w:rPr>
        <w:t xml:space="preserve">and </w:t>
      </w:r>
      <w:r w:rsidR="00454442" w:rsidRPr="00A87E2F">
        <w:rPr>
          <w:b/>
        </w:rPr>
        <w:t>Mexico</w:t>
      </w:r>
      <w:r w:rsidR="00454442" w:rsidRPr="00A87E2F">
        <w:rPr>
          <w:bCs/>
        </w:rPr>
        <w:t xml:space="preserve"> fueled export growth of </w:t>
      </w:r>
      <w:r w:rsidR="00454442" w:rsidRPr="00A87E2F">
        <w:rPr>
          <w:b/>
        </w:rPr>
        <w:t>dairy, eggs, honey</w:t>
      </w:r>
      <w:r w:rsidR="00454442" w:rsidRPr="00A87E2F">
        <w:rPr>
          <w:bCs/>
        </w:rPr>
        <w:t xml:space="preserve"> ($52 million, up 44%; </w:t>
      </w:r>
      <w:r w:rsidR="00791E4A" w:rsidRPr="00A87E2F">
        <w:rPr>
          <w:bCs/>
        </w:rPr>
        <w:t>such as</w:t>
      </w:r>
      <w:r w:rsidR="00454442" w:rsidRPr="00A87E2F">
        <w:rPr>
          <w:b/>
        </w:rPr>
        <w:t xml:space="preserve"> butter, whey products,</w:t>
      </w:r>
      <w:r w:rsidR="00454442" w:rsidRPr="00A87E2F">
        <w:rPr>
          <w:bCs/>
        </w:rPr>
        <w:t xml:space="preserve"> </w:t>
      </w:r>
      <w:r w:rsidR="00454442" w:rsidRPr="00A87E2F">
        <w:rPr>
          <w:b/>
        </w:rPr>
        <w:t>milk and cream</w:t>
      </w:r>
      <w:r w:rsidR="00454442" w:rsidRPr="00A87E2F">
        <w:rPr>
          <w:bCs/>
        </w:rPr>
        <w:t xml:space="preserve">) and </w:t>
      </w:r>
      <w:r w:rsidR="00454442" w:rsidRPr="00A87E2F">
        <w:rPr>
          <w:b/>
        </w:rPr>
        <w:t>miscellaneous edible preparations</w:t>
      </w:r>
      <w:r w:rsidR="00454442" w:rsidRPr="00A87E2F">
        <w:rPr>
          <w:bCs/>
        </w:rPr>
        <w:t xml:space="preserve"> ($31 million, up 31%; such a</w:t>
      </w:r>
      <w:r w:rsidR="00791E4A" w:rsidRPr="00A87E2F">
        <w:rPr>
          <w:bCs/>
        </w:rPr>
        <w:t>s</w:t>
      </w:r>
      <w:r w:rsidR="00454442" w:rsidRPr="00A87E2F">
        <w:rPr>
          <w:bCs/>
        </w:rPr>
        <w:t xml:space="preserve"> </w:t>
      </w:r>
      <w:r w:rsidR="00454442" w:rsidRPr="00A87E2F">
        <w:rPr>
          <w:b/>
        </w:rPr>
        <w:t xml:space="preserve">protein concentrates </w:t>
      </w:r>
      <w:r w:rsidR="00454442" w:rsidRPr="00A87E2F">
        <w:rPr>
          <w:bCs/>
        </w:rPr>
        <w:t xml:space="preserve">and </w:t>
      </w:r>
      <w:r w:rsidR="00454442" w:rsidRPr="00A87E2F">
        <w:rPr>
          <w:b/>
        </w:rPr>
        <w:t>yeast</w:t>
      </w:r>
      <w:r w:rsidR="00454442" w:rsidRPr="00A87E2F">
        <w:rPr>
          <w:bCs/>
        </w:rPr>
        <w:t xml:space="preserve">). </w:t>
      </w:r>
    </w:p>
    <w:p w14:paraId="394BB359" w14:textId="26B7C8EC" w:rsidR="00D37386" w:rsidRPr="00A87E2F" w:rsidRDefault="00C4200F" w:rsidP="004268CA">
      <w:pPr>
        <w:pStyle w:val="NoSpacing"/>
        <w:numPr>
          <w:ilvl w:val="0"/>
          <w:numId w:val="20"/>
        </w:numPr>
        <w:tabs>
          <w:tab w:val="left" w:pos="3330"/>
        </w:tabs>
        <w:spacing w:line="269" w:lineRule="auto"/>
        <w:ind w:right="-14"/>
        <w:rPr>
          <w:rFonts w:asciiTheme="majorHAnsi" w:eastAsiaTheme="majorEastAsia" w:hAnsiTheme="majorHAnsi" w:cstheme="majorBidi"/>
          <w:b/>
          <w:i/>
          <w:iCs/>
          <w:sz w:val="24"/>
          <w:szCs w:val="24"/>
        </w:rPr>
      </w:pPr>
      <w:r w:rsidRPr="00A87E2F">
        <w:rPr>
          <w:rFonts w:asciiTheme="minorHAnsi" w:eastAsiaTheme="majorEastAsia" w:hAnsiTheme="minorHAnsi" w:cstheme="minorHAnsi"/>
        </w:rPr>
        <w:t>Performances across markets for</w:t>
      </w:r>
      <w:r w:rsidR="002410C1" w:rsidRPr="00A87E2F">
        <w:rPr>
          <w:rFonts w:asciiTheme="minorHAnsi" w:eastAsiaTheme="majorEastAsia" w:hAnsiTheme="minorHAnsi" w:cstheme="minorHAnsi"/>
        </w:rPr>
        <w:t xml:space="preserve"> </w:t>
      </w:r>
      <w:r w:rsidR="002410C1" w:rsidRPr="00A87E2F">
        <w:rPr>
          <w:rFonts w:asciiTheme="minorHAnsi" w:eastAsiaTheme="majorEastAsia" w:hAnsiTheme="minorHAnsi" w:cstheme="minorHAnsi"/>
          <w:b/>
          <w:bCs/>
        </w:rPr>
        <w:t>optic, medical products</w:t>
      </w:r>
      <w:r w:rsidR="002410C1" w:rsidRPr="00A87E2F">
        <w:rPr>
          <w:rFonts w:asciiTheme="minorHAnsi" w:eastAsiaTheme="majorEastAsia" w:hAnsiTheme="minorHAnsi" w:cstheme="minorHAnsi"/>
        </w:rPr>
        <w:t xml:space="preserve"> (down 3%)</w:t>
      </w:r>
      <w:r w:rsidRPr="00A87E2F">
        <w:rPr>
          <w:rFonts w:asciiTheme="minorHAnsi" w:eastAsiaTheme="majorEastAsia" w:hAnsiTheme="minorHAnsi" w:cstheme="minorHAnsi"/>
        </w:rPr>
        <w:t xml:space="preserve"> were mixed. </w:t>
      </w:r>
      <w:r w:rsidR="00D37386" w:rsidRPr="00A87E2F">
        <w:rPr>
          <w:rFonts w:asciiTheme="minorHAnsi" w:eastAsiaTheme="majorEastAsia" w:hAnsiTheme="minorHAnsi" w:cstheme="minorHAnsi"/>
        </w:rPr>
        <w:t xml:space="preserve"> Sales leaped </w:t>
      </w:r>
      <w:r w:rsidR="002410C1" w:rsidRPr="00A87E2F">
        <w:rPr>
          <w:rFonts w:asciiTheme="minorHAnsi" w:eastAsiaTheme="majorEastAsia" w:hAnsiTheme="minorHAnsi" w:cstheme="minorHAnsi"/>
        </w:rPr>
        <w:t xml:space="preserve">to </w:t>
      </w:r>
      <w:r w:rsidR="002410C1" w:rsidRPr="00A87E2F">
        <w:rPr>
          <w:rFonts w:asciiTheme="minorHAnsi" w:eastAsiaTheme="majorEastAsia" w:hAnsiTheme="minorHAnsi" w:cstheme="minorHAnsi"/>
          <w:b/>
          <w:bCs/>
        </w:rPr>
        <w:t>Costa Rica</w:t>
      </w:r>
      <w:r w:rsidR="00D37386" w:rsidRPr="00A87E2F">
        <w:rPr>
          <w:rFonts w:asciiTheme="minorHAnsi" w:eastAsiaTheme="majorEastAsia" w:hAnsiTheme="minorHAnsi" w:cstheme="minorHAnsi"/>
          <w:b/>
          <w:bCs/>
        </w:rPr>
        <w:t>, Japan</w:t>
      </w:r>
      <w:r w:rsidR="002410C1" w:rsidRPr="00A87E2F">
        <w:rPr>
          <w:rFonts w:asciiTheme="minorHAnsi" w:eastAsiaTheme="majorEastAsia" w:hAnsiTheme="minorHAnsi" w:cstheme="minorHAnsi"/>
          <w:b/>
          <w:bCs/>
        </w:rPr>
        <w:t xml:space="preserve"> </w:t>
      </w:r>
      <w:r w:rsidR="002410C1" w:rsidRPr="00A87E2F">
        <w:rPr>
          <w:rFonts w:asciiTheme="minorHAnsi" w:eastAsiaTheme="majorEastAsia" w:hAnsiTheme="minorHAnsi" w:cstheme="minorHAnsi"/>
        </w:rPr>
        <w:t>and</w:t>
      </w:r>
      <w:r w:rsidR="002410C1" w:rsidRPr="00A87E2F">
        <w:rPr>
          <w:rFonts w:asciiTheme="minorHAnsi" w:eastAsiaTheme="majorEastAsia" w:hAnsiTheme="minorHAnsi" w:cstheme="minorHAnsi"/>
          <w:b/>
          <w:bCs/>
        </w:rPr>
        <w:t xml:space="preserve"> </w:t>
      </w:r>
      <w:r w:rsidR="00D37386" w:rsidRPr="00A87E2F">
        <w:rPr>
          <w:rFonts w:asciiTheme="minorHAnsi" w:eastAsiaTheme="majorEastAsia" w:hAnsiTheme="minorHAnsi" w:cstheme="minorHAnsi"/>
          <w:b/>
          <w:bCs/>
        </w:rPr>
        <w:t>Belgium</w:t>
      </w:r>
      <w:r w:rsidR="002410C1" w:rsidRPr="00A87E2F">
        <w:rPr>
          <w:rFonts w:asciiTheme="minorHAnsi" w:eastAsiaTheme="majorEastAsia" w:hAnsiTheme="minorHAnsi" w:cstheme="minorHAnsi"/>
        </w:rPr>
        <w:t xml:space="preserve"> </w:t>
      </w:r>
      <w:r w:rsidR="00D37386" w:rsidRPr="00A87E2F">
        <w:rPr>
          <w:rFonts w:asciiTheme="minorHAnsi" w:eastAsiaTheme="majorEastAsia" w:hAnsiTheme="minorHAnsi" w:cstheme="minorHAnsi"/>
        </w:rPr>
        <w:t>but</w:t>
      </w:r>
      <w:r w:rsidRPr="00A87E2F">
        <w:rPr>
          <w:rFonts w:asciiTheme="minorHAnsi" w:eastAsiaTheme="majorEastAsia" w:hAnsiTheme="minorHAnsi" w:cstheme="minorHAnsi"/>
        </w:rPr>
        <w:t xml:space="preserve"> </w:t>
      </w:r>
      <w:r w:rsidR="002C5FD9" w:rsidRPr="00A87E2F">
        <w:rPr>
          <w:rFonts w:asciiTheme="minorHAnsi" w:eastAsiaTheme="majorEastAsia" w:hAnsiTheme="minorHAnsi" w:cstheme="minorHAnsi"/>
        </w:rPr>
        <w:t xml:space="preserve">plummeted </w:t>
      </w:r>
      <w:r w:rsidRPr="00A87E2F">
        <w:rPr>
          <w:rFonts w:asciiTheme="minorHAnsi" w:eastAsiaTheme="majorEastAsia" w:hAnsiTheme="minorHAnsi" w:cstheme="minorHAnsi"/>
        </w:rPr>
        <w:t xml:space="preserve">to </w:t>
      </w:r>
      <w:r w:rsidRPr="00A87E2F">
        <w:rPr>
          <w:rFonts w:asciiTheme="minorHAnsi" w:eastAsiaTheme="majorEastAsia" w:hAnsiTheme="minorHAnsi" w:cstheme="minorHAnsi"/>
          <w:b/>
          <w:bCs/>
        </w:rPr>
        <w:t>Taiwan, China</w:t>
      </w:r>
      <w:r w:rsidR="00D37386" w:rsidRPr="00A87E2F">
        <w:rPr>
          <w:rFonts w:asciiTheme="minorHAnsi" w:eastAsiaTheme="majorEastAsia" w:hAnsiTheme="minorHAnsi" w:cstheme="minorHAnsi"/>
          <w:b/>
          <w:bCs/>
        </w:rPr>
        <w:t xml:space="preserve">, Korea </w:t>
      </w:r>
      <w:r w:rsidR="00D37386" w:rsidRPr="00A87E2F">
        <w:rPr>
          <w:rFonts w:asciiTheme="minorHAnsi" w:eastAsiaTheme="majorEastAsia" w:hAnsiTheme="minorHAnsi" w:cstheme="minorHAnsi"/>
        </w:rPr>
        <w:t xml:space="preserve">and </w:t>
      </w:r>
      <w:r w:rsidR="00D37386" w:rsidRPr="00A87E2F">
        <w:rPr>
          <w:rFonts w:asciiTheme="minorHAnsi" w:eastAsiaTheme="majorEastAsia" w:hAnsiTheme="minorHAnsi" w:cstheme="minorHAnsi"/>
          <w:b/>
          <w:bCs/>
        </w:rPr>
        <w:t xml:space="preserve">Mexico. </w:t>
      </w:r>
    </w:p>
    <w:p w14:paraId="7B28C566" w14:textId="136C4907" w:rsidR="0058253D" w:rsidRPr="00A87E2F" w:rsidRDefault="00D37386" w:rsidP="004268CA">
      <w:pPr>
        <w:pStyle w:val="NoSpacing"/>
        <w:numPr>
          <w:ilvl w:val="0"/>
          <w:numId w:val="20"/>
        </w:numPr>
        <w:tabs>
          <w:tab w:val="left" w:pos="3330"/>
        </w:tabs>
        <w:spacing w:line="269" w:lineRule="auto"/>
        <w:ind w:right="-14"/>
        <w:rPr>
          <w:rStyle w:val="Heading4Char"/>
          <w:bCs/>
          <w:szCs w:val="24"/>
        </w:rPr>
      </w:pPr>
      <w:r w:rsidRPr="00A87E2F">
        <w:rPr>
          <w:bCs/>
        </w:rPr>
        <w:t xml:space="preserve">Global sales of </w:t>
      </w:r>
      <w:r w:rsidRPr="00A87E2F">
        <w:rPr>
          <w:b/>
        </w:rPr>
        <w:t>aircraft, spacecraft</w:t>
      </w:r>
      <w:r w:rsidRPr="00A87E2F">
        <w:rPr>
          <w:bCs/>
        </w:rPr>
        <w:t xml:space="preserve"> performed remarkably in </w:t>
      </w:r>
      <w:r w:rsidRPr="00A87E2F">
        <w:rPr>
          <w:b/>
        </w:rPr>
        <w:t xml:space="preserve">Canada, UAE, Germany </w:t>
      </w:r>
      <w:r w:rsidRPr="00A87E2F">
        <w:rPr>
          <w:bCs/>
        </w:rPr>
        <w:t xml:space="preserve">and </w:t>
      </w:r>
      <w:r w:rsidRPr="00A87E2F">
        <w:rPr>
          <w:b/>
        </w:rPr>
        <w:t>Korea</w:t>
      </w:r>
      <w:r w:rsidRPr="00A87E2F">
        <w:rPr>
          <w:bCs/>
        </w:rPr>
        <w:t xml:space="preserve">; while global sales of railway equipment ($19 million, up 198%) were propelled by </w:t>
      </w:r>
      <w:r w:rsidRPr="00A87E2F">
        <w:rPr>
          <w:b/>
        </w:rPr>
        <w:t>Mexico</w:t>
      </w:r>
      <w:r w:rsidRPr="00A87E2F">
        <w:rPr>
          <w:bCs/>
        </w:rPr>
        <w:t xml:space="preserve"> ($13 million, up from $117,000).</w:t>
      </w:r>
    </w:p>
    <w:p w14:paraId="73FA3A2E" w14:textId="58F51C9E" w:rsidR="00596618" w:rsidRPr="00A87E2F" w:rsidRDefault="007F1C4A" w:rsidP="003D3745">
      <w:pPr>
        <w:pStyle w:val="Heading4"/>
        <w:spacing w:before="120" w:after="120"/>
      </w:pPr>
      <w:r w:rsidRPr="00A87E2F">
        <w:t>Fi</w:t>
      </w:r>
      <w:r w:rsidR="00A44451" w:rsidRPr="00A87E2F">
        <w:t>gure 4. Export Trends for</w:t>
      </w:r>
      <w:r w:rsidRPr="00A87E2F">
        <w:t xml:space="preserve"> Minnesota’s Top 10 Products, </w:t>
      </w:r>
      <w:r w:rsidR="002E3FB5" w:rsidRPr="00A87E2F">
        <w:t>Fourth</w:t>
      </w:r>
      <w:r w:rsidR="00375ACF" w:rsidRPr="00A87E2F">
        <w:t xml:space="preserve"> </w:t>
      </w:r>
      <w:r w:rsidR="00F85FA6" w:rsidRPr="00A87E2F">
        <w:t>Q</w:t>
      </w:r>
      <w:r w:rsidR="00375ACF" w:rsidRPr="00A87E2F">
        <w:t>uarter</w:t>
      </w:r>
      <w:r w:rsidR="00A52415" w:rsidRPr="00A87E2F">
        <w:t xml:space="preserve"> </w:t>
      </w:r>
      <w:r w:rsidR="00BB19C4" w:rsidRPr="00A87E2F">
        <w:t>2025</w:t>
      </w:r>
    </w:p>
    <w:p w14:paraId="3C615A85" w14:textId="0DEA64D0" w:rsidR="00613AAE" w:rsidRPr="00A87E2F" w:rsidRDefault="006D0AB9" w:rsidP="00C149BA">
      <w:r w:rsidRPr="00A87E2F">
        <w:rPr>
          <w:noProof/>
        </w:rPr>
        <w:drawing>
          <wp:inline distT="0" distB="0" distL="0" distR="0" wp14:anchorId="5C11D07C" wp14:editId="6FB561D1">
            <wp:extent cx="6492240" cy="1834653"/>
            <wp:effectExtent l="0" t="0" r="3810" b="0"/>
            <wp:docPr id="655252096" name="Picture 4" descr="double bar chart &#10;Minnesota export trends for top 10 product categories, 2025-q4&#10;Product Exports (millions) Percent Change, 2024-Q4 to 2025-Q4&#10;TOTAL  $5,708  -10%&#10;Optic, Medical  $1,130  -3%&#10;Electrical Equipment  $992  26%&#10;Machinery  $866  -7%&#10;Vehicles  $466  -1%&#10;Plastics  $294  -3%&#10;Food By-Products  $156  -17%&#10;Aircraft, Spacecraft  $152  16%&#10;Cereals  $139  46%&#10;Misc. Chemicals  $103  -26%&#10;Oil Seeds, Misc Grain  $97  55%&#10;Other  $1,314  -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52096" name="Picture 4" descr="double bar chart &#10;Minnesota export trends for top 10 product categories, 2025-q4&#10;Product Exports (millions) Percent Change, 2024-Q4 to 2025-Q4&#10;TOTAL  $5,708  -10%&#10;Optic, Medical  $1,130  -3%&#10;Electrical Equipment  $992  26%&#10;Machinery  $866  -7%&#10;Vehicles  $466  -1%&#10;Plastics  $294  -3%&#10;Food By-Products  $156  -17%&#10;Aircraft, Spacecraft  $152  16%&#10;Cereals  $139  46%&#10;Misc. Chemicals  $103  -26%&#10;Oil Seeds, Misc Grain  $97  55%&#10;Other  $1,314  -37%&#10;"/>
                    <pic:cNvPicPr>
                      <a:picLocks noChangeAspect="1" noChangeArrowheads="1"/>
                    </pic:cNvPicPr>
                  </pic:nvPicPr>
                  <pic:blipFill rotWithShape="1">
                    <a:blip r:embed="rId20">
                      <a:extLst>
                        <a:ext uri="{28A0092B-C50C-407E-A947-70E740481C1C}">
                          <a14:useLocalDpi xmlns:a14="http://schemas.microsoft.com/office/drawing/2010/main" val="0"/>
                        </a:ext>
                      </a:extLst>
                    </a:blip>
                    <a:srcRect t="5333"/>
                    <a:stretch>
                      <a:fillRect/>
                    </a:stretch>
                  </pic:blipFill>
                  <pic:spPr bwMode="auto">
                    <a:xfrm>
                      <a:off x="0" y="0"/>
                      <a:ext cx="6492240" cy="1834653"/>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page" w:horzAnchor="margin" w:tblpY="1326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E5A6"/>
        <w:tblLook w:val="04A0" w:firstRow="1" w:lastRow="0" w:firstColumn="1" w:lastColumn="0" w:noHBand="0" w:noVBand="1"/>
        <w:tblCaption w:val="Additional information"/>
        <w:tblDescription w:val="Minnesota Export Statistics reports 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http://mn.gov/deed/data/export-stats/).  "/>
      </w:tblPr>
      <w:tblGrid>
        <w:gridCol w:w="10255"/>
      </w:tblGrid>
      <w:tr w:rsidR="00A87E2F" w:rsidRPr="00A87E2F" w14:paraId="23A6C19B" w14:textId="77777777" w:rsidTr="006B5811">
        <w:trPr>
          <w:trHeight w:val="530"/>
        </w:trPr>
        <w:tc>
          <w:tcPr>
            <w:tcW w:w="10255" w:type="dxa"/>
            <w:shd w:val="clear" w:color="auto" w:fill="C9E5A6"/>
          </w:tcPr>
          <w:p w14:paraId="282EBA1D" w14:textId="77777777" w:rsidR="00DF665C" w:rsidRPr="00A87E2F" w:rsidRDefault="00DF665C" w:rsidP="006B5811">
            <w:pPr>
              <w:spacing w:before="120" w:after="120"/>
              <w:rPr>
                <w:rFonts w:cs="Calibri"/>
                <w:sz w:val="20"/>
                <w:szCs w:val="20"/>
              </w:rPr>
            </w:pPr>
            <w:r w:rsidRPr="00A87E2F">
              <w:rPr>
                <w:rStyle w:val="Emphasis"/>
                <w:rFonts w:cstheme="minorHAnsi"/>
                <w:sz w:val="20"/>
                <w:szCs w:val="20"/>
              </w:rPr>
              <w:t>Minnesota Export Statistics</w:t>
            </w:r>
            <w:r w:rsidRPr="00A87E2F">
              <w:rPr>
                <w:rStyle w:val="Emphasis"/>
                <w:rFonts w:cstheme="minorHAnsi"/>
                <w:i w:val="0"/>
                <w:iCs w:val="0"/>
                <w:sz w:val="20"/>
                <w:szCs w:val="20"/>
              </w:rPr>
              <w:t xml:space="preserve"> </w:t>
            </w:r>
            <w:r w:rsidRPr="00A87E2F">
              <w:rPr>
                <w:rStyle w:val="Emphasis"/>
                <w:i w:val="0"/>
                <w:iCs w:val="0"/>
                <w:sz w:val="20"/>
                <w:szCs w:val="20"/>
              </w:rPr>
              <w:t>reports</w:t>
            </w:r>
            <w:r w:rsidRPr="00A87E2F">
              <w:rPr>
                <w:rStyle w:val="Emphasis"/>
                <w:sz w:val="20"/>
                <w:szCs w:val="20"/>
              </w:rPr>
              <w:t xml:space="preserve"> t</w:t>
            </w:r>
            <w:r w:rsidRPr="00A87E2F">
              <w:rPr>
                <w:rFonts w:cstheme="minorHAnsi"/>
                <w:sz w:val="20"/>
                <w:szCs w:val="20"/>
              </w:rPr>
              <w: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w:t>
            </w:r>
            <w:hyperlink r:id="rId21" w:history="1">
              <w:r w:rsidRPr="00A87E2F">
                <w:rPr>
                  <w:rStyle w:val="Hyperlink"/>
                  <w:rFonts w:cstheme="minorHAnsi"/>
                  <w:color w:val="auto"/>
                  <w:sz w:val="20"/>
                  <w:szCs w:val="20"/>
                </w:rPr>
                <w:t>http://mn.gov/deed/data/export-stats/</w:t>
              </w:r>
            </w:hyperlink>
            <w:r w:rsidRPr="00A87E2F">
              <w:rPr>
                <w:rFonts w:cstheme="minorHAnsi"/>
                <w:sz w:val="20"/>
                <w:szCs w:val="20"/>
              </w:rPr>
              <w:t xml:space="preserve">).  </w:t>
            </w:r>
          </w:p>
        </w:tc>
      </w:tr>
    </w:tbl>
    <w:p w14:paraId="67779A89" w14:textId="0109015F" w:rsidR="00FE15EB" w:rsidRPr="00A87E2F" w:rsidRDefault="00FE15EB" w:rsidP="00F331FC">
      <w:pPr>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pPr>
    </w:p>
    <w:sectPr w:rsidR="00FE15EB" w:rsidRPr="00A87E2F"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A976" w14:textId="77777777" w:rsidR="004268CA" w:rsidRDefault="004268CA">
      <w:r>
        <w:separator/>
      </w:r>
    </w:p>
  </w:endnote>
  <w:endnote w:type="continuationSeparator" w:id="0">
    <w:p w14:paraId="53A28E41" w14:textId="77777777" w:rsidR="004268CA" w:rsidRDefault="0042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11F6" w14:textId="77777777" w:rsidR="00CC1B7D" w:rsidRDefault="00CC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2E195" w14:textId="77777777" w:rsidR="00CC1B7D" w:rsidRDefault="00CC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6150" w14:textId="22E678C6" w:rsidR="00A14E15" w:rsidRPr="00A14E15" w:rsidRDefault="00A14E15" w:rsidP="00A1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7494" w14:textId="77777777" w:rsidR="004268CA" w:rsidRDefault="004268CA">
      <w:r>
        <w:separator/>
      </w:r>
    </w:p>
  </w:footnote>
  <w:footnote w:type="continuationSeparator" w:id="0">
    <w:p w14:paraId="71EA84B3" w14:textId="77777777" w:rsidR="004268CA" w:rsidRDefault="0042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B42A"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47C6F" w14:textId="77777777" w:rsidR="00CC1B7D" w:rsidRDefault="00CC1B7D" w:rsidP="00E014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BEFB"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236">
      <w:rPr>
        <w:rStyle w:val="PageNumber"/>
        <w:noProof/>
      </w:rPr>
      <w:t>2</w:t>
    </w:r>
    <w:r>
      <w:rPr>
        <w:rStyle w:val="PageNumber"/>
      </w:rPr>
      <w:fldChar w:fldCharType="end"/>
    </w:r>
  </w:p>
  <w:p w14:paraId="4CE97ED2" w14:textId="77777777" w:rsidR="00CC1B7D" w:rsidRDefault="00CC1B7D" w:rsidP="00E014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948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51E06"/>
    <w:multiLevelType w:val="hybridMultilevel"/>
    <w:tmpl w:val="09FC6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D7251"/>
    <w:multiLevelType w:val="hybridMultilevel"/>
    <w:tmpl w:val="A20C3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3760D4"/>
    <w:multiLevelType w:val="hybridMultilevel"/>
    <w:tmpl w:val="DAF0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55FB0"/>
    <w:multiLevelType w:val="hybridMultilevel"/>
    <w:tmpl w:val="39F0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B22E7"/>
    <w:multiLevelType w:val="hybridMultilevel"/>
    <w:tmpl w:val="DB8C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621A5E"/>
    <w:multiLevelType w:val="hybridMultilevel"/>
    <w:tmpl w:val="787C9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B6753"/>
    <w:multiLevelType w:val="hybridMultilevel"/>
    <w:tmpl w:val="16028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E4940"/>
    <w:multiLevelType w:val="hybridMultilevel"/>
    <w:tmpl w:val="4AAE80EE"/>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36E93"/>
    <w:multiLevelType w:val="hybridMultilevel"/>
    <w:tmpl w:val="A672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61121C"/>
    <w:multiLevelType w:val="hybridMultilevel"/>
    <w:tmpl w:val="CFAA2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424AE"/>
    <w:multiLevelType w:val="hybridMultilevel"/>
    <w:tmpl w:val="C5087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731D63"/>
    <w:multiLevelType w:val="hybridMultilevel"/>
    <w:tmpl w:val="0FB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81A19"/>
    <w:multiLevelType w:val="hybridMultilevel"/>
    <w:tmpl w:val="B832D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926A3"/>
    <w:multiLevelType w:val="hybridMultilevel"/>
    <w:tmpl w:val="0A604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73CB2"/>
    <w:multiLevelType w:val="hybridMultilevel"/>
    <w:tmpl w:val="E0E41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1704E9"/>
    <w:multiLevelType w:val="hybridMultilevel"/>
    <w:tmpl w:val="187C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550900"/>
    <w:multiLevelType w:val="hybridMultilevel"/>
    <w:tmpl w:val="D1D2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38056F"/>
    <w:multiLevelType w:val="hybridMultilevel"/>
    <w:tmpl w:val="88CEE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DA42E3"/>
    <w:multiLevelType w:val="hybridMultilevel"/>
    <w:tmpl w:val="8A0ED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8B18F3"/>
    <w:multiLevelType w:val="hybridMultilevel"/>
    <w:tmpl w:val="9CD05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1603F"/>
    <w:multiLevelType w:val="hybridMultilevel"/>
    <w:tmpl w:val="40FEA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9D255A"/>
    <w:multiLevelType w:val="hybridMultilevel"/>
    <w:tmpl w:val="2EE4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975A35"/>
    <w:multiLevelType w:val="hybridMultilevel"/>
    <w:tmpl w:val="E502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F11FFB"/>
    <w:multiLevelType w:val="hybridMultilevel"/>
    <w:tmpl w:val="4CDA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483CF5"/>
    <w:multiLevelType w:val="hybridMultilevel"/>
    <w:tmpl w:val="67300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E717D2"/>
    <w:multiLevelType w:val="hybridMultilevel"/>
    <w:tmpl w:val="E334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115109">
    <w:abstractNumId w:val="0"/>
  </w:num>
  <w:num w:numId="2" w16cid:durableId="587809003">
    <w:abstractNumId w:val="19"/>
  </w:num>
  <w:num w:numId="3" w16cid:durableId="315185240">
    <w:abstractNumId w:val="18"/>
  </w:num>
  <w:num w:numId="4" w16cid:durableId="739328196">
    <w:abstractNumId w:val="6"/>
  </w:num>
  <w:num w:numId="5" w16cid:durableId="596596594">
    <w:abstractNumId w:val="2"/>
  </w:num>
  <w:num w:numId="6" w16cid:durableId="1351759869">
    <w:abstractNumId w:val="12"/>
  </w:num>
  <w:num w:numId="7" w16cid:durableId="1845899144">
    <w:abstractNumId w:val="26"/>
  </w:num>
  <w:num w:numId="8" w16cid:durableId="1255089048">
    <w:abstractNumId w:val="23"/>
  </w:num>
  <w:num w:numId="9" w16cid:durableId="812912516">
    <w:abstractNumId w:val="15"/>
  </w:num>
  <w:num w:numId="10" w16cid:durableId="434403191">
    <w:abstractNumId w:val="13"/>
  </w:num>
  <w:num w:numId="11" w16cid:durableId="199321401">
    <w:abstractNumId w:val="10"/>
  </w:num>
  <w:num w:numId="12" w16cid:durableId="1962147869">
    <w:abstractNumId w:val="4"/>
  </w:num>
  <w:num w:numId="13" w16cid:durableId="26877656">
    <w:abstractNumId w:val="24"/>
  </w:num>
  <w:num w:numId="14" w16cid:durableId="1700356944">
    <w:abstractNumId w:val="16"/>
  </w:num>
  <w:num w:numId="15" w16cid:durableId="1203322051">
    <w:abstractNumId w:val="8"/>
  </w:num>
  <w:num w:numId="16" w16cid:durableId="1798253661">
    <w:abstractNumId w:val="5"/>
  </w:num>
  <w:num w:numId="17" w16cid:durableId="136194312">
    <w:abstractNumId w:val="14"/>
  </w:num>
  <w:num w:numId="18" w16cid:durableId="449085045">
    <w:abstractNumId w:val="20"/>
  </w:num>
  <w:num w:numId="19" w16cid:durableId="696664036">
    <w:abstractNumId w:val="22"/>
  </w:num>
  <w:num w:numId="20" w16cid:durableId="432828150">
    <w:abstractNumId w:val="7"/>
  </w:num>
  <w:num w:numId="21" w16cid:durableId="1622178262">
    <w:abstractNumId w:val="17"/>
  </w:num>
  <w:num w:numId="22" w16cid:durableId="814876352">
    <w:abstractNumId w:val="9"/>
  </w:num>
  <w:num w:numId="23" w16cid:durableId="1871646905">
    <w:abstractNumId w:val="11"/>
  </w:num>
  <w:num w:numId="24" w16cid:durableId="2041121148">
    <w:abstractNumId w:val="3"/>
  </w:num>
  <w:num w:numId="25" w16cid:durableId="149908005">
    <w:abstractNumId w:val="21"/>
  </w:num>
  <w:num w:numId="26" w16cid:durableId="1109086943">
    <w:abstractNumId w:val="1"/>
  </w:num>
  <w:num w:numId="27" w16cid:durableId="72857948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AB"/>
    <w:rsid w:val="000034DC"/>
    <w:rsid w:val="00003FDB"/>
    <w:rsid w:val="000041CC"/>
    <w:rsid w:val="0000470B"/>
    <w:rsid w:val="000067D4"/>
    <w:rsid w:val="000115BA"/>
    <w:rsid w:val="00013717"/>
    <w:rsid w:val="00014412"/>
    <w:rsid w:val="00015A9D"/>
    <w:rsid w:val="00017FE0"/>
    <w:rsid w:val="000218A0"/>
    <w:rsid w:val="0002236E"/>
    <w:rsid w:val="00024A13"/>
    <w:rsid w:val="00024BB5"/>
    <w:rsid w:val="00027632"/>
    <w:rsid w:val="00027BEA"/>
    <w:rsid w:val="00030330"/>
    <w:rsid w:val="00031A2C"/>
    <w:rsid w:val="000341DE"/>
    <w:rsid w:val="000350A7"/>
    <w:rsid w:val="00035328"/>
    <w:rsid w:val="00036238"/>
    <w:rsid w:val="00036760"/>
    <w:rsid w:val="00040083"/>
    <w:rsid w:val="00044ED9"/>
    <w:rsid w:val="00046117"/>
    <w:rsid w:val="00051435"/>
    <w:rsid w:val="00051FE0"/>
    <w:rsid w:val="00051FF7"/>
    <w:rsid w:val="00052D34"/>
    <w:rsid w:val="000541A0"/>
    <w:rsid w:val="00054A6E"/>
    <w:rsid w:val="00055AAF"/>
    <w:rsid w:val="0005790D"/>
    <w:rsid w:val="000603F2"/>
    <w:rsid w:val="00061093"/>
    <w:rsid w:val="0006144E"/>
    <w:rsid w:val="0006608A"/>
    <w:rsid w:val="000705F0"/>
    <w:rsid w:val="000716AC"/>
    <w:rsid w:val="00073109"/>
    <w:rsid w:val="000731F2"/>
    <w:rsid w:val="00073987"/>
    <w:rsid w:val="0007455F"/>
    <w:rsid w:val="00076952"/>
    <w:rsid w:val="00076DF3"/>
    <w:rsid w:val="00077989"/>
    <w:rsid w:val="0008038B"/>
    <w:rsid w:val="00083199"/>
    <w:rsid w:val="000859F2"/>
    <w:rsid w:val="00085EED"/>
    <w:rsid w:val="000878A3"/>
    <w:rsid w:val="00090B7B"/>
    <w:rsid w:val="000919F2"/>
    <w:rsid w:val="0009219A"/>
    <w:rsid w:val="000924DC"/>
    <w:rsid w:val="00092621"/>
    <w:rsid w:val="0009287F"/>
    <w:rsid w:val="000929D8"/>
    <w:rsid w:val="00092FFB"/>
    <w:rsid w:val="00096FFD"/>
    <w:rsid w:val="00097936"/>
    <w:rsid w:val="000A1297"/>
    <w:rsid w:val="000A1B8D"/>
    <w:rsid w:val="000A491B"/>
    <w:rsid w:val="000A4AB3"/>
    <w:rsid w:val="000A5664"/>
    <w:rsid w:val="000A7EF0"/>
    <w:rsid w:val="000B2DF3"/>
    <w:rsid w:val="000B518F"/>
    <w:rsid w:val="000B5C1E"/>
    <w:rsid w:val="000B6338"/>
    <w:rsid w:val="000C1CB0"/>
    <w:rsid w:val="000C2181"/>
    <w:rsid w:val="000C2375"/>
    <w:rsid w:val="000C3AE5"/>
    <w:rsid w:val="000C4ED2"/>
    <w:rsid w:val="000D02DD"/>
    <w:rsid w:val="000D1330"/>
    <w:rsid w:val="000D18A9"/>
    <w:rsid w:val="000D1941"/>
    <w:rsid w:val="000D2409"/>
    <w:rsid w:val="000D566F"/>
    <w:rsid w:val="000D5D94"/>
    <w:rsid w:val="000D5EC5"/>
    <w:rsid w:val="000D6D2A"/>
    <w:rsid w:val="000D6FAF"/>
    <w:rsid w:val="000E0786"/>
    <w:rsid w:val="000E3376"/>
    <w:rsid w:val="000E532F"/>
    <w:rsid w:val="000E6BD9"/>
    <w:rsid w:val="000E6F54"/>
    <w:rsid w:val="000E7ED0"/>
    <w:rsid w:val="000F0519"/>
    <w:rsid w:val="000F06F6"/>
    <w:rsid w:val="000F1497"/>
    <w:rsid w:val="000F1844"/>
    <w:rsid w:val="000F1B22"/>
    <w:rsid w:val="000F3E1F"/>
    <w:rsid w:val="000F4C5E"/>
    <w:rsid w:val="000F54F2"/>
    <w:rsid w:val="000F5EB1"/>
    <w:rsid w:val="000F6660"/>
    <w:rsid w:val="000F6CDA"/>
    <w:rsid w:val="000F733F"/>
    <w:rsid w:val="00106910"/>
    <w:rsid w:val="00107686"/>
    <w:rsid w:val="001104C3"/>
    <w:rsid w:val="001127F8"/>
    <w:rsid w:val="00112A1D"/>
    <w:rsid w:val="00112A91"/>
    <w:rsid w:val="001160A5"/>
    <w:rsid w:val="00117A11"/>
    <w:rsid w:val="001214D7"/>
    <w:rsid w:val="0012471B"/>
    <w:rsid w:val="001250AB"/>
    <w:rsid w:val="001263E2"/>
    <w:rsid w:val="00132366"/>
    <w:rsid w:val="00132A66"/>
    <w:rsid w:val="00134A9C"/>
    <w:rsid w:val="00134ECC"/>
    <w:rsid w:val="00134F20"/>
    <w:rsid w:val="00135A0B"/>
    <w:rsid w:val="001360E3"/>
    <w:rsid w:val="00136664"/>
    <w:rsid w:val="0013711B"/>
    <w:rsid w:val="001373C3"/>
    <w:rsid w:val="00137E8C"/>
    <w:rsid w:val="00140B5F"/>
    <w:rsid w:val="00142003"/>
    <w:rsid w:val="0014228E"/>
    <w:rsid w:val="001422BE"/>
    <w:rsid w:val="00145936"/>
    <w:rsid w:val="00147356"/>
    <w:rsid w:val="00147EEF"/>
    <w:rsid w:val="00150201"/>
    <w:rsid w:val="001619F1"/>
    <w:rsid w:val="001625A3"/>
    <w:rsid w:val="00162EF3"/>
    <w:rsid w:val="0016340E"/>
    <w:rsid w:val="00163A63"/>
    <w:rsid w:val="00163D3F"/>
    <w:rsid w:val="00164B97"/>
    <w:rsid w:val="00170A9E"/>
    <w:rsid w:val="00172BF4"/>
    <w:rsid w:val="00172FA7"/>
    <w:rsid w:val="00173478"/>
    <w:rsid w:val="00173D78"/>
    <w:rsid w:val="00176050"/>
    <w:rsid w:val="00176732"/>
    <w:rsid w:val="00176E55"/>
    <w:rsid w:val="0018069A"/>
    <w:rsid w:val="00182D30"/>
    <w:rsid w:val="0018375B"/>
    <w:rsid w:val="0018461A"/>
    <w:rsid w:val="001846AE"/>
    <w:rsid w:val="001873D8"/>
    <w:rsid w:val="00192539"/>
    <w:rsid w:val="001942D2"/>
    <w:rsid w:val="001944CA"/>
    <w:rsid w:val="001968E6"/>
    <w:rsid w:val="001978D1"/>
    <w:rsid w:val="001979B1"/>
    <w:rsid w:val="001A7229"/>
    <w:rsid w:val="001A7363"/>
    <w:rsid w:val="001A787E"/>
    <w:rsid w:val="001B0716"/>
    <w:rsid w:val="001B0835"/>
    <w:rsid w:val="001B0D71"/>
    <w:rsid w:val="001B1416"/>
    <w:rsid w:val="001B344A"/>
    <w:rsid w:val="001B3687"/>
    <w:rsid w:val="001B4406"/>
    <w:rsid w:val="001B5950"/>
    <w:rsid w:val="001B6B06"/>
    <w:rsid w:val="001B6E5E"/>
    <w:rsid w:val="001C1112"/>
    <w:rsid w:val="001C114C"/>
    <w:rsid w:val="001C13C5"/>
    <w:rsid w:val="001C1959"/>
    <w:rsid w:val="001C1A15"/>
    <w:rsid w:val="001C3A93"/>
    <w:rsid w:val="001C6967"/>
    <w:rsid w:val="001D0609"/>
    <w:rsid w:val="001D20E3"/>
    <w:rsid w:val="001D2F50"/>
    <w:rsid w:val="001D704D"/>
    <w:rsid w:val="001D767B"/>
    <w:rsid w:val="001E1D66"/>
    <w:rsid w:val="001E2122"/>
    <w:rsid w:val="001E36FD"/>
    <w:rsid w:val="001E4570"/>
    <w:rsid w:val="001E4F28"/>
    <w:rsid w:val="001E53CF"/>
    <w:rsid w:val="001E6B49"/>
    <w:rsid w:val="001E7619"/>
    <w:rsid w:val="001E79C1"/>
    <w:rsid w:val="001E7B61"/>
    <w:rsid w:val="001F0B2B"/>
    <w:rsid w:val="001F0EC5"/>
    <w:rsid w:val="001F31B5"/>
    <w:rsid w:val="001F56E0"/>
    <w:rsid w:val="001F591D"/>
    <w:rsid w:val="001F62FF"/>
    <w:rsid w:val="001F7EBF"/>
    <w:rsid w:val="002003FA"/>
    <w:rsid w:val="00201420"/>
    <w:rsid w:val="0020291D"/>
    <w:rsid w:val="00202963"/>
    <w:rsid w:val="00203298"/>
    <w:rsid w:val="002040F2"/>
    <w:rsid w:val="00205084"/>
    <w:rsid w:val="0020528C"/>
    <w:rsid w:val="00205F9C"/>
    <w:rsid w:val="00211025"/>
    <w:rsid w:val="0021109C"/>
    <w:rsid w:val="0021231E"/>
    <w:rsid w:val="002127D7"/>
    <w:rsid w:val="00212FF3"/>
    <w:rsid w:val="002158EE"/>
    <w:rsid w:val="00215DA6"/>
    <w:rsid w:val="00216C2D"/>
    <w:rsid w:val="00217960"/>
    <w:rsid w:val="002224AE"/>
    <w:rsid w:val="0022389E"/>
    <w:rsid w:val="00223F46"/>
    <w:rsid w:val="00224DC4"/>
    <w:rsid w:val="00225B74"/>
    <w:rsid w:val="00226A71"/>
    <w:rsid w:val="00230CA2"/>
    <w:rsid w:val="00234444"/>
    <w:rsid w:val="002410C1"/>
    <w:rsid w:val="00244370"/>
    <w:rsid w:val="00245025"/>
    <w:rsid w:val="0024609E"/>
    <w:rsid w:val="00250B75"/>
    <w:rsid w:val="002538D5"/>
    <w:rsid w:val="0025565E"/>
    <w:rsid w:val="002607E0"/>
    <w:rsid w:val="00260F84"/>
    <w:rsid w:val="00262FF7"/>
    <w:rsid w:val="0026310F"/>
    <w:rsid w:val="00264CC3"/>
    <w:rsid w:val="00267778"/>
    <w:rsid w:val="002726A4"/>
    <w:rsid w:val="00272910"/>
    <w:rsid w:val="00275E0F"/>
    <w:rsid w:val="00275F40"/>
    <w:rsid w:val="0027681D"/>
    <w:rsid w:val="00277C67"/>
    <w:rsid w:val="00277E66"/>
    <w:rsid w:val="0028048A"/>
    <w:rsid w:val="002815FF"/>
    <w:rsid w:val="00284EDE"/>
    <w:rsid w:val="00287234"/>
    <w:rsid w:val="002907B4"/>
    <w:rsid w:val="00292BB8"/>
    <w:rsid w:val="00293DCF"/>
    <w:rsid w:val="002969E6"/>
    <w:rsid w:val="00297DBE"/>
    <w:rsid w:val="002A0D6B"/>
    <w:rsid w:val="002A1776"/>
    <w:rsid w:val="002A27D6"/>
    <w:rsid w:val="002A2F54"/>
    <w:rsid w:val="002A3F50"/>
    <w:rsid w:val="002A4808"/>
    <w:rsid w:val="002A4B11"/>
    <w:rsid w:val="002A52FC"/>
    <w:rsid w:val="002B1415"/>
    <w:rsid w:val="002B329E"/>
    <w:rsid w:val="002B36A6"/>
    <w:rsid w:val="002B3ACE"/>
    <w:rsid w:val="002B6B53"/>
    <w:rsid w:val="002B6EBF"/>
    <w:rsid w:val="002C0C4E"/>
    <w:rsid w:val="002C164C"/>
    <w:rsid w:val="002C1DC1"/>
    <w:rsid w:val="002C3BBC"/>
    <w:rsid w:val="002C52C4"/>
    <w:rsid w:val="002C5FD9"/>
    <w:rsid w:val="002C6521"/>
    <w:rsid w:val="002D1E09"/>
    <w:rsid w:val="002D2A7E"/>
    <w:rsid w:val="002D2EF5"/>
    <w:rsid w:val="002D63BC"/>
    <w:rsid w:val="002D6A99"/>
    <w:rsid w:val="002D6F33"/>
    <w:rsid w:val="002E27C8"/>
    <w:rsid w:val="002E288C"/>
    <w:rsid w:val="002E3FB5"/>
    <w:rsid w:val="002E47BC"/>
    <w:rsid w:val="002E53C6"/>
    <w:rsid w:val="002E54F1"/>
    <w:rsid w:val="002E6B92"/>
    <w:rsid w:val="002F0687"/>
    <w:rsid w:val="002F1C0A"/>
    <w:rsid w:val="002F1C0E"/>
    <w:rsid w:val="002F1E64"/>
    <w:rsid w:val="002F257A"/>
    <w:rsid w:val="002F285F"/>
    <w:rsid w:val="002F5224"/>
    <w:rsid w:val="002F71B1"/>
    <w:rsid w:val="002F7ABC"/>
    <w:rsid w:val="00301B16"/>
    <w:rsid w:val="003047CE"/>
    <w:rsid w:val="00304E7F"/>
    <w:rsid w:val="00310D8B"/>
    <w:rsid w:val="0031458A"/>
    <w:rsid w:val="00314865"/>
    <w:rsid w:val="00314EBD"/>
    <w:rsid w:val="00316840"/>
    <w:rsid w:val="00320905"/>
    <w:rsid w:val="00326887"/>
    <w:rsid w:val="00327817"/>
    <w:rsid w:val="003279A8"/>
    <w:rsid w:val="003302FF"/>
    <w:rsid w:val="0033034E"/>
    <w:rsid w:val="00330852"/>
    <w:rsid w:val="00332036"/>
    <w:rsid w:val="00332B6B"/>
    <w:rsid w:val="00335268"/>
    <w:rsid w:val="00335273"/>
    <w:rsid w:val="00337018"/>
    <w:rsid w:val="00337315"/>
    <w:rsid w:val="00340E9C"/>
    <w:rsid w:val="003413C6"/>
    <w:rsid w:val="003415A0"/>
    <w:rsid w:val="00342DD3"/>
    <w:rsid w:val="00343C68"/>
    <w:rsid w:val="0034514F"/>
    <w:rsid w:val="0034596F"/>
    <w:rsid w:val="0034753B"/>
    <w:rsid w:val="003512D0"/>
    <w:rsid w:val="00352999"/>
    <w:rsid w:val="003530DA"/>
    <w:rsid w:val="003534B5"/>
    <w:rsid w:val="0035427F"/>
    <w:rsid w:val="0035592C"/>
    <w:rsid w:val="003575CE"/>
    <w:rsid w:val="00361002"/>
    <w:rsid w:val="003610A2"/>
    <w:rsid w:val="00365F97"/>
    <w:rsid w:val="00367E5D"/>
    <w:rsid w:val="00370F35"/>
    <w:rsid w:val="00371C8B"/>
    <w:rsid w:val="00372846"/>
    <w:rsid w:val="00373858"/>
    <w:rsid w:val="00373CD5"/>
    <w:rsid w:val="00374F2A"/>
    <w:rsid w:val="00375ACF"/>
    <w:rsid w:val="00375BF0"/>
    <w:rsid w:val="00375D7D"/>
    <w:rsid w:val="0037721A"/>
    <w:rsid w:val="0038071A"/>
    <w:rsid w:val="003823B0"/>
    <w:rsid w:val="003833B0"/>
    <w:rsid w:val="00383D01"/>
    <w:rsid w:val="00385E7F"/>
    <w:rsid w:val="003861FF"/>
    <w:rsid w:val="0038665A"/>
    <w:rsid w:val="00387777"/>
    <w:rsid w:val="00387942"/>
    <w:rsid w:val="00387E7F"/>
    <w:rsid w:val="00391815"/>
    <w:rsid w:val="00392609"/>
    <w:rsid w:val="0039324F"/>
    <w:rsid w:val="00396483"/>
    <w:rsid w:val="003975D0"/>
    <w:rsid w:val="003A0334"/>
    <w:rsid w:val="003A0CE5"/>
    <w:rsid w:val="003A3D11"/>
    <w:rsid w:val="003B0B33"/>
    <w:rsid w:val="003B2771"/>
    <w:rsid w:val="003B3201"/>
    <w:rsid w:val="003B3484"/>
    <w:rsid w:val="003B62FF"/>
    <w:rsid w:val="003C188A"/>
    <w:rsid w:val="003C202C"/>
    <w:rsid w:val="003C2548"/>
    <w:rsid w:val="003C316B"/>
    <w:rsid w:val="003C3B88"/>
    <w:rsid w:val="003C3D13"/>
    <w:rsid w:val="003C43EB"/>
    <w:rsid w:val="003C53CE"/>
    <w:rsid w:val="003C57B0"/>
    <w:rsid w:val="003C7165"/>
    <w:rsid w:val="003D044E"/>
    <w:rsid w:val="003D0885"/>
    <w:rsid w:val="003D18F7"/>
    <w:rsid w:val="003D23DD"/>
    <w:rsid w:val="003D2CFC"/>
    <w:rsid w:val="003D3745"/>
    <w:rsid w:val="003D433E"/>
    <w:rsid w:val="003D49DF"/>
    <w:rsid w:val="003D4F5D"/>
    <w:rsid w:val="003D6202"/>
    <w:rsid w:val="003D744B"/>
    <w:rsid w:val="003D7C4C"/>
    <w:rsid w:val="003E01C9"/>
    <w:rsid w:val="003E21CA"/>
    <w:rsid w:val="003E53EF"/>
    <w:rsid w:val="003F27BF"/>
    <w:rsid w:val="003F370B"/>
    <w:rsid w:val="003F41C6"/>
    <w:rsid w:val="003F44C1"/>
    <w:rsid w:val="003F5D37"/>
    <w:rsid w:val="003F6B30"/>
    <w:rsid w:val="0040062C"/>
    <w:rsid w:val="00402870"/>
    <w:rsid w:val="00402A86"/>
    <w:rsid w:val="00403819"/>
    <w:rsid w:val="00405907"/>
    <w:rsid w:val="00405F36"/>
    <w:rsid w:val="004061B1"/>
    <w:rsid w:val="00406747"/>
    <w:rsid w:val="00406E6D"/>
    <w:rsid w:val="00407310"/>
    <w:rsid w:val="00407A70"/>
    <w:rsid w:val="00410564"/>
    <w:rsid w:val="00410B76"/>
    <w:rsid w:val="00410BBC"/>
    <w:rsid w:val="00412776"/>
    <w:rsid w:val="00412C47"/>
    <w:rsid w:val="00417B8A"/>
    <w:rsid w:val="00420D04"/>
    <w:rsid w:val="0042279B"/>
    <w:rsid w:val="0042285F"/>
    <w:rsid w:val="00425184"/>
    <w:rsid w:val="00426066"/>
    <w:rsid w:val="004268CA"/>
    <w:rsid w:val="00426D95"/>
    <w:rsid w:val="00426DC1"/>
    <w:rsid w:val="0043003B"/>
    <w:rsid w:val="004303E8"/>
    <w:rsid w:val="004304CD"/>
    <w:rsid w:val="00433DBF"/>
    <w:rsid w:val="004362B0"/>
    <w:rsid w:val="00437CB6"/>
    <w:rsid w:val="00440BAE"/>
    <w:rsid w:val="0044214A"/>
    <w:rsid w:val="004430A9"/>
    <w:rsid w:val="00445385"/>
    <w:rsid w:val="00445834"/>
    <w:rsid w:val="00447C35"/>
    <w:rsid w:val="004527A6"/>
    <w:rsid w:val="0045332A"/>
    <w:rsid w:val="0045432D"/>
    <w:rsid w:val="00454442"/>
    <w:rsid w:val="004550A2"/>
    <w:rsid w:val="00457309"/>
    <w:rsid w:val="00457D79"/>
    <w:rsid w:val="00464CC9"/>
    <w:rsid w:val="004663B8"/>
    <w:rsid w:val="0046665A"/>
    <w:rsid w:val="0046686B"/>
    <w:rsid w:val="00466D65"/>
    <w:rsid w:val="0046703D"/>
    <w:rsid w:val="00467FA8"/>
    <w:rsid w:val="0047028E"/>
    <w:rsid w:val="0047084F"/>
    <w:rsid w:val="00470FED"/>
    <w:rsid w:val="004713E0"/>
    <w:rsid w:val="0047151D"/>
    <w:rsid w:val="004736AA"/>
    <w:rsid w:val="004738CD"/>
    <w:rsid w:val="00475201"/>
    <w:rsid w:val="00475D79"/>
    <w:rsid w:val="0047760E"/>
    <w:rsid w:val="00480418"/>
    <w:rsid w:val="0048185B"/>
    <w:rsid w:val="00481E39"/>
    <w:rsid w:val="00482FFB"/>
    <w:rsid w:val="00483853"/>
    <w:rsid w:val="00483FAE"/>
    <w:rsid w:val="00484906"/>
    <w:rsid w:val="004867A4"/>
    <w:rsid w:val="00486B23"/>
    <w:rsid w:val="004873BD"/>
    <w:rsid w:val="00487935"/>
    <w:rsid w:val="004900B8"/>
    <w:rsid w:val="00490110"/>
    <w:rsid w:val="004910BF"/>
    <w:rsid w:val="00491AC8"/>
    <w:rsid w:val="004928D5"/>
    <w:rsid w:val="00493958"/>
    <w:rsid w:val="00493DF8"/>
    <w:rsid w:val="004944A7"/>
    <w:rsid w:val="004951BC"/>
    <w:rsid w:val="00495EF8"/>
    <w:rsid w:val="00496414"/>
    <w:rsid w:val="00497570"/>
    <w:rsid w:val="00497998"/>
    <w:rsid w:val="004A0D12"/>
    <w:rsid w:val="004A1069"/>
    <w:rsid w:val="004A2022"/>
    <w:rsid w:val="004A3CC9"/>
    <w:rsid w:val="004A4223"/>
    <w:rsid w:val="004A43B9"/>
    <w:rsid w:val="004A5841"/>
    <w:rsid w:val="004A5B9A"/>
    <w:rsid w:val="004A6B80"/>
    <w:rsid w:val="004A6E81"/>
    <w:rsid w:val="004A7FE8"/>
    <w:rsid w:val="004B0B28"/>
    <w:rsid w:val="004B25EA"/>
    <w:rsid w:val="004B3986"/>
    <w:rsid w:val="004B4376"/>
    <w:rsid w:val="004B4BD6"/>
    <w:rsid w:val="004B74F8"/>
    <w:rsid w:val="004B7C0E"/>
    <w:rsid w:val="004C0132"/>
    <w:rsid w:val="004C31E6"/>
    <w:rsid w:val="004C4224"/>
    <w:rsid w:val="004C5C9C"/>
    <w:rsid w:val="004C6288"/>
    <w:rsid w:val="004D0671"/>
    <w:rsid w:val="004D19F5"/>
    <w:rsid w:val="004D1EAB"/>
    <w:rsid w:val="004D23CF"/>
    <w:rsid w:val="004D6223"/>
    <w:rsid w:val="004D7918"/>
    <w:rsid w:val="004E06B6"/>
    <w:rsid w:val="004E1A2B"/>
    <w:rsid w:val="004E1B65"/>
    <w:rsid w:val="004E1D93"/>
    <w:rsid w:val="004E4C8F"/>
    <w:rsid w:val="004E6D50"/>
    <w:rsid w:val="004E7051"/>
    <w:rsid w:val="004E75BE"/>
    <w:rsid w:val="004E7967"/>
    <w:rsid w:val="004F046B"/>
    <w:rsid w:val="004F0B2F"/>
    <w:rsid w:val="004F19B8"/>
    <w:rsid w:val="004F2366"/>
    <w:rsid w:val="004F2AFD"/>
    <w:rsid w:val="004F2DC5"/>
    <w:rsid w:val="004F5A09"/>
    <w:rsid w:val="004F5CE6"/>
    <w:rsid w:val="004F5EFC"/>
    <w:rsid w:val="004F6D22"/>
    <w:rsid w:val="004F6DBE"/>
    <w:rsid w:val="004F714C"/>
    <w:rsid w:val="004F73D4"/>
    <w:rsid w:val="00500A5C"/>
    <w:rsid w:val="005026CC"/>
    <w:rsid w:val="00503AD1"/>
    <w:rsid w:val="005041F7"/>
    <w:rsid w:val="0050449A"/>
    <w:rsid w:val="00505700"/>
    <w:rsid w:val="00505E81"/>
    <w:rsid w:val="005078AA"/>
    <w:rsid w:val="005100D1"/>
    <w:rsid w:val="00513720"/>
    <w:rsid w:val="0051607A"/>
    <w:rsid w:val="005205F4"/>
    <w:rsid w:val="00521967"/>
    <w:rsid w:val="00524378"/>
    <w:rsid w:val="005269B7"/>
    <w:rsid w:val="005269D3"/>
    <w:rsid w:val="00527152"/>
    <w:rsid w:val="00530F70"/>
    <w:rsid w:val="005315EA"/>
    <w:rsid w:val="00532FD5"/>
    <w:rsid w:val="00533107"/>
    <w:rsid w:val="00534E9F"/>
    <w:rsid w:val="0053506A"/>
    <w:rsid w:val="0053512A"/>
    <w:rsid w:val="00535508"/>
    <w:rsid w:val="00535D23"/>
    <w:rsid w:val="00536B13"/>
    <w:rsid w:val="005370BB"/>
    <w:rsid w:val="00540B35"/>
    <w:rsid w:val="005413B8"/>
    <w:rsid w:val="00541FFE"/>
    <w:rsid w:val="00543BC3"/>
    <w:rsid w:val="00544F1F"/>
    <w:rsid w:val="00545752"/>
    <w:rsid w:val="00545DDF"/>
    <w:rsid w:val="00545F38"/>
    <w:rsid w:val="0054634E"/>
    <w:rsid w:val="00547123"/>
    <w:rsid w:val="005514BE"/>
    <w:rsid w:val="005517D0"/>
    <w:rsid w:val="0055424F"/>
    <w:rsid w:val="00554428"/>
    <w:rsid w:val="005558ED"/>
    <w:rsid w:val="00557377"/>
    <w:rsid w:val="00560495"/>
    <w:rsid w:val="00560599"/>
    <w:rsid w:val="00562F8A"/>
    <w:rsid w:val="00563721"/>
    <w:rsid w:val="00565776"/>
    <w:rsid w:val="00566033"/>
    <w:rsid w:val="00566508"/>
    <w:rsid w:val="00566C4E"/>
    <w:rsid w:val="00567BF4"/>
    <w:rsid w:val="00570ACF"/>
    <w:rsid w:val="005727A5"/>
    <w:rsid w:val="00573535"/>
    <w:rsid w:val="00573C2D"/>
    <w:rsid w:val="00575BB7"/>
    <w:rsid w:val="00575F88"/>
    <w:rsid w:val="0057794D"/>
    <w:rsid w:val="00581831"/>
    <w:rsid w:val="0058253D"/>
    <w:rsid w:val="00582DC9"/>
    <w:rsid w:val="00585250"/>
    <w:rsid w:val="005859C8"/>
    <w:rsid w:val="00587796"/>
    <w:rsid w:val="005940DB"/>
    <w:rsid w:val="00594AC5"/>
    <w:rsid w:val="005953F2"/>
    <w:rsid w:val="00596618"/>
    <w:rsid w:val="00597ABF"/>
    <w:rsid w:val="005A2AAC"/>
    <w:rsid w:val="005A3C50"/>
    <w:rsid w:val="005A4293"/>
    <w:rsid w:val="005A61AB"/>
    <w:rsid w:val="005A687B"/>
    <w:rsid w:val="005B0E04"/>
    <w:rsid w:val="005B1272"/>
    <w:rsid w:val="005B2781"/>
    <w:rsid w:val="005B6872"/>
    <w:rsid w:val="005B6B09"/>
    <w:rsid w:val="005B75E6"/>
    <w:rsid w:val="005C0164"/>
    <w:rsid w:val="005C0751"/>
    <w:rsid w:val="005C4B4F"/>
    <w:rsid w:val="005C4DE0"/>
    <w:rsid w:val="005C5B41"/>
    <w:rsid w:val="005C61D6"/>
    <w:rsid w:val="005D315F"/>
    <w:rsid w:val="005E139A"/>
    <w:rsid w:val="005E243E"/>
    <w:rsid w:val="005E2D06"/>
    <w:rsid w:val="005E41A6"/>
    <w:rsid w:val="005E4CC6"/>
    <w:rsid w:val="005E5D9F"/>
    <w:rsid w:val="005E6921"/>
    <w:rsid w:val="005F082A"/>
    <w:rsid w:val="005F1B29"/>
    <w:rsid w:val="005F3BCE"/>
    <w:rsid w:val="005F5087"/>
    <w:rsid w:val="005F69A9"/>
    <w:rsid w:val="00600502"/>
    <w:rsid w:val="00603FEE"/>
    <w:rsid w:val="006042ED"/>
    <w:rsid w:val="00604711"/>
    <w:rsid w:val="00605458"/>
    <w:rsid w:val="0060605E"/>
    <w:rsid w:val="006064E9"/>
    <w:rsid w:val="00606AB0"/>
    <w:rsid w:val="00607FAE"/>
    <w:rsid w:val="006104C8"/>
    <w:rsid w:val="0061064A"/>
    <w:rsid w:val="006139EC"/>
    <w:rsid w:val="00613AAE"/>
    <w:rsid w:val="00613CC2"/>
    <w:rsid w:val="00615BC9"/>
    <w:rsid w:val="00615CB4"/>
    <w:rsid w:val="0061712B"/>
    <w:rsid w:val="006177AE"/>
    <w:rsid w:val="00620C18"/>
    <w:rsid w:val="00621065"/>
    <w:rsid w:val="0062106A"/>
    <w:rsid w:val="00621A4A"/>
    <w:rsid w:val="0062213F"/>
    <w:rsid w:val="00624E22"/>
    <w:rsid w:val="006308E7"/>
    <w:rsid w:val="00631D47"/>
    <w:rsid w:val="006330D9"/>
    <w:rsid w:val="006339F5"/>
    <w:rsid w:val="0063551B"/>
    <w:rsid w:val="00635523"/>
    <w:rsid w:val="00635F82"/>
    <w:rsid w:val="00636B6E"/>
    <w:rsid w:val="0063763A"/>
    <w:rsid w:val="00637894"/>
    <w:rsid w:val="00640620"/>
    <w:rsid w:val="00641D3B"/>
    <w:rsid w:val="00644080"/>
    <w:rsid w:val="00646942"/>
    <w:rsid w:val="00647786"/>
    <w:rsid w:val="006519AF"/>
    <w:rsid w:val="00652A9D"/>
    <w:rsid w:val="00653F69"/>
    <w:rsid w:val="006549A6"/>
    <w:rsid w:val="00655BF6"/>
    <w:rsid w:val="0065603B"/>
    <w:rsid w:val="0066058B"/>
    <w:rsid w:val="006618F7"/>
    <w:rsid w:val="00662222"/>
    <w:rsid w:val="00662414"/>
    <w:rsid w:val="00662C04"/>
    <w:rsid w:val="00663755"/>
    <w:rsid w:val="00664A69"/>
    <w:rsid w:val="00665959"/>
    <w:rsid w:val="00666380"/>
    <w:rsid w:val="00666745"/>
    <w:rsid w:val="00666DED"/>
    <w:rsid w:val="006674D7"/>
    <w:rsid w:val="0067275F"/>
    <w:rsid w:val="00674246"/>
    <w:rsid w:val="00674A82"/>
    <w:rsid w:val="00674D0B"/>
    <w:rsid w:val="006754B7"/>
    <w:rsid w:val="00675B7D"/>
    <w:rsid w:val="00676C69"/>
    <w:rsid w:val="00680F03"/>
    <w:rsid w:val="0068122B"/>
    <w:rsid w:val="00681236"/>
    <w:rsid w:val="006826BB"/>
    <w:rsid w:val="006829E5"/>
    <w:rsid w:val="006830C9"/>
    <w:rsid w:val="0068364A"/>
    <w:rsid w:val="006842CA"/>
    <w:rsid w:val="0068507C"/>
    <w:rsid w:val="0068525B"/>
    <w:rsid w:val="00685D4F"/>
    <w:rsid w:val="00685DD6"/>
    <w:rsid w:val="006871D2"/>
    <w:rsid w:val="00690A88"/>
    <w:rsid w:val="00691D49"/>
    <w:rsid w:val="006922C8"/>
    <w:rsid w:val="00692D3B"/>
    <w:rsid w:val="00693229"/>
    <w:rsid w:val="006951FD"/>
    <w:rsid w:val="00695BB1"/>
    <w:rsid w:val="006964AF"/>
    <w:rsid w:val="006A17BE"/>
    <w:rsid w:val="006A3E64"/>
    <w:rsid w:val="006A4512"/>
    <w:rsid w:val="006A4D47"/>
    <w:rsid w:val="006A56E4"/>
    <w:rsid w:val="006B029D"/>
    <w:rsid w:val="006B2D41"/>
    <w:rsid w:val="006B5811"/>
    <w:rsid w:val="006B6D8D"/>
    <w:rsid w:val="006C1643"/>
    <w:rsid w:val="006C287C"/>
    <w:rsid w:val="006C3C15"/>
    <w:rsid w:val="006C4479"/>
    <w:rsid w:val="006C4A02"/>
    <w:rsid w:val="006C7D4F"/>
    <w:rsid w:val="006C7F10"/>
    <w:rsid w:val="006D017C"/>
    <w:rsid w:val="006D0AB9"/>
    <w:rsid w:val="006D12B4"/>
    <w:rsid w:val="006D4F41"/>
    <w:rsid w:val="006D6A44"/>
    <w:rsid w:val="006D7A33"/>
    <w:rsid w:val="006E280A"/>
    <w:rsid w:val="006E4BEC"/>
    <w:rsid w:val="006E6792"/>
    <w:rsid w:val="006E75E2"/>
    <w:rsid w:val="006F01B5"/>
    <w:rsid w:val="006F06FC"/>
    <w:rsid w:val="006F0A9A"/>
    <w:rsid w:val="006F4AD5"/>
    <w:rsid w:val="006F4CA7"/>
    <w:rsid w:val="006F5527"/>
    <w:rsid w:val="006F6211"/>
    <w:rsid w:val="00700F4D"/>
    <w:rsid w:val="00701034"/>
    <w:rsid w:val="00703D62"/>
    <w:rsid w:val="007041A0"/>
    <w:rsid w:val="007046F7"/>
    <w:rsid w:val="00707559"/>
    <w:rsid w:val="007076DF"/>
    <w:rsid w:val="00710701"/>
    <w:rsid w:val="007119FE"/>
    <w:rsid w:val="00712602"/>
    <w:rsid w:val="007144F6"/>
    <w:rsid w:val="00716311"/>
    <w:rsid w:val="0071750E"/>
    <w:rsid w:val="007216E3"/>
    <w:rsid w:val="00723A6D"/>
    <w:rsid w:val="00725672"/>
    <w:rsid w:val="00725A40"/>
    <w:rsid w:val="007269AB"/>
    <w:rsid w:val="00731691"/>
    <w:rsid w:val="00732F74"/>
    <w:rsid w:val="007332F9"/>
    <w:rsid w:val="0073386C"/>
    <w:rsid w:val="00734ED0"/>
    <w:rsid w:val="0073511D"/>
    <w:rsid w:val="00736085"/>
    <w:rsid w:val="00736171"/>
    <w:rsid w:val="00736C8E"/>
    <w:rsid w:val="007405DC"/>
    <w:rsid w:val="00741394"/>
    <w:rsid w:val="007418D9"/>
    <w:rsid w:val="00742173"/>
    <w:rsid w:val="00742415"/>
    <w:rsid w:val="007426DA"/>
    <w:rsid w:val="00743593"/>
    <w:rsid w:val="00743C00"/>
    <w:rsid w:val="00743CDA"/>
    <w:rsid w:val="007441D4"/>
    <w:rsid w:val="00744252"/>
    <w:rsid w:val="00746FD8"/>
    <w:rsid w:val="00750FE0"/>
    <w:rsid w:val="00751E26"/>
    <w:rsid w:val="0075449A"/>
    <w:rsid w:val="007548E4"/>
    <w:rsid w:val="0075548A"/>
    <w:rsid w:val="00757335"/>
    <w:rsid w:val="00760360"/>
    <w:rsid w:val="007607FC"/>
    <w:rsid w:val="007613E1"/>
    <w:rsid w:val="00761522"/>
    <w:rsid w:val="0076179E"/>
    <w:rsid w:val="00762462"/>
    <w:rsid w:val="00762E9C"/>
    <w:rsid w:val="00764F3A"/>
    <w:rsid w:val="00770689"/>
    <w:rsid w:val="00772951"/>
    <w:rsid w:val="00774B00"/>
    <w:rsid w:val="007752C1"/>
    <w:rsid w:val="00775E6A"/>
    <w:rsid w:val="0077623A"/>
    <w:rsid w:val="00776A88"/>
    <w:rsid w:val="007771AD"/>
    <w:rsid w:val="007818E5"/>
    <w:rsid w:val="0078397D"/>
    <w:rsid w:val="00784103"/>
    <w:rsid w:val="00784C0B"/>
    <w:rsid w:val="00784F13"/>
    <w:rsid w:val="007856B0"/>
    <w:rsid w:val="00786AC7"/>
    <w:rsid w:val="00787A9E"/>
    <w:rsid w:val="007910B2"/>
    <w:rsid w:val="00791E4A"/>
    <w:rsid w:val="007964A2"/>
    <w:rsid w:val="007970F7"/>
    <w:rsid w:val="007A0496"/>
    <w:rsid w:val="007A1654"/>
    <w:rsid w:val="007A2054"/>
    <w:rsid w:val="007A2D2F"/>
    <w:rsid w:val="007A63FE"/>
    <w:rsid w:val="007A6CDF"/>
    <w:rsid w:val="007A6F27"/>
    <w:rsid w:val="007A7979"/>
    <w:rsid w:val="007A7D3B"/>
    <w:rsid w:val="007B0321"/>
    <w:rsid w:val="007B183D"/>
    <w:rsid w:val="007B191B"/>
    <w:rsid w:val="007B1D69"/>
    <w:rsid w:val="007B41D3"/>
    <w:rsid w:val="007B714B"/>
    <w:rsid w:val="007C165F"/>
    <w:rsid w:val="007C1DCB"/>
    <w:rsid w:val="007C29FD"/>
    <w:rsid w:val="007C542D"/>
    <w:rsid w:val="007D1343"/>
    <w:rsid w:val="007D2377"/>
    <w:rsid w:val="007D2D9B"/>
    <w:rsid w:val="007D3342"/>
    <w:rsid w:val="007D38E8"/>
    <w:rsid w:val="007D733B"/>
    <w:rsid w:val="007E22C2"/>
    <w:rsid w:val="007E29BA"/>
    <w:rsid w:val="007E2C4D"/>
    <w:rsid w:val="007E2DB9"/>
    <w:rsid w:val="007E3EC6"/>
    <w:rsid w:val="007E3EFB"/>
    <w:rsid w:val="007E4D02"/>
    <w:rsid w:val="007E4D0D"/>
    <w:rsid w:val="007E5495"/>
    <w:rsid w:val="007E5EA9"/>
    <w:rsid w:val="007E6CE7"/>
    <w:rsid w:val="007F1C4A"/>
    <w:rsid w:val="007F3673"/>
    <w:rsid w:val="007F3B3E"/>
    <w:rsid w:val="007F507E"/>
    <w:rsid w:val="007F63B6"/>
    <w:rsid w:val="007F7080"/>
    <w:rsid w:val="007F79B4"/>
    <w:rsid w:val="00800341"/>
    <w:rsid w:val="00800885"/>
    <w:rsid w:val="00800E2F"/>
    <w:rsid w:val="00801427"/>
    <w:rsid w:val="0080162F"/>
    <w:rsid w:val="0080204A"/>
    <w:rsid w:val="008022A8"/>
    <w:rsid w:val="0080286D"/>
    <w:rsid w:val="00806897"/>
    <w:rsid w:val="0080747A"/>
    <w:rsid w:val="00810D3E"/>
    <w:rsid w:val="00811627"/>
    <w:rsid w:val="008117B6"/>
    <w:rsid w:val="00813F99"/>
    <w:rsid w:val="00814CA3"/>
    <w:rsid w:val="00817E9E"/>
    <w:rsid w:val="0082142D"/>
    <w:rsid w:val="00821BD6"/>
    <w:rsid w:val="00823FD7"/>
    <w:rsid w:val="00824824"/>
    <w:rsid w:val="00824EF8"/>
    <w:rsid w:val="008274F3"/>
    <w:rsid w:val="0082792B"/>
    <w:rsid w:val="008303A2"/>
    <w:rsid w:val="00831997"/>
    <w:rsid w:val="00831E3F"/>
    <w:rsid w:val="00831F99"/>
    <w:rsid w:val="00833913"/>
    <w:rsid w:val="00835A94"/>
    <w:rsid w:val="00836835"/>
    <w:rsid w:val="00836FB4"/>
    <w:rsid w:val="00837B67"/>
    <w:rsid w:val="00837BEB"/>
    <w:rsid w:val="00837EFC"/>
    <w:rsid w:val="0084055A"/>
    <w:rsid w:val="00841F1C"/>
    <w:rsid w:val="00842BCE"/>
    <w:rsid w:val="00846556"/>
    <w:rsid w:val="00846760"/>
    <w:rsid w:val="008478EF"/>
    <w:rsid w:val="00850449"/>
    <w:rsid w:val="00851C18"/>
    <w:rsid w:val="0085254B"/>
    <w:rsid w:val="00852D9B"/>
    <w:rsid w:val="0085673F"/>
    <w:rsid w:val="00856B05"/>
    <w:rsid w:val="00861FE3"/>
    <w:rsid w:val="008620B1"/>
    <w:rsid w:val="00863EF0"/>
    <w:rsid w:val="00864956"/>
    <w:rsid w:val="00864F1C"/>
    <w:rsid w:val="0087200B"/>
    <w:rsid w:val="00872803"/>
    <w:rsid w:val="00872BA2"/>
    <w:rsid w:val="0087384F"/>
    <w:rsid w:val="0087775F"/>
    <w:rsid w:val="00877E32"/>
    <w:rsid w:val="0088063C"/>
    <w:rsid w:val="00880FC4"/>
    <w:rsid w:val="00881039"/>
    <w:rsid w:val="00883AAA"/>
    <w:rsid w:val="00883B46"/>
    <w:rsid w:val="0089009B"/>
    <w:rsid w:val="00890308"/>
    <w:rsid w:val="00890980"/>
    <w:rsid w:val="00890CBC"/>
    <w:rsid w:val="00892EBC"/>
    <w:rsid w:val="00894E39"/>
    <w:rsid w:val="00895418"/>
    <w:rsid w:val="008957D9"/>
    <w:rsid w:val="0089788C"/>
    <w:rsid w:val="00897AF8"/>
    <w:rsid w:val="008A05DC"/>
    <w:rsid w:val="008A202D"/>
    <w:rsid w:val="008A2536"/>
    <w:rsid w:val="008A4157"/>
    <w:rsid w:val="008A5FCC"/>
    <w:rsid w:val="008A7B4B"/>
    <w:rsid w:val="008B4846"/>
    <w:rsid w:val="008B5689"/>
    <w:rsid w:val="008B5DBC"/>
    <w:rsid w:val="008B749E"/>
    <w:rsid w:val="008C09B5"/>
    <w:rsid w:val="008C1171"/>
    <w:rsid w:val="008C17BA"/>
    <w:rsid w:val="008C1F20"/>
    <w:rsid w:val="008C2D17"/>
    <w:rsid w:val="008C3CC2"/>
    <w:rsid w:val="008C3E75"/>
    <w:rsid w:val="008C5F38"/>
    <w:rsid w:val="008C6B0E"/>
    <w:rsid w:val="008C6FC8"/>
    <w:rsid w:val="008C7870"/>
    <w:rsid w:val="008D3756"/>
    <w:rsid w:val="008D4971"/>
    <w:rsid w:val="008D77FD"/>
    <w:rsid w:val="008E16CE"/>
    <w:rsid w:val="008E1E77"/>
    <w:rsid w:val="008E350D"/>
    <w:rsid w:val="008E6A92"/>
    <w:rsid w:val="008F1D37"/>
    <w:rsid w:val="008F2A32"/>
    <w:rsid w:val="008F40AF"/>
    <w:rsid w:val="008F4BDD"/>
    <w:rsid w:val="008F7897"/>
    <w:rsid w:val="00900302"/>
    <w:rsid w:val="0090296E"/>
    <w:rsid w:val="00902E31"/>
    <w:rsid w:val="0090379A"/>
    <w:rsid w:val="00906C03"/>
    <w:rsid w:val="009078AB"/>
    <w:rsid w:val="00911149"/>
    <w:rsid w:val="00911636"/>
    <w:rsid w:val="0091354B"/>
    <w:rsid w:val="00913E49"/>
    <w:rsid w:val="00913ED2"/>
    <w:rsid w:val="009147FF"/>
    <w:rsid w:val="00915805"/>
    <w:rsid w:val="00916358"/>
    <w:rsid w:val="009204BB"/>
    <w:rsid w:val="009225DE"/>
    <w:rsid w:val="00922AFC"/>
    <w:rsid w:val="009237A5"/>
    <w:rsid w:val="00925605"/>
    <w:rsid w:val="009301DE"/>
    <w:rsid w:val="009316F7"/>
    <w:rsid w:val="00934718"/>
    <w:rsid w:val="009370E2"/>
    <w:rsid w:val="009379AA"/>
    <w:rsid w:val="009404BA"/>
    <w:rsid w:val="00940535"/>
    <w:rsid w:val="009407A8"/>
    <w:rsid w:val="0094395B"/>
    <w:rsid w:val="00945F19"/>
    <w:rsid w:val="009468A2"/>
    <w:rsid w:val="00950233"/>
    <w:rsid w:val="00950841"/>
    <w:rsid w:val="00952407"/>
    <w:rsid w:val="00952DBF"/>
    <w:rsid w:val="00953B35"/>
    <w:rsid w:val="00954414"/>
    <w:rsid w:val="00954A83"/>
    <w:rsid w:val="00956763"/>
    <w:rsid w:val="00957BCF"/>
    <w:rsid w:val="00960CDB"/>
    <w:rsid w:val="009625F6"/>
    <w:rsid w:val="009627F9"/>
    <w:rsid w:val="00964270"/>
    <w:rsid w:val="009658D6"/>
    <w:rsid w:val="009671E4"/>
    <w:rsid w:val="009676D8"/>
    <w:rsid w:val="00967CC8"/>
    <w:rsid w:val="00967EC4"/>
    <w:rsid w:val="00975F96"/>
    <w:rsid w:val="00980A8A"/>
    <w:rsid w:val="0098324A"/>
    <w:rsid w:val="00984C43"/>
    <w:rsid w:val="00985FFB"/>
    <w:rsid w:val="009869ED"/>
    <w:rsid w:val="00987CAC"/>
    <w:rsid w:val="00990CFC"/>
    <w:rsid w:val="00993516"/>
    <w:rsid w:val="00995DD7"/>
    <w:rsid w:val="00995E0E"/>
    <w:rsid w:val="00996052"/>
    <w:rsid w:val="009960C9"/>
    <w:rsid w:val="00996C55"/>
    <w:rsid w:val="00997DA9"/>
    <w:rsid w:val="009A2905"/>
    <w:rsid w:val="009A38CE"/>
    <w:rsid w:val="009A38D1"/>
    <w:rsid w:val="009A491C"/>
    <w:rsid w:val="009A5463"/>
    <w:rsid w:val="009A5B58"/>
    <w:rsid w:val="009A5E1D"/>
    <w:rsid w:val="009A649B"/>
    <w:rsid w:val="009A6EB1"/>
    <w:rsid w:val="009A72B6"/>
    <w:rsid w:val="009A77F0"/>
    <w:rsid w:val="009B3E5B"/>
    <w:rsid w:val="009B4294"/>
    <w:rsid w:val="009B430C"/>
    <w:rsid w:val="009B5295"/>
    <w:rsid w:val="009B60BD"/>
    <w:rsid w:val="009B6D4C"/>
    <w:rsid w:val="009B70F4"/>
    <w:rsid w:val="009B7374"/>
    <w:rsid w:val="009C0727"/>
    <w:rsid w:val="009C0F2C"/>
    <w:rsid w:val="009C1206"/>
    <w:rsid w:val="009C1EF7"/>
    <w:rsid w:val="009C2556"/>
    <w:rsid w:val="009C6C52"/>
    <w:rsid w:val="009D0718"/>
    <w:rsid w:val="009D162F"/>
    <w:rsid w:val="009D1776"/>
    <w:rsid w:val="009D5976"/>
    <w:rsid w:val="009D5A80"/>
    <w:rsid w:val="009D79AE"/>
    <w:rsid w:val="009E0053"/>
    <w:rsid w:val="009E03D1"/>
    <w:rsid w:val="009E040A"/>
    <w:rsid w:val="009E1576"/>
    <w:rsid w:val="009E2345"/>
    <w:rsid w:val="009E2D6E"/>
    <w:rsid w:val="009E312B"/>
    <w:rsid w:val="009E40AA"/>
    <w:rsid w:val="009E4E40"/>
    <w:rsid w:val="009E710F"/>
    <w:rsid w:val="009F206C"/>
    <w:rsid w:val="009F4D89"/>
    <w:rsid w:val="009F6611"/>
    <w:rsid w:val="009F6A97"/>
    <w:rsid w:val="00A00283"/>
    <w:rsid w:val="00A008E4"/>
    <w:rsid w:val="00A00B15"/>
    <w:rsid w:val="00A00B50"/>
    <w:rsid w:val="00A00E20"/>
    <w:rsid w:val="00A01841"/>
    <w:rsid w:val="00A0253A"/>
    <w:rsid w:val="00A02A94"/>
    <w:rsid w:val="00A03293"/>
    <w:rsid w:val="00A03ADC"/>
    <w:rsid w:val="00A1000D"/>
    <w:rsid w:val="00A10193"/>
    <w:rsid w:val="00A10AC7"/>
    <w:rsid w:val="00A10DF8"/>
    <w:rsid w:val="00A111CB"/>
    <w:rsid w:val="00A11201"/>
    <w:rsid w:val="00A11DD4"/>
    <w:rsid w:val="00A126F1"/>
    <w:rsid w:val="00A12A9B"/>
    <w:rsid w:val="00A14055"/>
    <w:rsid w:val="00A14E15"/>
    <w:rsid w:val="00A15690"/>
    <w:rsid w:val="00A17E16"/>
    <w:rsid w:val="00A22D41"/>
    <w:rsid w:val="00A23BB2"/>
    <w:rsid w:val="00A24540"/>
    <w:rsid w:val="00A258B6"/>
    <w:rsid w:val="00A27388"/>
    <w:rsid w:val="00A300BF"/>
    <w:rsid w:val="00A30328"/>
    <w:rsid w:val="00A3255E"/>
    <w:rsid w:val="00A3267D"/>
    <w:rsid w:val="00A331C8"/>
    <w:rsid w:val="00A37794"/>
    <w:rsid w:val="00A43E28"/>
    <w:rsid w:val="00A44451"/>
    <w:rsid w:val="00A46428"/>
    <w:rsid w:val="00A46BDC"/>
    <w:rsid w:val="00A500E9"/>
    <w:rsid w:val="00A5105C"/>
    <w:rsid w:val="00A513DF"/>
    <w:rsid w:val="00A52415"/>
    <w:rsid w:val="00A5321A"/>
    <w:rsid w:val="00A57B01"/>
    <w:rsid w:val="00A601CF"/>
    <w:rsid w:val="00A60B2E"/>
    <w:rsid w:val="00A61566"/>
    <w:rsid w:val="00A6188E"/>
    <w:rsid w:val="00A62E69"/>
    <w:rsid w:val="00A634F8"/>
    <w:rsid w:val="00A67499"/>
    <w:rsid w:val="00A716CD"/>
    <w:rsid w:val="00A744D1"/>
    <w:rsid w:val="00A745E3"/>
    <w:rsid w:val="00A76173"/>
    <w:rsid w:val="00A762E1"/>
    <w:rsid w:val="00A77AE4"/>
    <w:rsid w:val="00A806F4"/>
    <w:rsid w:val="00A81FA6"/>
    <w:rsid w:val="00A84E31"/>
    <w:rsid w:val="00A8697D"/>
    <w:rsid w:val="00A86A28"/>
    <w:rsid w:val="00A873DD"/>
    <w:rsid w:val="00A87E2F"/>
    <w:rsid w:val="00A9059D"/>
    <w:rsid w:val="00A90983"/>
    <w:rsid w:val="00A91C91"/>
    <w:rsid w:val="00A925A8"/>
    <w:rsid w:val="00A92A39"/>
    <w:rsid w:val="00A930DA"/>
    <w:rsid w:val="00A943AF"/>
    <w:rsid w:val="00A96B58"/>
    <w:rsid w:val="00AA0175"/>
    <w:rsid w:val="00AA0A83"/>
    <w:rsid w:val="00AA25E4"/>
    <w:rsid w:val="00AA3112"/>
    <w:rsid w:val="00AA33FB"/>
    <w:rsid w:val="00AA388E"/>
    <w:rsid w:val="00AA3B8A"/>
    <w:rsid w:val="00AA4C9D"/>
    <w:rsid w:val="00AA525C"/>
    <w:rsid w:val="00AA6162"/>
    <w:rsid w:val="00AA733A"/>
    <w:rsid w:val="00AA78DC"/>
    <w:rsid w:val="00AA7F1A"/>
    <w:rsid w:val="00AB10AA"/>
    <w:rsid w:val="00AB25F9"/>
    <w:rsid w:val="00AB2F51"/>
    <w:rsid w:val="00AB2FDC"/>
    <w:rsid w:val="00AB4394"/>
    <w:rsid w:val="00AB54EE"/>
    <w:rsid w:val="00AB6229"/>
    <w:rsid w:val="00AB67C0"/>
    <w:rsid w:val="00AC009E"/>
    <w:rsid w:val="00AC1689"/>
    <w:rsid w:val="00AC1FDD"/>
    <w:rsid w:val="00AC4CA0"/>
    <w:rsid w:val="00AC4D72"/>
    <w:rsid w:val="00AC4F4B"/>
    <w:rsid w:val="00AC53F6"/>
    <w:rsid w:val="00AC71A6"/>
    <w:rsid w:val="00AC7C80"/>
    <w:rsid w:val="00AC7D35"/>
    <w:rsid w:val="00AD15B2"/>
    <w:rsid w:val="00AD24FE"/>
    <w:rsid w:val="00AD2536"/>
    <w:rsid w:val="00AD362B"/>
    <w:rsid w:val="00AD4B24"/>
    <w:rsid w:val="00AD6D51"/>
    <w:rsid w:val="00AE1B54"/>
    <w:rsid w:val="00AE2FF1"/>
    <w:rsid w:val="00AE36A3"/>
    <w:rsid w:val="00AE3C57"/>
    <w:rsid w:val="00AE515D"/>
    <w:rsid w:val="00AE64C1"/>
    <w:rsid w:val="00AE6B2A"/>
    <w:rsid w:val="00AF198F"/>
    <w:rsid w:val="00AF3041"/>
    <w:rsid w:val="00AF3BBC"/>
    <w:rsid w:val="00AF48CD"/>
    <w:rsid w:val="00AF5E69"/>
    <w:rsid w:val="00AF5FAD"/>
    <w:rsid w:val="00AF6022"/>
    <w:rsid w:val="00AF7EC8"/>
    <w:rsid w:val="00B015A7"/>
    <w:rsid w:val="00B01F89"/>
    <w:rsid w:val="00B038CC"/>
    <w:rsid w:val="00B051B8"/>
    <w:rsid w:val="00B053D9"/>
    <w:rsid w:val="00B06556"/>
    <w:rsid w:val="00B06B04"/>
    <w:rsid w:val="00B06B85"/>
    <w:rsid w:val="00B07150"/>
    <w:rsid w:val="00B11F31"/>
    <w:rsid w:val="00B127BD"/>
    <w:rsid w:val="00B12AB1"/>
    <w:rsid w:val="00B12C14"/>
    <w:rsid w:val="00B14090"/>
    <w:rsid w:val="00B15932"/>
    <w:rsid w:val="00B161CF"/>
    <w:rsid w:val="00B16C7B"/>
    <w:rsid w:val="00B16F92"/>
    <w:rsid w:val="00B21E7A"/>
    <w:rsid w:val="00B21EA3"/>
    <w:rsid w:val="00B2296E"/>
    <w:rsid w:val="00B328E5"/>
    <w:rsid w:val="00B331CF"/>
    <w:rsid w:val="00B3388D"/>
    <w:rsid w:val="00B34168"/>
    <w:rsid w:val="00B345D9"/>
    <w:rsid w:val="00B34DF8"/>
    <w:rsid w:val="00B34F18"/>
    <w:rsid w:val="00B37B14"/>
    <w:rsid w:val="00B43D0A"/>
    <w:rsid w:val="00B43EF1"/>
    <w:rsid w:val="00B44303"/>
    <w:rsid w:val="00B445BB"/>
    <w:rsid w:val="00B47091"/>
    <w:rsid w:val="00B47D07"/>
    <w:rsid w:val="00B5144B"/>
    <w:rsid w:val="00B5170B"/>
    <w:rsid w:val="00B52EE1"/>
    <w:rsid w:val="00B53992"/>
    <w:rsid w:val="00B53D6E"/>
    <w:rsid w:val="00B54EA4"/>
    <w:rsid w:val="00B60CE1"/>
    <w:rsid w:val="00B64706"/>
    <w:rsid w:val="00B679D3"/>
    <w:rsid w:val="00B67FEA"/>
    <w:rsid w:val="00B708AD"/>
    <w:rsid w:val="00B710D2"/>
    <w:rsid w:val="00B7113C"/>
    <w:rsid w:val="00B712CC"/>
    <w:rsid w:val="00B723DF"/>
    <w:rsid w:val="00B72D64"/>
    <w:rsid w:val="00B731DE"/>
    <w:rsid w:val="00B734C3"/>
    <w:rsid w:val="00B73EB2"/>
    <w:rsid w:val="00B74252"/>
    <w:rsid w:val="00B742BF"/>
    <w:rsid w:val="00B74AC4"/>
    <w:rsid w:val="00B7514D"/>
    <w:rsid w:val="00B7627A"/>
    <w:rsid w:val="00B7678B"/>
    <w:rsid w:val="00B77533"/>
    <w:rsid w:val="00B77999"/>
    <w:rsid w:val="00B77B05"/>
    <w:rsid w:val="00B81154"/>
    <w:rsid w:val="00B85149"/>
    <w:rsid w:val="00B85A12"/>
    <w:rsid w:val="00B86498"/>
    <w:rsid w:val="00B90481"/>
    <w:rsid w:val="00B9063F"/>
    <w:rsid w:val="00B92975"/>
    <w:rsid w:val="00B945D4"/>
    <w:rsid w:val="00B94BAD"/>
    <w:rsid w:val="00B97A58"/>
    <w:rsid w:val="00BA1325"/>
    <w:rsid w:val="00BA48FC"/>
    <w:rsid w:val="00BA5870"/>
    <w:rsid w:val="00BA679F"/>
    <w:rsid w:val="00BB0399"/>
    <w:rsid w:val="00BB0AAC"/>
    <w:rsid w:val="00BB0CBB"/>
    <w:rsid w:val="00BB0EFB"/>
    <w:rsid w:val="00BB19C4"/>
    <w:rsid w:val="00BB3223"/>
    <w:rsid w:val="00BB3BC1"/>
    <w:rsid w:val="00BB4344"/>
    <w:rsid w:val="00BB4A7B"/>
    <w:rsid w:val="00BB5D61"/>
    <w:rsid w:val="00BC1307"/>
    <w:rsid w:val="00BC2B27"/>
    <w:rsid w:val="00BC3B27"/>
    <w:rsid w:val="00BC4C9B"/>
    <w:rsid w:val="00BC609B"/>
    <w:rsid w:val="00BC7910"/>
    <w:rsid w:val="00BC7BEA"/>
    <w:rsid w:val="00BD0BD5"/>
    <w:rsid w:val="00BD209D"/>
    <w:rsid w:val="00BD6641"/>
    <w:rsid w:val="00BE4117"/>
    <w:rsid w:val="00BE467F"/>
    <w:rsid w:val="00BE4DAD"/>
    <w:rsid w:val="00BE5E4B"/>
    <w:rsid w:val="00BE6C2B"/>
    <w:rsid w:val="00BE716C"/>
    <w:rsid w:val="00BE76C8"/>
    <w:rsid w:val="00BE7990"/>
    <w:rsid w:val="00BF1AB9"/>
    <w:rsid w:val="00BF29E1"/>
    <w:rsid w:val="00BF2F12"/>
    <w:rsid w:val="00BF30AB"/>
    <w:rsid w:val="00BF37A1"/>
    <w:rsid w:val="00BF39E5"/>
    <w:rsid w:val="00BF3A0E"/>
    <w:rsid w:val="00BF3A82"/>
    <w:rsid w:val="00BF47F6"/>
    <w:rsid w:val="00BF4C9A"/>
    <w:rsid w:val="00BF58CF"/>
    <w:rsid w:val="00BF695F"/>
    <w:rsid w:val="00C0311B"/>
    <w:rsid w:val="00C0339F"/>
    <w:rsid w:val="00C038FE"/>
    <w:rsid w:val="00C0411C"/>
    <w:rsid w:val="00C057FE"/>
    <w:rsid w:val="00C07331"/>
    <w:rsid w:val="00C10955"/>
    <w:rsid w:val="00C11B85"/>
    <w:rsid w:val="00C13C70"/>
    <w:rsid w:val="00C149BA"/>
    <w:rsid w:val="00C22BC5"/>
    <w:rsid w:val="00C22CD6"/>
    <w:rsid w:val="00C23063"/>
    <w:rsid w:val="00C23DAA"/>
    <w:rsid w:val="00C24103"/>
    <w:rsid w:val="00C25539"/>
    <w:rsid w:val="00C267D7"/>
    <w:rsid w:val="00C31877"/>
    <w:rsid w:val="00C31885"/>
    <w:rsid w:val="00C3387C"/>
    <w:rsid w:val="00C34436"/>
    <w:rsid w:val="00C347A8"/>
    <w:rsid w:val="00C3617C"/>
    <w:rsid w:val="00C4200F"/>
    <w:rsid w:val="00C4222C"/>
    <w:rsid w:val="00C42806"/>
    <w:rsid w:val="00C42BB6"/>
    <w:rsid w:val="00C42DFC"/>
    <w:rsid w:val="00C430F8"/>
    <w:rsid w:val="00C43515"/>
    <w:rsid w:val="00C46BC0"/>
    <w:rsid w:val="00C53B91"/>
    <w:rsid w:val="00C53EBB"/>
    <w:rsid w:val="00C5519E"/>
    <w:rsid w:val="00C5610C"/>
    <w:rsid w:val="00C57088"/>
    <w:rsid w:val="00C60694"/>
    <w:rsid w:val="00C6189C"/>
    <w:rsid w:val="00C61B15"/>
    <w:rsid w:val="00C620D3"/>
    <w:rsid w:val="00C62687"/>
    <w:rsid w:val="00C64195"/>
    <w:rsid w:val="00C64773"/>
    <w:rsid w:val="00C71379"/>
    <w:rsid w:val="00C71913"/>
    <w:rsid w:val="00C73712"/>
    <w:rsid w:val="00C73A21"/>
    <w:rsid w:val="00C76728"/>
    <w:rsid w:val="00C76F72"/>
    <w:rsid w:val="00C77A75"/>
    <w:rsid w:val="00C80771"/>
    <w:rsid w:val="00C82A5E"/>
    <w:rsid w:val="00C836EC"/>
    <w:rsid w:val="00C8413F"/>
    <w:rsid w:val="00C84368"/>
    <w:rsid w:val="00C84427"/>
    <w:rsid w:val="00C844F7"/>
    <w:rsid w:val="00C84D0E"/>
    <w:rsid w:val="00C859C7"/>
    <w:rsid w:val="00C8680A"/>
    <w:rsid w:val="00C87B56"/>
    <w:rsid w:val="00C87D7F"/>
    <w:rsid w:val="00C91002"/>
    <w:rsid w:val="00C91424"/>
    <w:rsid w:val="00C915E2"/>
    <w:rsid w:val="00C93462"/>
    <w:rsid w:val="00C94C5F"/>
    <w:rsid w:val="00C9524F"/>
    <w:rsid w:val="00C97041"/>
    <w:rsid w:val="00C97042"/>
    <w:rsid w:val="00C9794E"/>
    <w:rsid w:val="00C979F3"/>
    <w:rsid w:val="00CA06CE"/>
    <w:rsid w:val="00CA0EED"/>
    <w:rsid w:val="00CA0F8C"/>
    <w:rsid w:val="00CA1224"/>
    <w:rsid w:val="00CA2794"/>
    <w:rsid w:val="00CB0616"/>
    <w:rsid w:val="00CB1364"/>
    <w:rsid w:val="00CB3215"/>
    <w:rsid w:val="00CB38A0"/>
    <w:rsid w:val="00CB38AF"/>
    <w:rsid w:val="00CB630A"/>
    <w:rsid w:val="00CB65EF"/>
    <w:rsid w:val="00CB6DBB"/>
    <w:rsid w:val="00CB72F5"/>
    <w:rsid w:val="00CC012F"/>
    <w:rsid w:val="00CC03E3"/>
    <w:rsid w:val="00CC0D0A"/>
    <w:rsid w:val="00CC1B7D"/>
    <w:rsid w:val="00CC1EF1"/>
    <w:rsid w:val="00CC3D8E"/>
    <w:rsid w:val="00CC41DA"/>
    <w:rsid w:val="00CC503C"/>
    <w:rsid w:val="00CC5AB4"/>
    <w:rsid w:val="00CC5F28"/>
    <w:rsid w:val="00CC6C4E"/>
    <w:rsid w:val="00CC6EA3"/>
    <w:rsid w:val="00CD49EC"/>
    <w:rsid w:val="00CE08AA"/>
    <w:rsid w:val="00CE313B"/>
    <w:rsid w:val="00CE4610"/>
    <w:rsid w:val="00CE475C"/>
    <w:rsid w:val="00CE6EF6"/>
    <w:rsid w:val="00CE7AEB"/>
    <w:rsid w:val="00CE7E3D"/>
    <w:rsid w:val="00CF0D1F"/>
    <w:rsid w:val="00CF0DC4"/>
    <w:rsid w:val="00CF0ECB"/>
    <w:rsid w:val="00CF1D5A"/>
    <w:rsid w:val="00CF3C7B"/>
    <w:rsid w:val="00CF4E4D"/>
    <w:rsid w:val="00CF7317"/>
    <w:rsid w:val="00D023A7"/>
    <w:rsid w:val="00D0254C"/>
    <w:rsid w:val="00D02A61"/>
    <w:rsid w:val="00D02D91"/>
    <w:rsid w:val="00D038F3"/>
    <w:rsid w:val="00D03E94"/>
    <w:rsid w:val="00D0438E"/>
    <w:rsid w:val="00D06225"/>
    <w:rsid w:val="00D075C8"/>
    <w:rsid w:val="00D10279"/>
    <w:rsid w:val="00D113C0"/>
    <w:rsid w:val="00D11965"/>
    <w:rsid w:val="00D126B7"/>
    <w:rsid w:val="00D134E0"/>
    <w:rsid w:val="00D13636"/>
    <w:rsid w:val="00D14F5B"/>
    <w:rsid w:val="00D17713"/>
    <w:rsid w:val="00D17CB6"/>
    <w:rsid w:val="00D20356"/>
    <w:rsid w:val="00D206DD"/>
    <w:rsid w:val="00D20FFB"/>
    <w:rsid w:val="00D2478F"/>
    <w:rsid w:val="00D260F8"/>
    <w:rsid w:val="00D26D78"/>
    <w:rsid w:val="00D3203E"/>
    <w:rsid w:val="00D3214A"/>
    <w:rsid w:val="00D32665"/>
    <w:rsid w:val="00D32E6E"/>
    <w:rsid w:val="00D33037"/>
    <w:rsid w:val="00D3377E"/>
    <w:rsid w:val="00D33E15"/>
    <w:rsid w:val="00D350D0"/>
    <w:rsid w:val="00D37386"/>
    <w:rsid w:val="00D37530"/>
    <w:rsid w:val="00D41699"/>
    <w:rsid w:val="00D440F6"/>
    <w:rsid w:val="00D445FA"/>
    <w:rsid w:val="00D4503A"/>
    <w:rsid w:val="00D4520B"/>
    <w:rsid w:val="00D4733E"/>
    <w:rsid w:val="00D4777B"/>
    <w:rsid w:val="00D50DBD"/>
    <w:rsid w:val="00D54752"/>
    <w:rsid w:val="00D56B8F"/>
    <w:rsid w:val="00D5791A"/>
    <w:rsid w:val="00D57FF8"/>
    <w:rsid w:val="00D60BDF"/>
    <w:rsid w:val="00D60DC5"/>
    <w:rsid w:val="00D6151B"/>
    <w:rsid w:val="00D61780"/>
    <w:rsid w:val="00D61D5A"/>
    <w:rsid w:val="00D623EB"/>
    <w:rsid w:val="00D62905"/>
    <w:rsid w:val="00D637FE"/>
    <w:rsid w:val="00D63F04"/>
    <w:rsid w:val="00D65A6E"/>
    <w:rsid w:val="00D66D1C"/>
    <w:rsid w:val="00D72133"/>
    <w:rsid w:val="00D7221D"/>
    <w:rsid w:val="00D7237B"/>
    <w:rsid w:val="00D7363A"/>
    <w:rsid w:val="00D73FB7"/>
    <w:rsid w:val="00D73FB9"/>
    <w:rsid w:val="00D753BD"/>
    <w:rsid w:val="00D75FCF"/>
    <w:rsid w:val="00D76B16"/>
    <w:rsid w:val="00D76B66"/>
    <w:rsid w:val="00D773D0"/>
    <w:rsid w:val="00D77DC0"/>
    <w:rsid w:val="00D80073"/>
    <w:rsid w:val="00D80EB6"/>
    <w:rsid w:val="00D80FD9"/>
    <w:rsid w:val="00D81A8E"/>
    <w:rsid w:val="00D8329D"/>
    <w:rsid w:val="00D83408"/>
    <w:rsid w:val="00D83715"/>
    <w:rsid w:val="00D84668"/>
    <w:rsid w:val="00D84A3A"/>
    <w:rsid w:val="00D863CC"/>
    <w:rsid w:val="00D87B9A"/>
    <w:rsid w:val="00D87BD3"/>
    <w:rsid w:val="00D90D24"/>
    <w:rsid w:val="00D90EBF"/>
    <w:rsid w:val="00D916A9"/>
    <w:rsid w:val="00D94144"/>
    <w:rsid w:val="00D956BD"/>
    <w:rsid w:val="00D9611D"/>
    <w:rsid w:val="00D97463"/>
    <w:rsid w:val="00D9773D"/>
    <w:rsid w:val="00D97C6C"/>
    <w:rsid w:val="00D97D3F"/>
    <w:rsid w:val="00DA09EB"/>
    <w:rsid w:val="00DA22AF"/>
    <w:rsid w:val="00DA25D8"/>
    <w:rsid w:val="00DA2D2A"/>
    <w:rsid w:val="00DA4B88"/>
    <w:rsid w:val="00DA78B5"/>
    <w:rsid w:val="00DA7EEA"/>
    <w:rsid w:val="00DB304D"/>
    <w:rsid w:val="00DB3AAA"/>
    <w:rsid w:val="00DB439A"/>
    <w:rsid w:val="00DC04AB"/>
    <w:rsid w:val="00DC1AE7"/>
    <w:rsid w:val="00DC28FF"/>
    <w:rsid w:val="00DC2D48"/>
    <w:rsid w:val="00DC3253"/>
    <w:rsid w:val="00DC41C7"/>
    <w:rsid w:val="00DC5381"/>
    <w:rsid w:val="00DC5FA6"/>
    <w:rsid w:val="00DC631F"/>
    <w:rsid w:val="00DC6760"/>
    <w:rsid w:val="00DD30F7"/>
    <w:rsid w:val="00DD388E"/>
    <w:rsid w:val="00DD4D3C"/>
    <w:rsid w:val="00DD4EBF"/>
    <w:rsid w:val="00DD60C4"/>
    <w:rsid w:val="00DD736C"/>
    <w:rsid w:val="00DE2EE4"/>
    <w:rsid w:val="00DE55E3"/>
    <w:rsid w:val="00DE5657"/>
    <w:rsid w:val="00DF0316"/>
    <w:rsid w:val="00DF0E5F"/>
    <w:rsid w:val="00DF11D0"/>
    <w:rsid w:val="00DF13A6"/>
    <w:rsid w:val="00DF13E5"/>
    <w:rsid w:val="00DF1972"/>
    <w:rsid w:val="00DF519C"/>
    <w:rsid w:val="00DF57DB"/>
    <w:rsid w:val="00DF5EDC"/>
    <w:rsid w:val="00DF665C"/>
    <w:rsid w:val="00E00339"/>
    <w:rsid w:val="00E005AF"/>
    <w:rsid w:val="00E014FE"/>
    <w:rsid w:val="00E025F4"/>
    <w:rsid w:val="00E04238"/>
    <w:rsid w:val="00E05D27"/>
    <w:rsid w:val="00E0606D"/>
    <w:rsid w:val="00E0766F"/>
    <w:rsid w:val="00E076E5"/>
    <w:rsid w:val="00E077E1"/>
    <w:rsid w:val="00E10F45"/>
    <w:rsid w:val="00E12E0B"/>
    <w:rsid w:val="00E1539A"/>
    <w:rsid w:val="00E16ECF"/>
    <w:rsid w:val="00E20692"/>
    <w:rsid w:val="00E206EA"/>
    <w:rsid w:val="00E21972"/>
    <w:rsid w:val="00E224CF"/>
    <w:rsid w:val="00E230B4"/>
    <w:rsid w:val="00E24645"/>
    <w:rsid w:val="00E24CCA"/>
    <w:rsid w:val="00E254A0"/>
    <w:rsid w:val="00E25680"/>
    <w:rsid w:val="00E2702D"/>
    <w:rsid w:val="00E2781A"/>
    <w:rsid w:val="00E30182"/>
    <w:rsid w:val="00E3229A"/>
    <w:rsid w:val="00E33AF6"/>
    <w:rsid w:val="00E36364"/>
    <w:rsid w:val="00E3647C"/>
    <w:rsid w:val="00E36A70"/>
    <w:rsid w:val="00E41451"/>
    <w:rsid w:val="00E415B8"/>
    <w:rsid w:val="00E42787"/>
    <w:rsid w:val="00E427EE"/>
    <w:rsid w:val="00E4577B"/>
    <w:rsid w:val="00E45817"/>
    <w:rsid w:val="00E45BFB"/>
    <w:rsid w:val="00E46F93"/>
    <w:rsid w:val="00E50D6A"/>
    <w:rsid w:val="00E513D0"/>
    <w:rsid w:val="00E5187C"/>
    <w:rsid w:val="00E55DEB"/>
    <w:rsid w:val="00E6068D"/>
    <w:rsid w:val="00E61C32"/>
    <w:rsid w:val="00E67B6F"/>
    <w:rsid w:val="00E704F7"/>
    <w:rsid w:val="00E7076F"/>
    <w:rsid w:val="00E70C45"/>
    <w:rsid w:val="00E73382"/>
    <w:rsid w:val="00E7433B"/>
    <w:rsid w:val="00E75ABE"/>
    <w:rsid w:val="00E7646B"/>
    <w:rsid w:val="00E76542"/>
    <w:rsid w:val="00E76FF1"/>
    <w:rsid w:val="00E77000"/>
    <w:rsid w:val="00E77777"/>
    <w:rsid w:val="00E81560"/>
    <w:rsid w:val="00E83789"/>
    <w:rsid w:val="00E83838"/>
    <w:rsid w:val="00E83A19"/>
    <w:rsid w:val="00E850BA"/>
    <w:rsid w:val="00E8562C"/>
    <w:rsid w:val="00E858A9"/>
    <w:rsid w:val="00E86556"/>
    <w:rsid w:val="00E876CB"/>
    <w:rsid w:val="00E900A3"/>
    <w:rsid w:val="00E91310"/>
    <w:rsid w:val="00E9144E"/>
    <w:rsid w:val="00E92FA6"/>
    <w:rsid w:val="00E9477E"/>
    <w:rsid w:val="00E94EC3"/>
    <w:rsid w:val="00E95825"/>
    <w:rsid w:val="00E9694D"/>
    <w:rsid w:val="00EA1AF6"/>
    <w:rsid w:val="00EA1CFB"/>
    <w:rsid w:val="00EA2EEB"/>
    <w:rsid w:val="00EA50EC"/>
    <w:rsid w:val="00EA5D5D"/>
    <w:rsid w:val="00EA692F"/>
    <w:rsid w:val="00EA766E"/>
    <w:rsid w:val="00EB37A8"/>
    <w:rsid w:val="00EB40B0"/>
    <w:rsid w:val="00EB4443"/>
    <w:rsid w:val="00EB74BC"/>
    <w:rsid w:val="00EC16F8"/>
    <w:rsid w:val="00EC336E"/>
    <w:rsid w:val="00ED2C08"/>
    <w:rsid w:val="00ED3A64"/>
    <w:rsid w:val="00ED4194"/>
    <w:rsid w:val="00ED560D"/>
    <w:rsid w:val="00ED605B"/>
    <w:rsid w:val="00ED6260"/>
    <w:rsid w:val="00ED6B98"/>
    <w:rsid w:val="00ED6C94"/>
    <w:rsid w:val="00ED7F1C"/>
    <w:rsid w:val="00EE1040"/>
    <w:rsid w:val="00EE4797"/>
    <w:rsid w:val="00EE5B40"/>
    <w:rsid w:val="00EE5D08"/>
    <w:rsid w:val="00EE7685"/>
    <w:rsid w:val="00EF0BF1"/>
    <w:rsid w:val="00EF0EA0"/>
    <w:rsid w:val="00EF35D0"/>
    <w:rsid w:val="00EF3CF4"/>
    <w:rsid w:val="00EF4C89"/>
    <w:rsid w:val="00EF5F9F"/>
    <w:rsid w:val="00EF64BD"/>
    <w:rsid w:val="00F0242A"/>
    <w:rsid w:val="00F05050"/>
    <w:rsid w:val="00F053EF"/>
    <w:rsid w:val="00F0676E"/>
    <w:rsid w:val="00F10BC5"/>
    <w:rsid w:val="00F12FA6"/>
    <w:rsid w:val="00F1327E"/>
    <w:rsid w:val="00F141DF"/>
    <w:rsid w:val="00F15307"/>
    <w:rsid w:val="00F16041"/>
    <w:rsid w:val="00F16F37"/>
    <w:rsid w:val="00F17A7A"/>
    <w:rsid w:val="00F20245"/>
    <w:rsid w:val="00F216B1"/>
    <w:rsid w:val="00F23A2A"/>
    <w:rsid w:val="00F23E20"/>
    <w:rsid w:val="00F23F90"/>
    <w:rsid w:val="00F24F70"/>
    <w:rsid w:val="00F25611"/>
    <w:rsid w:val="00F276A4"/>
    <w:rsid w:val="00F30A87"/>
    <w:rsid w:val="00F31DA3"/>
    <w:rsid w:val="00F32F11"/>
    <w:rsid w:val="00F331FC"/>
    <w:rsid w:val="00F3371D"/>
    <w:rsid w:val="00F35CBE"/>
    <w:rsid w:val="00F374B9"/>
    <w:rsid w:val="00F406A9"/>
    <w:rsid w:val="00F40823"/>
    <w:rsid w:val="00F40BF4"/>
    <w:rsid w:val="00F41942"/>
    <w:rsid w:val="00F4261F"/>
    <w:rsid w:val="00F43B0B"/>
    <w:rsid w:val="00F43BA6"/>
    <w:rsid w:val="00F508B0"/>
    <w:rsid w:val="00F51C02"/>
    <w:rsid w:val="00F5227C"/>
    <w:rsid w:val="00F53937"/>
    <w:rsid w:val="00F54C78"/>
    <w:rsid w:val="00F555DD"/>
    <w:rsid w:val="00F55D28"/>
    <w:rsid w:val="00F5610C"/>
    <w:rsid w:val="00F566C7"/>
    <w:rsid w:val="00F57850"/>
    <w:rsid w:val="00F626E0"/>
    <w:rsid w:val="00F64195"/>
    <w:rsid w:val="00F646A4"/>
    <w:rsid w:val="00F65C61"/>
    <w:rsid w:val="00F65D33"/>
    <w:rsid w:val="00F6667B"/>
    <w:rsid w:val="00F675A0"/>
    <w:rsid w:val="00F7027C"/>
    <w:rsid w:val="00F70333"/>
    <w:rsid w:val="00F72892"/>
    <w:rsid w:val="00F729B4"/>
    <w:rsid w:val="00F73106"/>
    <w:rsid w:val="00F73F33"/>
    <w:rsid w:val="00F743AB"/>
    <w:rsid w:val="00F7494E"/>
    <w:rsid w:val="00F74B06"/>
    <w:rsid w:val="00F75C80"/>
    <w:rsid w:val="00F80AFA"/>
    <w:rsid w:val="00F8155F"/>
    <w:rsid w:val="00F81BA9"/>
    <w:rsid w:val="00F81E24"/>
    <w:rsid w:val="00F82D92"/>
    <w:rsid w:val="00F85FA6"/>
    <w:rsid w:val="00F860A4"/>
    <w:rsid w:val="00F86357"/>
    <w:rsid w:val="00F90FBA"/>
    <w:rsid w:val="00F93C02"/>
    <w:rsid w:val="00F955C4"/>
    <w:rsid w:val="00F95855"/>
    <w:rsid w:val="00F95C7C"/>
    <w:rsid w:val="00F96297"/>
    <w:rsid w:val="00FA106A"/>
    <w:rsid w:val="00FA13BE"/>
    <w:rsid w:val="00FA1A86"/>
    <w:rsid w:val="00FA1B4B"/>
    <w:rsid w:val="00FA3174"/>
    <w:rsid w:val="00FA384A"/>
    <w:rsid w:val="00FA4229"/>
    <w:rsid w:val="00FA433D"/>
    <w:rsid w:val="00FA4DCD"/>
    <w:rsid w:val="00FA65D1"/>
    <w:rsid w:val="00FA6845"/>
    <w:rsid w:val="00FA6CA0"/>
    <w:rsid w:val="00FA701F"/>
    <w:rsid w:val="00FA78E7"/>
    <w:rsid w:val="00FB01B3"/>
    <w:rsid w:val="00FB4CE4"/>
    <w:rsid w:val="00FB5013"/>
    <w:rsid w:val="00FB507A"/>
    <w:rsid w:val="00FB6A28"/>
    <w:rsid w:val="00FB76CD"/>
    <w:rsid w:val="00FC662C"/>
    <w:rsid w:val="00FC6851"/>
    <w:rsid w:val="00FC7394"/>
    <w:rsid w:val="00FD2F99"/>
    <w:rsid w:val="00FD3B61"/>
    <w:rsid w:val="00FD5E0B"/>
    <w:rsid w:val="00FD79B7"/>
    <w:rsid w:val="00FE15EB"/>
    <w:rsid w:val="00FE4B51"/>
    <w:rsid w:val="00FE4E3B"/>
    <w:rsid w:val="00FE551A"/>
    <w:rsid w:val="00FE5772"/>
    <w:rsid w:val="00FE752E"/>
    <w:rsid w:val="00FE7DFE"/>
    <w:rsid w:val="00FF06F1"/>
    <w:rsid w:val="00FF2C7A"/>
    <w:rsid w:val="00FF330B"/>
    <w:rsid w:val="00FF4869"/>
    <w:rsid w:val="00FF7510"/>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18ACD"/>
  <w15:docId w15:val="{790C8076-4F5E-481C-9B5D-C22FD641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8A9"/>
    <w:pPr>
      <w:spacing w:after="0" w:line="240" w:lineRule="auto"/>
    </w:pPr>
    <w:rPr>
      <w:rFonts w:ascii="Calibri" w:hAnsi="Calibri"/>
    </w:rPr>
  </w:style>
  <w:style w:type="paragraph" w:styleId="Heading1">
    <w:name w:val="heading 1"/>
    <w:next w:val="BodyText"/>
    <w:link w:val="Heading1Char"/>
    <w:uiPriority w:val="1"/>
    <w:qFormat/>
    <w:rsid w:val="00E858A9"/>
    <w:pPr>
      <w:keepNext/>
      <w:keepLines/>
      <w:tabs>
        <w:tab w:val="left" w:pos="3345"/>
      </w:tabs>
      <w:spacing w:before="240" w:after="120" w:line="268" w:lineRule="auto"/>
      <w:outlineLvl w:val="0"/>
    </w:pPr>
    <w:rPr>
      <w:rFonts w:ascii="Calibri" w:eastAsiaTheme="majorEastAsia" w:hAnsi="Calibri" w:cstheme="majorBidi"/>
      <w:b/>
      <w:color w:val="003865"/>
      <w:sz w:val="40"/>
      <w:szCs w:val="40"/>
    </w:rPr>
  </w:style>
  <w:style w:type="paragraph" w:styleId="Heading2">
    <w:name w:val="heading 2"/>
    <w:next w:val="BodyText"/>
    <w:link w:val="Heading2Char"/>
    <w:uiPriority w:val="1"/>
    <w:unhideWhenUsed/>
    <w:qFormat/>
    <w:rsid w:val="000341DE"/>
    <w:pPr>
      <w:keepNext/>
      <w:keepLines/>
      <w:pBdr>
        <w:bottom w:val="single" w:sz="4" w:space="1" w:color="auto"/>
      </w:pBdr>
      <w:tabs>
        <w:tab w:val="left" w:pos="2400"/>
      </w:tabs>
      <w:spacing w:before="240" w:after="120" w:line="269" w:lineRule="auto"/>
      <w:outlineLvl w:val="1"/>
    </w:pPr>
    <w:rPr>
      <w:rFonts w:eastAsiaTheme="majorEastAsia" w:cstheme="majorBidi"/>
      <w:b/>
      <w:bCs/>
      <w:color w:val="003865"/>
      <w:sz w:val="32"/>
      <w:szCs w:val="32"/>
    </w:rPr>
  </w:style>
  <w:style w:type="paragraph" w:styleId="Heading3">
    <w:name w:val="heading 3"/>
    <w:next w:val="BodyText"/>
    <w:link w:val="Heading3Char"/>
    <w:uiPriority w:val="1"/>
    <w:unhideWhenUsed/>
    <w:qFormat/>
    <w:rsid w:val="00E858A9"/>
    <w:pPr>
      <w:keepNext/>
      <w:tabs>
        <w:tab w:val="left" w:pos="735"/>
      </w:tabs>
      <w:spacing w:before="240" w:after="120" w:line="268"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unhideWhenUsed/>
    <w:qFormat/>
    <w:rsid w:val="00F64195"/>
    <w:pPr>
      <w:keepNext/>
      <w:keepLines/>
      <w:spacing w:before="4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unhideWhenUsed/>
    <w:qFormat/>
    <w:rsid w:val="007C165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165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65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16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16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E91310"/>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E91310"/>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E91310"/>
    <w:pPr>
      <w:widowControl w:val="0"/>
      <w:autoSpaceDE w:val="0"/>
      <w:autoSpaceDN w:val="0"/>
      <w:adjustRightInd w:val="0"/>
      <w:ind w:left="-1080"/>
    </w:pPr>
    <w:rPr>
      <w:sz w:val="24"/>
      <w:szCs w:val="24"/>
    </w:rPr>
  </w:style>
  <w:style w:type="character" w:customStyle="1" w:styleId="DefaultPara">
    <w:name w:val="Default Para"/>
    <w:rsid w:val="00E91310"/>
  </w:style>
  <w:style w:type="character" w:customStyle="1" w:styleId="SYSHYPERTEXT">
    <w:name w:val="SYS_HYPERTEXT"/>
    <w:rsid w:val="00E91310"/>
    <w:rPr>
      <w:color w:val="0000FF"/>
    </w:rPr>
  </w:style>
  <w:style w:type="paragraph" w:styleId="Header">
    <w:name w:val="header"/>
    <w:basedOn w:val="Normal"/>
    <w:rsid w:val="00E91310"/>
    <w:pPr>
      <w:tabs>
        <w:tab w:val="center" w:pos="4320"/>
        <w:tab w:val="right" w:pos="8640"/>
      </w:tabs>
    </w:pPr>
  </w:style>
  <w:style w:type="character" w:styleId="PageNumber">
    <w:name w:val="page number"/>
    <w:basedOn w:val="DefaultParagraphFont"/>
    <w:rsid w:val="00E91310"/>
  </w:style>
  <w:style w:type="paragraph" w:styleId="BodyText">
    <w:name w:val="Body Text"/>
    <w:link w:val="BodyTextChar"/>
    <w:unhideWhenUsed/>
    <w:qFormat/>
    <w:rsid w:val="00E858A9"/>
    <w:pPr>
      <w:spacing w:before="200" w:after="200" w:line="268" w:lineRule="auto"/>
    </w:pPr>
  </w:style>
  <w:style w:type="paragraph" w:styleId="Caption">
    <w:name w:val="caption"/>
    <w:basedOn w:val="Normal"/>
    <w:next w:val="Normal"/>
    <w:uiPriority w:val="35"/>
    <w:semiHidden/>
    <w:unhideWhenUsed/>
    <w:qFormat/>
    <w:rsid w:val="007C165F"/>
    <w:pPr>
      <w:spacing w:after="200"/>
    </w:pPr>
    <w:rPr>
      <w:i/>
      <w:iCs/>
      <w:color w:val="1F497D" w:themeColor="text2"/>
      <w:sz w:val="18"/>
      <w:szCs w:val="18"/>
    </w:rPr>
  </w:style>
  <w:style w:type="paragraph" w:styleId="BodyText2">
    <w:name w:val="Body Text 2"/>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3">
    <w:name w:val="Body Text 3"/>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styleId="Hyperlink">
    <w:name w:val="Hyperlink"/>
    <w:rsid w:val="00E91310"/>
    <w:rPr>
      <w:color w:val="0000FF"/>
      <w:u w:val="single"/>
    </w:rPr>
  </w:style>
  <w:style w:type="character" w:styleId="FollowedHyperlink">
    <w:name w:val="FollowedHyperlink"/>
    <w:rsid w:val="00E91310"/>
    <w:rPr>
      <w:color w:val="800080"/>
      <w:u w:val="single"/>
    </w:rPr>
  </w:style>
  <w:style w:type="paragraph" w:styleId="Footer">
    <w:name w:val="footer"/>
    <w:basedOn w:val="Normal"/>
    <w:link w:val="FooterChar"/>
    <w:uiPriority w:val="99"/>
    <w:rsid w:val="00E91310"/>
    <w:pPr>
      <w:tabs>
        <w:tab w:val="center" w:pos="4320"/>
        <w:tab w:val="right" w:pos="8640"/>
      </w:tabs>
    </w:pPr>
  </w:style>
  <w:style w:type="paragraph" w:customStyle="1" w:styleId="Default">
    <w:name w:val="Default"/>
    <w:rsid w:val="0080088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605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4C89"/>
    <w:rPr>
      <w:rFonts w:ascii="Tahoma" w:hAnsi="Tahoma" w:cs="Tahoma"/>
      <w:sz w:val="16"/>
      <w:szCs w:val="16"/>
    </w:rPr>
  </w:style>
  <w:style w:type="paragraph" w:styleId="ListParagraph">
    <w:name w:val="List Paragraph"/>
    <w:basedOn w:val="Normal"/>
    <w:qFormat/>
    <w:rsid w:val="007C165F"/>
    <w:pPr>
      <w:ind w:left="720"/>
      <w:contextualSpacing/>
    </w:pPr>
  </w:style>
  <w:style w:type="paragraph" w:styleId="ListBullet">
    <w:name w:val="List Bullet"/>
    <w:basedOn w:val="Normal"/>
    <w:rsid w:val="00C4222C"/>
    <w:pPr>
      <w:numPr>
        <w:numId w:val="1"/>
      </w:numPr>
      <w:spacing w:after="120"/>
    </w:pPr>
  </w:style>
  <w:style w:type="character" w:customStyle="1" w:styleId="BodyTextChar">
    <w:name w:val="Body Text Char"/>
    <w:basedOn w:val="DefaultParagraphFont"/>
    <w:link w:val="BodyText"/>
    <w:rsid w:val="00E858A9"/>
  </w:style>
  <w:style w:type="paragraph" w:customStyle="1" w:styleId="StyleListBulletAfter12pt">
    <w:name w:val="Style List Bullet + After:  12 pt"/>
    <w:basedOn w:val="ListBullet"/>
    <w:rsid w:val="00C4222C"/>
  </w:style>
  <w:style w:type="character" w:styleId="Strong">
    <w:name w:val="Strong"/>
    <w:basedOn w:val="DefaultParagraphFont"/>
    <w:uiPriority w:val="22"/>
    <w:qFormat/>
    <w:rsid w:val="007C165F"/>
    <w:rPr>
      <w:b/>
      <w:bCs/>
    </w:rPr>
  </w:style>
  <w:style w:type="character" w:styleId="Emphasis">
    <w:name w:val="Emphasis"/>
    <w:basedOn w:val="DefaultParagraphFont"/>
    <w:uiPriority w:val="20"/>
    <w:qFormat/>
    <w:rsid w:val="007C165F"/>
    <w:rPr>
      <w:i/>
      <w:iCs/>
    </w:rPr>
  </w:style>
  <w:style w:type="paragraph" w:styleId="Revision">
    <w:name w:val="Revision"/>
    <w:hidden/>
    <w:uiPriority w:val="99"/>
    <w:semiHidden/>
    <w:rsid w:val="00895418"/>
  </w:style>
  <w:style w:type="paragraph" w:styleId="NoSpacing">
    <w:name w:val="No Spacing"/>
    <w:uiPriority w:val="1"/>
    <w:qFormat/>
    <w:rsid w:val="007C165F"/>
    <w:pPr>
      <w:spacing w:after="0" w:line="240" w:lineRule="auto"/>
    </w:pPr>
    <w:rPr>
      <w:rFonts w:ascii="Calibri" w:hAnsi="Calibri"/>
    </w:rPr>
  </w:style>
  <w:style w:type="character" w:customStyle="1" w:styleId="Heading1Char">
    <w:name w:val="Heading 1 Char"/>
    <w:basedOn w:val="DefaultParagraphFont"/>
    <w:link w:val="Heading1"/>
    <w:uiPriority w:val="1"/>
    <w:rsid w:val="00E858A9"/>
    <w:rPr>
      <w:rFonts w:ascii="Calibri" w:eastAsiaTheme="majorEastAsia" w:hAnsi="Calibri" w:cstheme="majorBidi"/>
      <w:b/>
      <w:color w:val="003865"/>
      <w:sz w:val="40"/>
      <w:szCs w:val="40"/>
    </w:rPr>
  </w:style>
  <w:style w:type="character" w:customStyle="1" w:styleId="Heading2Char">
    <w:name w:val="Heading 2 Char"/>
    <w:basedOn w:val="DefaultParagraphFont"/>
    <w:link w:val="Heading2"/>
    <w:uiPriority w:val="1"/>
    <w:rsid w:val="000341DE"/>
    <w:rPr>
      <w:rFonts w:eastAsiaTheme="majorEastAsia" w:cstheme="majorBidi"/>
      <w:b/>
      <w:bCs/>
      <w:color w:val="003865"/>
      <w:sz w:val="32"/>
      <w:szCs w:val="32"/>
    </w:rPr>
  </w:style>
  <w:style w:type="character" w:customStyle="1" w:styleId="Heading3Char">
    <w:name w:val="Heading 3 Char"/>
    <w:basedOn w:val="DefaultParagraphFont"/>
    <w:link w:val="Heading3"/>
    <w:uiPriority w:val="1"/>
    <w:rsid w:val="00E858A9"/>
    <w:rPr>
      <w:rFonts w:eastAsiaTheme="majorEastAsia" w:cs="Arial"/>
      <w:b/>
      <w:color w:val="003865"/>
      <w:sz w:val="24"/>
      <w:szCs w:val="24"/>
    </w:rPr>
  </w:style>
  <w:style w:type="character" w:customStyle="1" w:styleId="Heading4Char">
    <w:name w:val="Heading 4 Char"/>
    <w:basedOn w:val="DefaultParagraphFont"/>
    <w:link w:val="Heading4"/>
    <w:uiPriority w:val="9"/>
    <w:rsid w:val="00F64195"/>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7C16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16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16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16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165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C16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5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C165F"/>
    <w:rPr>
      <w:rFonts w:eastAsiaTheme="minorEastAsia"/>
      <w:color w:val="5A5A5A" w:themeColor="text1" w:themeTint="A5"/>
      <w:spacing w:val="15"/>
    </w:rPr>
  </w:style>
  <w:style w:type="paragraph" w:styleId="Quote">
    <w:name w:val="Quote"/>
    <w:basedOn w:val="Normal"/>
    <w:next w:val="Normal"/>
    <w:link w:val="QuoteChar"/>
    <w:uiPriority w:val="29"/>
    <w:qFormat/>
    <w:rsid w:val="007C16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65F"/>
    <w:rPr>
      <w:rFonts w:ascii="Calibri" w:hAnsi="Calibri"/>
      <w:i/>
      <w:iCs/>
      <w:color w:val="404040" w:themeColor="text1" w:themeTint="BF"/>
    </w:rPr>
  </w:style>
  <w:style w:type="paragraph" w:styleId="IntenseQuote">
    <w:name w:val="Intense Quote"/>
    <w:basedOn w:val="Normal"/>
    <w:next w:val="Normal"/>
    <w:link w:val="IntenseQuoteChar"/>
    <w:uiPriority w:val="30"/>
    <w:qFormat/>
    <w:rsid w:val="007C16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165F"/>
    <w:rPr>
      <w:rFonts w:ascii="Calibri" w:hAnsi="Calibri"/>
      <w:i/>
      <w:iCs/>
      <w:color w:val="4F81BD" w:themeColor="accent1"/>
    </w:rPr>
  </w:style>
  <w:style w:type="character" w:styleId="SubtleEmphasis">
    <w:name w:val="Subtle Emphasis"/>
    <w:basedOn w:val="DefaultParagraphFont"/>
    <w:uiPriority w:val="19"/>
    <w:qFormat/>
    <w:rsid w:val="007C165F"/>
    <w:rPr>
      <w:i/>
      <w:iCs/>
      <w:color w:val="404040" w:themeColor="text1" w:themeTint="BF"/>
    </w:rPr>
  </w:style>
  <w:style w:type="character" w:styleId="IntenseEmphasis">
    <w:name w:val="Intense Emphasis"/>
    <w:basedOn w:val="DefaultParagraphFont"/>
    <w:uiPriority w:val="21"/>
    <w:qFormat/>
    <w:rsid w:val="007C165F"/>
    <w:rPr>
      <w:i/>
      <w:iCs/>
      <w:color w:val="4F81BD" w:themeColor="accent1"/>
    </w:rPr>
  </w:style>
  <w:style w:type="character" w:styleId="SubtleReference">
    <w:name w:val="Subtle Reference"/>
    <w:basedOn w:val="DefaultParagraphFont"/>
    <w:uiPriority w:val="31"/>
    <w:qFormat/>
    <w:rsid w:val="007C165F"/>
    <w:rPr>
      <w:smallCaps/>
      <w:color w:val="5A5A5A" w:themeColor="text1" w:themeTint="A5"/>
    </w:rPr>
  </w:style>
  <w:style w:type="character" w:styleId="IntenseReference">
    <w:name w:val="Intense Reference"/>
    <w:basedOn w:val="DefaultParagraphFont"/>
    <w:uiPriority w:val="32"/>
    <w:qFormat/>
    <w:rsid w:val="007C165F"/>
    <w:rPr>
      <w:b/>
      <w:bCs/>
      <w:smallCaps/>
      <w:color w:val="4F81BD" w:themeColor="accent1"/>
      <w:spacing w:val="5"/>
    </w:rPr>
  </w:style>
  <w:style w:type="character" w:styleId="BookTitle">
    <w:name w:val="Book Title"/>
    <w:basedOn w:val="DefaultParagraphFont"/>
    <w:uiPriority w:val="33"/>
    <w:qFormat/>
    <w:rsid w:val="007C165F"/>
    <w:rPr>
      <w:b/>
      <w:bCs/>
      <w:i/>
      <w:iCs/>
      <w:spacing w:val="5"/>
    </w:rPr>
  </w:style>
  <w:style w:type="paragraph" w:styleId="TOCHeading">
    <w:name w:val="TOC Heading"/>
    <w:basedOn w:val="Heading1"/>
    <w:next w:val="Normal"/>
    <w:uiPriority w:val="39"/>
    <w:semiHidden/>
    <w:unhideWhenUsed/>
    <w:qFormat/>
    <w:rsid w:val="007C165F"/>
    <w:pPr>
      <w:tabs>
        <w:tab w:val="clear" w:pos="3345"/>
      </w:tabs>
      <w:spacing w:after="0" w:line="240" w:lineRule="auto"/>
      <w:outlineLvl w:val="9"/>
    </w:pPr>
    <w:rPr>
      <w:rFonts w:asciiTheme="majorHAnsi" w:hAnsiTheme="majorHAnsi"/>
      <w:b w:val="0"/>
      <w:color w:val="365F91" w:themeColor="accent1" w:themeShade="BF"/>
      <w:sz w:val="32"/>
      <w:szCs w:val="32"/>
    </w:rPr>
  </w:style>
  <w:style w:type="character" w:customStyle="1" w:styleId="FooterChar">
    <w:name w:val="Footer Char"/>
    <w:basedOn w:val="DefaultParagraphFont"/>
    <w:link w:val="Footer"/>
    <w:uiPriority w:val="99"/>
    <w:rsid w:val="001B6B06"/>
  </w:style>
  <w:style w:type="character" w:styleId="CommentReference">
    <w:name w:val="annotation reference"/>
    <w:basedOn w:val="DefaultParagraphFont"/>
    <w:semiHidden/>
    <w:unhideWhenUsed/>
    <w:rsid w:val="00D63F04"/>
    <w:rPr>
      <w:sz w:val="16"/>
      <w:szCs w:val="16"/>
    </w:rPr>
  </w:style>
  <w:style w:type="paragraph" w:styleId="CommentText">
    <w:name w:val="annotation text"/>
    <w:basedOn w:val="Normal"/>
    <w:link w:val="CommentTextChar"/>
    <w:semiHidden/>
    <w:unhideWhenUsed/>
    <w:rsid w:val="00D63F04"/>
    <w:rPr>
      <w:sz w:val="20"/>
      <w:szCs w:val="20"/>
    </w:rPr>
  </w:style>
  <w:style w:type="character" w:customStyle="1" w:styleId="CommentTextChar">
    <w:name w:val="Comment Text Char"/>
    <w:basedOn w:val="DefaultParagraphFont"/>
    <w:link w:val="CommentText"/>
    <w:semiHidden/>
    <w:rsid w:val="00D63F04"/>
    <w:rPr>
      <w:sz w:val="20"/>
      <w:szCs w:val="20"/>
    </w:rPr>
  </w:style>
  <w:style w:type="paragraph" w:styleId="CommentSubject">
    <w:name w:val="annotation subject"/>
    <w:basedOn w:val="CommentText"/>
    <w:next w:val="CommentText"/>
    <w:link w:val="CommentSubjectChar"/>
    <w:semiHidden/>
    <w:unhideWhenUsed/>
    <w:rsid w:val="00D63F04"/>
    <w:rPr>
      <w:b/>
      <w:bCs/>
    </w:rPr>
  </w:style>
  <w:style w:type="character" w:customStyle="1" w:styleId="CommentSubjectChar">
    <w:name w:val="Comment Subject Char"/>
    <w:basedOn w:val="CommentTextChar"/>
    <w:link w:val="CommentSubject"/>
    <w:semiHidden/>
    <w:rsid w:val="00D63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572">
      <w:bodyDiv w:val="1"/>
      <w:marLeft w:val="60"/>
      <w:marRight w:val="60"/>
      <w:marTop w:val="60"/>
      <w:marBottom w:val="15"/>
      <w:divBdr>
        <w:top w:val="none" w:sz="0" w:space="0" w:color="auto"/>
        <w:left w:val="none" w:sz="0" w:space="0" w:color="auto"/>
        <w:bottom w:val="none" w:sz="0" w:space="0" w:color="auto"/>
        <w:right w:val="none" w:sz="0" w:space="0" w:color="auto"/>
      </w:divBdr>
      <w:divsChild>
        <w:div w:id="130952323">
          <w:marLeft w:val="0"/>
          <w:marRight w:val="0"/>
          <w:marTop w:val="0"/>
          <w:marBottom w:val="0"/>
          <w:divBdr>
            <w:top w:val="none" w:sz="0" w:space="0" w:color="auto"/>
            <w:left w:val="none" w:sz="0" w:space="0" w:color="auto"/>
            <w:bottom w:val="none" w:sz="0" w:space="0" w:color="auto"/>
            <w:right w:val="none" w:sz="0" w:space="0" w:color="auto"/>
          </w:divBdr>
        </w:div>
        <w:div w:id="135029660">
          <w:marLeft w:val="0"/>
          <w:marRight w:val="0"/>
          <w:marTop w:val="0"/>
          <w:marBottom w:val="0"/>
          <w:divBdr>
            <w:top w:val="none" w:sz="0" w:space="0" w:color="auto"/>
            <w:left w:val="none" w:sz="0" w:space="0" w:color="auto"/>
            <w:bottom w:val="none" w:sz="0" w:space="0" w:color="auto"/>
            <w:right w:val="none" w:sz="0" w:space="0" w:color="auto"/>
          </w:divBdr>
        </w:div>
        <w:div w:id="140199586">
          <w:marLeft w:val="0"/>
          <w:marRight w:val="0"/>
          <w:marTop w:val="0"/>
          <w:marBottom w:val="0"/>
          <w:divBdr>
            <w:top w:val="none" w:sz="0" w:space="0" w:color="auto"/>
            <w:left w:val="none" w:sz="0" w:space="0" w:color="auto"/>
            <w:bottom w:val="none" w:sz="0" w:space="0" w:color="auto"/>
            <w:right w:val="none" w:sz="0" w:space="0" w:color="auto"/>
          </w:divBdr>
        </w:div>
        <w:div w:id="165025019">
          <w:marLeft w:val="0"/>
          <w:marRight w:val="0"/>
          <w:marTop w:val="0"/>
          <w:marBottom w:val="0"/>
          <w:divBdr>
            <w:top w:val="none" w:sz="0" w:space="0" w:color="auto"/>
            <w:left w:val="none" w:sz="0" w:space="0" w:color="auto"/>
            <w:bottom w:val="none" w:sz="0" w:space="0" w:color="auto"/>
            <w:right w:val="none" w:sz="0" w:space="0" w:color="auto"/>
          </w:divBdr>
        </w:div>
        <w:div w:id="233275361">
          <w:marLeft w:val="0"/>
          <w:marRight w:val="0"/>
          <w:marTop w:val="0"/>
          <w:marBottom w:val="0"/>
          <w:divBdr>
            <w:top w:val="none" w:sz="0" w:space="0" w:color="auto"/>
            <w:left w:val="none" w:sz="0" w:space="0" w:color="auto"/>
            <w:bottom w:val="none" w:sz="0" w:space="0" w:color="auto"/>
            <w:right w:val="none" w:sz="0" w:space="0" w:color="auto"/>
          </w:divBdr>
        </w:div>
        <w:div w:id="236519906">
          <w:marLeft w:val="0"/>
          <w:marRight w:val="0"/>
          <w:marTop w:val="0"/>
          <w:marBottom w:val="0"/>
          <w:divBdr>
            <w:top w:val="none" w:sz="0" w:space="0" w:color="auto"/>
            <w:left w:val="none" w:sz="0" w:space="0" w:color="auto"/>
            <w:bottom w:val="none" w:sz="0" w:space="0" w:color="auto"/>
            <w:right w:val="none" w:sz="0" w:space="0" w:color="auto"/>
          </w:divBdr>
        </w:div>
        <w:div w:id="274560804">
          <w:marLeft w:val="0"/>
          <w:marRight w:val="0"/>
          <w:marTop w:val="0"/>
          <w:marBottom w:val="0"/>
          <w:divBdr>
            <w:top w:val="none" w:sz="0" w:space="0" w:color="auto"/>
            <w:left w:val="none" w:sz="0" w:space="0" w:color="auto"/>
            <w:bottom w:val="none" w:sz="0" w:space="0" w:color="auto"/>
            <w:right w:val="none" w:sz="0" w:space="0" w:color="auto"/>
          </w:divBdr>
        </w:div>
        <w:div w:id="331493830">
          <w:marLeft w:val="0"/>
          <w:marRight w:val="0"/>
          <w:marTop w:val="0"/>
          <w:marBottom w:val="0"/>
          <w:divBdr>
            <w:top w:val="none" w:sz="0" w:space="0" w:color="auto"/>
            <w:left w:val="none" w:sz="0" w:space="0" w:color="auto"/>
            <w:bottom w:val="none" w:sz="0" w:space="0" w:color="auto"/>
            <w:right w:val="none" w:sz="0" w:space="0" w:color="auto"/>
          </w:divBdr>
        </w:div>
        <w:div w:id="444538856">
          <w:marLeft w:val="0"/>
          <w:marRight w:val="0"/>
          <w:marTop w:val="0"/>
          <w:marBottom w:val="0"/>
          <w:divBdr>
            <w:top w:val="none" w:sz="0" w:space="0" w:color="auto"/>
            <w:left w:val="none" w:sz="0" w:space="0" w:color="auto"/>
            <w:bottom w:val="none" w:sz="0" w:space="0" w:color="auto"/>
            <w:right w:val="none" w:sz="0" w:space="0" w:color="auto"/>
          </w:divBdr>
        </w:div>
        <w:div w:id="513375455">
          <w:marLeft w:val="0"/>
          <w:marRight w:val="0"/>
          <w:marTop w:val="0"/>
          <w:marBottom w:val="0"/>
          <w:divBdr>
            <w:top w:val="none" w:sz="0" w:space="0" w:color="auto"/>
            <w:left w:val="none" w:sz="0" w:space="0" w:color="auto"/>
            <w:bottom w:val="none" w:sz="0" w:space="0" w:color="auto"/>
            <w:right w:val="none" w:sz="0" w:space="0" w:color="auto"/>
          </w:divBdr>
        </w:div>
        <w:div w:id="514464967">
          <w:marLeft w:val="0"/>
          <w:marRight w:val="0"/>
          <w:marTop w:val="0"/>
          <w:marBottom w:val="0"/>
          <w:divBdr>
            <w:top w:val="none" w:sz="0" w:space="0" w:color="auto"/>
            <w:left w:val="none" w:sz="0" w:space="0" w:color="auto"/>
            <w:bottom w:val="none" w:sz="0" w:space="0" w:color="auto"/>
            <w:right w:val="none" w:sz="0" w:space="0" w:color="auto"/>
          </w:divBdr>
        </w:div>
        <w:div w:id="522091692">
          <w:marLeft w:val="0"/>
          <w:marRight w:val="0"/>
          <w:marTop w:val="0"/>
          <w:marBottom w:val="0"/>
          <w:divBdr>
            <w:top w:val="none" w:sz="0" w:space="0" w:color="auto"/>
            <w:left w:val="none" w:sz="0" w:space="0" w:color="auto"/>
            <w:bottom w:val="none" w:sz="0" w:space="0" w:color="auto"/>
            <w:right w:val="none" w:sz="0" w:space="0" w:color="auto"/>
          </w:divBdr>
        </w:div>
        <w:div w:id="549847490">
          <w:marLeft w:val="0"/>
          <w:marRight w:val="0"/>
          <w:marTop w:val="0"/>
          <w:marBottom w:val="0"/>
          <w:divBdr>
            <w:top w:val="none" w:sz="0" w:space="0" w:color="auto"/>
            <w:left w:val="none" w:sz="0" w:space="0" w:color="auto"/>
            <w:bottom w:val="none" w:sz="0" w:space="0" w:color="auto"/>
            <w:right w:val="none" w:sz="0" w:space="0" w:color="auto"/>
          </w:divBdr>
        </w:div>
        <w:div w:id="571158826">
          <w:marLeft w:val="0"/>
          <w:marRight w:val="0"/>
          <w:marTop w:val="0"/>
          <w:marBottom w:val="0"/>
          <w:divBdr>
            <w:top w:val="none" w:sz="0" w:space="0" w:color="auto"/>
            <w:left w:val="none" w:sz="0" w:space="0" w:color="auto"/>
            <w:bottom w:val="none" w:sz="0" w:space="0" w:color="auto"/>
            <w:right w:val="none" w:sz="0" w:space="0" w:color="auto"/>
          </w:divBdr>
        </w:div>
        <w:div w:id="734858534">
          <w:marLeft w:val="0"/>
          <w:marRight w:val="0"/>
          <w:marTop w:val="0"/>
          <w:marBottom w:val="0"/>
          <w:divBdr>
            <w:top w:val="none" w:sz="0" w:space="0" w:color="auto"/>
            <w:left w:val="none" w:sz="0" w:space="0" w:color="auto"/>
            <w:bottom w:val="none" w:sz="0" w:space="0" w:color="auto"/>
            <w:right w:val="none" w:sz="0" w:space="0" w:color="auto"/>
          </w:divBdr>
        </w:div>
        <w:div w:id="852917297">
          <w:marLeft w:val="0"/>
          <w:marRight w:val="0"/>
          <w:marTop w:val="0"/>
          <w:marBottom w:val="0"/>
          <w:divBdr>
            <w:top w:val="none" w:sz="0" w:space="0" w:color="auto"/>
            <w:left w:val="none" w:sz="0" w:space="0" w:color="auto"/>
            <w:bottom w:val="none" w:sz="0" w:space="0" w:color="auto"/>
            <w:right w:val="none" w:sz="0" w:space="0" w:color="auto"/>
          </w:divBdr>
        </w:div>
        <w:div w:id="885220769">
          <w:marLeft w:val="0"/>
          <w:marRight w:val="0"/>
          <w:marTop w:val="0"/>
          <w:marBottom w:val="0"/>
          <w:divBdr>
            <w:top w:val="none" w:sz="0" w:space="0" w:color="auto"/>
            <w:left w:val="none" w:sz="0" w:space="0" w:color="auto"/>
            <w:bottom w:val="none" w:sz="0" w:space="0" w:color="auto"/>
            <w:right w:val="none" w:sz="0" w:space="0" w:color="auto"/>
          </w:divBdr>
        </w:div>
        <w:div w:id="921719138">
          <w:marLeft w:val="0"/>
          <w:marRight w:val="0"/>
          <w:marTop w:val="0"/>
          <w:marBottom w:val="0"/>
          <w:divBdr>
            <w:top w:val="none" w:sz="0" w:space="0" w:color="auto"/>
            <w:left w:val="none" w:sz="0" w:space="0" w:color="auto"/>
            <w:bottom w:val="none" w:sz="0" w:space="0" w:color="auto"/>
            <w:right w:val="none" w:sz="0" w:space="0" w:color="auto"/>
          </w:divBdr>
        </w:div>
        <w:div w:id="1124808185">
          <w:marLeft w:val="0"/>
          <w:marRight w:val="0"/>
          <w:marTop w:val="0"/>
          <w:marBottom w:val="0"/>
          <w:divBdr>
            <w:top w:val="none" w:sz="0" w:space="0" w:color="auto"/>
            <w:left w:val="none" w:sz="0" w:space="0" w:color="auto"/>
            <w:bottom w:val="none" w:sz="0" w:space="0" w:color="auto"/>
            <w:right w:val="none" w:sz="0" w:space="0" w:color="auto"/>
          </w:divBdr>
        </w:div>
        <w:div w:id="1298149345">
          <w:marLeft w:val="0"/>
          <w:marRight w:val="0"/>
          <w:marTop w:val="0"/>
          <w:marBottom w:val="0"/>
          <w:divBdr>
            <w:top w:val="none" w:sz="0" w:space="0" w:color="auto"/>
            <w:left w:val="none" w:sz="0" w:space="0" w:color="auto"/>
            <w:bottom w:val="none" w:sz="0" w:space="0" w:color="auto"/>
            <w:right w:val="none" w:sz="0" w:space="0" w:color="auto"/>
          </w:divBdr>
        </w:div>
        <w:div w:id="1319269194">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11851049">
          <w:marLeft w:val="0"/>
          <w:marRight w:val="0"/>
          <w:marTop w:val="0"/>
          <w:marBottom w:val="0"/>
          <w:divBdr>
            <w:top w:val="none" w:sz="0" w:space="0" w:color="auto"/>
            <w:left w:val="none" w:sz="0" w:space="0" w:color="auto"/>
            <w:bottom w:val="none" w:sz="0" w:space="0" w:color="auto"/>
            <w:right w:val="none" w:sz="0" w:space="0" w:color="auto"/>
          </w:divBdr>
        </w:div>
        <w:div w:id="1519932120">
          <w:marLeft w:val="0"/>
          <w:marRight w:val="0"/>
          <w:marTop w:val="0"/>
          <w:marBottom w:val="0"/>
          <w:divBdr>
            <w:top w:val="none" w:sz="0" w:space="0" w:color="auto"/>
            <w:left w:val="none" w:sz="0" w:space="0" w:color="auto"/>
            <w:bottom w:val="none" w:sz="0" w:space="0" w:color="auto"/>
            <w:right w:val="none" w:sz="0" w:space="0" w:color="auto"/>
          </w:divBdr>
        </w:div>
        <w:div w:id="1557472255">
          <w:marLeft w:val="0"/>
          <w:marRight w:val="0"/>
          <w:marTop w:val="0"/>
          <w:marBottom w:val="0"/>
          <w:divBdr>
            <w:top w:val="none" w:sz="0" w:space="0" w:color="auto"/>
            <w:left w:val="none" w:sz="0" w:space="0" w:color="auto"/>
            <w:bottom w:val="none" w:sz="0" w:space="0" w:color="auto"/>
            <w:right w:val="none" w:sz="0" w:space="0" w:color="auto"/>
          </w:divBdr>
        </w:div>
        <w:div w:id="1582105048">
          <w:marLeft w:val="0"/>
          <w:marRight w:val="0"/>
          <w:marTop w:val="0"/>
          <w:marBottom w:val="0"/>
          <w:divBdr>
            <w:top w:val="none" w:sz="0" w:space="0" w:color="auto"/>
            <w:left w:val="none" w:sz="0" w:space="0" w:color="auto"/>
            <w:bottom w:val="none" w:sz="0" w:space="0" w:color="auto"/>
            <w:right w:val="none" w:sz="0" w:space="0" w:color="auto"/>
          </w:divBdr>
        </w:div>
        <w:div w:id="1710063345">
          <w:marLeft w:val="0"/>
          <w:marRight w:val="0"/>
          <w:marTop w:val="0"/>
          <w:marBottom w:val="0"/>
          <w:divBdr>
            <w:top w:val="none" w:sz="0" w:space="0" w:color="auto"/>
            <w:left w:val="none" w:sz="0" w:space="0" w:color="auto"/>
            <w:bottom w:val="none" w:sz="0" w:space="0" w:color="auto"/>
            <w:right w:val="none" w:sz="0" w:space="0" w:color="auto"/>
          </w:divBdr>
        </w:div>
        <w:div w:id="1752772614">
          <w:marLeft w:val="0"/>
          <w:marRight w:val="0"/>
          <w:marTop w:val="0"/>
          <w:marBottom w:val="0"/>
          <w:divBdr>
            <w:top w:val="none" w:sz="0" w:space="0" w:color="auto"/>
            <w:left w:val="none" w:sz="0" w:space="0" w:color="auto"/>
            <w:bottom w:val="none" w:sz="0" w:space="0" w:color="auto"/>
            <w:right w:val="none" w:sz="0" w:space="0" w:color="auto"/>
          </w:divBdr>
        </w:div>
        <w:div w:id="1813214408">
          <w:marLeft w:val="0"/>
          <w:marRight w:val="0"/>
          <w:marTop w:val="0"/>
          <w:marBottom w:val="0"/>
          <w:divBdr>
            <w:top w:val="none" w:sz="0" w:space="0" w:color="auto"/>
            <w:left w:val="none" w:sz="0" w:space="0" w:color="auto"/>
            <w:bottom w:val="none" w:sz="0" w:space="0" w:color="auto"/>
            <w:right w:val="none" w:sz="0" w:space="0" w:color="auto"/>
          </w:divBdr>
        </w:div>
        <w:div w:id="1819223066">
          <w:marLeft w:val="0"/>
          <w:marRight w:val="0"/>
          <w:marTop w:val="0"/>
          <w:marBottom w:val="0"/>
          <w:divBdr>
            <w:top w:val="none" w:sz="0" w:space="0" w:color="auto"/>
            <w:left w:val="none" w:sz="0" w:space="0" w:color="auto"/>
            <w:bottom w:val="none" w:sz="0" w:space="0" w:color="auto"/>
            <w:right w:val="none" w:sz="0" w:space="0" w:color="auto"/>
          </w:divBdr>
        </w:div>
        <w:div w:id="1850943744">
          <w:marLeft w:val="0"/>
          <w:marRight w:val="0"/>
          <w:marTop w:val="0"/>
          <w:marBottom w:val="0"/>
          <w:divBdr>
            <w:top w:val="none" w:sz="0" w:space="0" w:color="auto"/>
            <w:left w:val="none" w:sz="0" w:space="0" w:color="auto"/>
            <w:bottom w:val="none" w:sz="0" w:space="0" w:color="auto"/>
            <w:right w:val="none" w:sz="0" w:space="0" w:color="auto"/>
          </w:divBdr>
        </w:div>
        <w:div w:id="1886482137">
          <w:marLeft w:val="0"/>
          <w:marRight w:val="0"/>
          <w:marTop w:val="0"/>
          <w:marBottom w:val="0"/>
          <w:divBdr>
            <w:top w:val="none" w:sz="0" w:space="0" w:color="auto"/>
            <w:left w:val="none" w:sz="0" w:space="0" w:color="auto"/>
            <w:bottom w:val="none" w:sz="0" w:space="0" w:color="auto"/>
            <w:right w:val="none" w:sz="0" w:space="0" w:color="auto"/>
          </w:divBdr>
        </w:div>
        <w:div w:id="1978029152">
          <w:marLeft w:val="0"/>
          <w:marRight w:val="0"/>
          <w:marTop w:val="0"/>
          <w:marBottom w:val="0"/>
          <w:divBdr>
            <w:top w:val="none" w:sz="0" w:space="0" w:color="auto"/>
            <w:left w:val="none" w:sz="0" w:space="0" w:color="auto"/>
            <w:bottom w:val="none" w:sz="0" w:space="0" w:color="auto"/>
            <w:right w:val="none" w:sz="0" w:space="0" w:color="auto"/>
          </w:divBdr>
        </w:div>
        <w:div w:id="2045397593">
          <w:marLeft w:val="0"/>
          <w:marRight w:val="0"/>
          <w:marTop w:val="0"/>
          <w:marBottom w:val="0"/>
          <w:divBdr>
            <w:top w:val="none" w:sz="0" w:space="0" w:color="auto"/>
            <w:left w:val="none" w:sz="0" w:space="0" w:color="auto"/>
            <w:bottom w:val="none" w:sz="0" w:space="0" w:color="auto"/>
            <w:right w:val="none" w:sz="0" w:space="0" w:color="auto"/>
          </w:divBdr>
        </w:div>
      </w:divsChild>
    </w:div>
    <w:div w:id="148258125">
      <w:bodyDiv w:val="1"/>
      <w:marLeft w:val="0"/>
      <w:marRight w:val="0"/>
      <w:marTop w:val="0"/>
      <w:marBottom w:val="0"/>
      <w:divBdr>
        <w:top w:val="none" w:sz="0" w:space="0" w:color="auto"/>
        <w:left w:val="none" w:sz="0" w:space="0" w:color="auto"/>
        <w:bottom w:val="none" w:sz="0" w:space="0" w:color="auto"/>
        <w:right w:val="none" w:sz="0" w:space="0" w:color="auto"/>
      </w:divBdr>
    </w:div>
    <w:div w:id="507446586">
      <w:bodyDiv w:val="1"/>
      <w:marLeft w:val="0"/>
      <w:marRight w:val="0"/>
      <w:marTop w:val="0"/>
      <w:marBottom w:val="0"/>
      <w:divBdr>
        <w:top w:val="none" w:sz="0" w:space="0" w:color="auto"/>
        <w:left w:val="none" w:sz="0" w:space="0" w:color="auto"/>
        <w:bottom w:val="none" w:sz="0" w:space="0" w:color="auto"/>
        <w:right w:val="none" w:sz="0" w:space="0" w:color="auto"/>
      </w:divBdr>
    </w:div>
    <w:div w:id="556091595">
      <w:bodyDiv w:val="1"/>
      <w:marLeft w:val="0"/>
      <w:marRight w:val="0"/>
      <w:marTop w:val="0"/>
      <w:marBottom w:val="0"/>
      <w:divBdr>
        <w:top w:val="none" w:sz="0" w:space="0" w:color="auto"/>
        <w:left w:val="none" w:sz="0" w:space="0" w:color="auto"/>
        <w:bottom w:val="none" w:sz="0" w:space="0" w:color="auto"/>
        <w:right w:val="none" w:sz="0" w:space="0" w:color="auto"/>
      </w:divBdr>
    </w:div>
    <w:div w:id="569192947">
      <w:bodyDiv w:val="1"/>
      <w:marLeft w:val="0"/>
      <w:marRight w:val="0"/>
      <w:marTop w:val="0"/>
      <w:marBottom w:val="0"/>
      <w:divBdr>
        <w:top w:val="none" w:sz="0" w:space="0" w:color="auto"/>
        <w:left w:val="none" w:sz="0" w:space="0" w:color="auto"/>
        <w:bottom w:val="none" w:sz="0" w:space="0" w:color="auto"/>
        <w:right w:val="none" w:sz="0" w:space="0" w:color="auto"/>
      </w:divBdr>
    </w:div>
    <w:div w:id="617833075">
      <w:bodyDiv w:val="1"/>
      <w:marLeft w:val="0"/>
      <w:marRight w:val="0"/>
      <w:marTop w:val="0"/>
      <w:marBottom w:val="0"/>
      <w:divBdr>
        <w:top w:val="none" w:sz="0" w:space="0" w:color="auto"/>
        <w:left w:val="none" w:sz="0" w:space="0" w:color="auto"/>
        <w:bottom w:val="none" w:sz="0" w:space="0" w:color="auto"/>
        <w:right w:val="none" w:sz="0" w:space="0" w:color="auto"/>
      </w:divBdr>
    </w:div>
    <w:div w:id="735205552">
      <w:bodyDiv w:val="1"/>
      <w:marLeft w:val="0"/>
      <w:marRight w:val="0"/>
      <w:marTop w:val="0"/>
      <w:marBottom w:val="0"/>
      <w:divBdr>
        <w:top w:val="none" w:sz="0" w:space="0" w:color="auto"/>
        <w:left w:val="none" w:sz="0" w:space="0" w:color="auto"/>
        <w:bottom w:val="none" w:sz="0" w:space="0" w:color="auto"/>
        <w:right w:val="none" w:sz="0" w:space="0" w:color="auto"/>
      </w:divBdr>
    </w:div>
    <w:div w:id="799149858">
      <w:bodyDiv w:val="1"/>
      <w:marLeft w:val="0"/>
      <w:marRight w:val="0"/>
      <w:marTop w:val="0"/>
      <w:marBottom w:val="0"/>
      <w:divBdr>
        <w:top w:val="none" w:sz="0" w:space="0" w:color="auto"/>
        <w:left w:val="none" w:sz="0" w:space="0" w:color="auto"/>
        <w:bottom w:val="none" w:sz="0" w:space="0" w:color="auto"/>
        <w:right w:val="none" w:sz="0" w:space="0" w:color="auto"/>
      </w:divBdr>
    </w:div>
    <w:div w:id="846596447">
      <w:bodyDiv w:val="1"/>
      <w:marLeft w:val="0"/>
      <w:marRight w:val="0"/>
      <w:marTop w:val="0"/>
      <w:marBottom w:val="0"/>
      <w:divBdr>
        <w:top w:val="none" w:sz="0" w:space="0" w:color="auto"/>
        <w:left w:val="none" w:sz="0" w:space="0" w:color="auto"/>
        <w:bottom w:val="none" w:sz="0" w:space="0" w:color="auto"/>
        <w:right w:val="none" w:sz="0" w:space="0" w:color="auto"/>
      </w:divBdr>
    </w:div>
    <w:div w:id="1491678343">
      <w:bodyDiv w:val="1"/>
      <w:marLeft w:val="60"/>
      <w:marRight w:val="60"/>
      <w:marTop w:val="60"/>
      <w:marBottom w:val="15"/>
      <w:divBdr>
        <w:top w:val="none" w:sz="0" w:space="0" w:color="auto"/>
        <w:left w:val="none" w:sz="0" w:space="0" w:color="auto"/>
        <w:bottom w:val="none" w:sz="0" w:space="0" w:color="auto"/>
        <w:right w:val="none" w:sz="0" w:space="0" w:color="auto"/>
      </w:divBdr>
      <w:divsChild>
        <w:div w:id="6180454">
          <w:marLeft w:val="0"/>
          <w:marRight w:val="0"/>
          <w:marTop w:val="0"/>
          <w:marBottom w:val="0"/>
          <w:divBdr>
            <w:top w:val="none" w:sz="0" w:space="0" w:color="auto"/>
            <w:left w:val="none" w:sz="0" w:space="0" w:color="auto"/>
            <w:bottom w:val="none" w:sz="0" w:space="0" w:color="auto"/>
            <w:right w:val="none" w:sz="0" w:space="0" w:color="auto"/>
          </w:divBdr>
        </w:div>
        <w:div w:id="48652241">
          <w:marLeft w:val="0"/>
          <w:marRight w:val="0"/>
          <w:marTop w:val="0"/>
          <w:marBottom w:val="0"/>
          <w:divBdr>
            <w:top w:val="none" w:sz="0" w:space="0" w:color="auto"/>
            <w:left w:val="none" w:sz="0" w:space="0" w:color="auto"/>
            <w:bottom w:val="none" w:sz="0" w:space="0" w:color="auto"/>
            <w:right w:val="none" w:sz="0" w:space="0" w:color="auto"/>
          </w:divBdr>
        </w:div>
        <w:div w:id="75983683">
          <w:marLeft w:val="0"/>
          <w:marRight w:val="0"/>
          <w:marTop w:val="0"/>
          <w:marBottom w:val="0"/>
          <w:divBdr>
            <w:top w:val="none" w:sz="0" w:space="0" w:color="auto"/>
            <w:left w:val="none" w:sz="0" w:space="0" w:color="auto"/>
            <w:bottom w:val="none" w:sz="0" w:space="0" w:color="auto"/>
            <w:right w:val="none" w:sz="0" w:space="0" w:color="auto"/>
          </w:divBdr>
        </w:div>
        <w:div w:id="264308144">
          <w:marLeft w:val="0"/>
          <w:marRight w:val="0"/>
          <w:marTop w:val="0"/>
          <w:marBottom w:val="0"/>
          <w:divBdr>
            <w:top w:val="none" w:sz="0" w:space="0" w:color="auto"/>
            <w:left w:val="none" w:sz="0" w:space="0" w:color="auto"/>
            <w:bottom w:val="none" w:sz="0" w:space="0" w:color="auto"/>
            <w:right w:val="none" w:sz="0" w:space="0" w:color="auto"/>
          </w:divBdr>
        </w:div>
        <w:div w:id="320622269">
          <w:marLeft w:val="0"/>
          <w:marRight w:val="0"/>
          <w:marTop w:val="0"/>
          <w:marBottom w:val="0"/>
          <w:divBdr>
            <w:top w:val="none" w:sz="0" w:space="0" w:color="auto"/>
            <w:left w:val="none" w:sz="0" w:space="0" w:color="auto"/>
            <w:bottom w:val="none" w:sz="0" w:space="0" w:color="auto"/>
            <w:right w:val="none" w:sz="0" w:space="0" w:color="auto"/>
          </w:divBdr>
        </w:div>
        <w:div w:id="379676130">
          <w:marLeft w:val="0"/>
          <w:marRight w:val="0"/>
          <w:marTop w:val="0"/>
          <w:marBottom w:val="0"/>
          <w:divBdr>
            <w:top w:val="none" w:sz="0" w:space="0" w:color="auto"/>
            <w:left w:val="none" w:sz="0" w:space="0" w:color="auto"/>
            <w:bottom w:val="none" w:sz="0" w:space="0" w:color="auto"/>
            <w:right w:val="none" w:sz="0" w:space="0" w:color="auto"/>
          </w:divBdr>
        </w:div>
        <w:div w:id="433013661">
          <w:marLeft w:val="0"/>
          <w:marRight w:val="0"/>
          <w:marTop w:val="0"/>
          <w:marBottom w:val="0"/>
          <w:divBdr>
            <w:top w:val="none" w:sz="0" w:space="0" w:color="auto"/>
            <w:left w:val="none" w:sz="0" w:space="0" w:color="auto"/>
            <w:bottom w:val="none" w:sz="0" w:space="0" w:color="auto"/>
            <w:right w:val="none" w:sz="0" w:space="0" w:color="auto"/>
          </w:divBdr>
        </w:div>
        <w:div w:id="491798577">
          <w:marLeft w:val="0"/>
          <w:marRight w:val="0"/>
          <w:marTop w:val="0"/>
          <w:marBottom w:val="0"/>
          <w:divBdr>
            <w:top w:val="none" w:sz="0" w:space="0" w:color="auto"/>
            <w:left w:val="none" w:sz="0" w:space="0" w:color="auto"/>
            <w:bottom w:val="none" w:sz="0" w:space="0" w:color="auto"/>
            <w:right w:val="none" w:sz="0" w:space="0" w:color="auto"/>
          </w:divBdr>
        </w:div>
        <w:div w:id="533082959">
          <w:marLeft w:val="0"/>
          <w:marRight w:val="0"/>
          <w:marTop w:val="0"/>
          <w:marBottom w:val="0"/>
          <w:divBdr>
            <w:top w:val="none" w:sz="0" w:space="0" w:color="auto"/>
            <w:left w:val="none" w:sz="0" w:space="0" w:color="auto"/>
            <w:bottom w:val="none" w:sz="0" w:space="0" w:color="auto"/>
            <w:right w:val="none" w:sz="0" w:space="0" w:color="auto"/>
          </w:divBdr>
        </w:div>
        <w:div w:id="549615924">
          <w:marLeft w:val="0"/>
          <w:marRight w:val="0"/>
          <w:marTop w:val="0"/>
          <w:marBottom w:val="0"/>
          <w:divBdr>
            <w:top w:val="none" w:sz="0" w:space="0" w:color="auto"/>
            <w:left w:val="none" w:sz="0" w:space="0" w:color="auto"/>
            <w:bottom w:val="none" w:sz="0" w:space="0" w:color="auto"/>
            <w:right w:val="none" w:sz="0" w:space="0" w:color="auto"/>
          </w:divBdr>
        </w:div>
        <w:div w:id="693576273">
          <w:marLeft w:val="0"/>
          <w:marRight w:val="0"/>
          <w:marTop w:val="0"/>
          <w:marBottom w:val="0"/>
          <w:divBdr>
            <w:top w:val="none" w:sz="0" w:space="0" w:color="auto"/>
            <w:left w:val="none" w:sz="0" w:space="0" w:color="auto"/>
            <w:bottom w:val="none" w:sz="0" w:space="0" w:color="auto"/>
            <w:right w:val="none" w:sz="0" w:space="0" w:color="auto"/>
          </w:divBdr>
        </w:div>
        <w:div w:id="733507878">
          <w:marLeft w:val="0"/>
          <w:marRight w:val="0"/>
          <w:marTop w:val="0"/>
          <w:marBottom w:val="0"/>
          <w:divBdr>
            <w:top w:val="none" w:sz="0" w:space="0" w:color="auto"/>
            <w:left w:val="none" w:sz="0" w:space="0" w:color="auto"/>
            <w:bottom w:val="none" w:sz="0" w:space="0" w:color="auto"/>
            <w:right w:val="none" w:sz="0" w:space="0" w:color="auto"/>
          </w:divBdr>
        </w:div>
        <w:div w:id="738329561">
          <w:marLeft w:val="0"/>
          <w:marRight w:val="0"/>
          <w:marTop w:val="0"/>
          <w:marBottom w:val="0"/>
          <w:divBdr>
            <w:top w:val="none" w:sz="0" w:space="0" w:color="auto"/>
            <w:left w:val="none" w:sz="0" w:space="0" w:color="auto"/>
            <w:bottom w:val="none" w:sz="0" w:space="0" w:color="auto"/>
            <w:right w:val="none" w:sz="0" w:space="0" w:color="auto"/>
          </w:divBdr>
        </w:div>
        <w:div w:id="766539687">
          <w:marLeft w:val="0"/>
          <w:marRight w:val="0"/>
          <w:marTop w:val="0"/>
          <w:marBottom w:val="0"/>
          <w:divBdr>
            <w:top w:val="none" w:sz="0" w:space="0" w:color="auto"/>
            <w:left w:val="none" w:sz="0" w:space="0" w:color="auto"/>
            <w:bottom w:val="none" w:sz="0" w:space="0" w:color="auto"/>
            <w:right w:val="none" w:sz="0" w:space="0" w:color="auto"/>
          </w:divBdr>
        </w:div>
        <w:div w:id="814761948">
          <w:marLeft w:val="0"/>
          <w:marRight w:val="0"/>
          <w:marTop w:val="0"/>
          <w:marBottom w:val="0"/>
          <w:divBdr>
            <w:top w:val="none" w:sz="0" w:space="0" w:color="auto"/>
            <w:left w:val="none" w:sz="0" w:space="0" w:color="auto"/>
            <w:bottom w:val="none" w:sz="0" w:space="0" w:color="auto"/>
            <w:right w:val="none" w:sz="0" w:space="0" w:color="auto"/>
          </w:divBdr>
        </w:div>
        <w:div w:id="897323485">
          <w:marLeft w:val="0"/>
          <w:marRight w:val="0"/>
          <w:marTop w:val="0"/>
          <w:marBottom w:val="0"/>
          <w:divBdr>
            <w:top w:val="none" w:sz="0" w:space="0" w:color="auto"/>
            <w:left w:val="none" w:sz="0" w:space="0" w:color="auto"/>
            <w:bottom w:val="none" w:sz="0" w:space="0" w:color="auto"/>
            <w:right w:val="none" w:sz="0" w:space="0" w:color="auto"/>
          </w:divBdr>
        </w:div>
        <w:div w:id="956451479">
          <w:marLeft w:val="0"/>
          <w:marRight w:val="0"/>
          <w:marTop w:val="0"/>
          <w:marBottom w:val="0"/>
          <w:divBdr>
            <w:top w:val="none" w:sz="0" w:space="0" w:color="auto"/>
            <w:left w:val="none" w:sz="0" w:space="0" w:color="auto"/>
            <w:bottom w:val="none" w:sz="0" w:space="0" w:color="auto"/>
            <w:right w:val="none" w:sz="0" w:space="0" w:color="auto"/>
          </w:divBdr>
        </w:div>
        <w:div w:id="1027292865">
          <w:marLeft w:val="0"/>
          <w:marRight w:val="0"/>
          <w:marTop w:val="0"/>
          <w:marBottom w:val="0"/>
          <w:divBdr>
            <w:top w:val="none" w:sz="0" w:space="0" w:color="auto"/>
            <w:left w:val="none" w:sz="0" w:space="0" w:color="auto"/>
            <w:bottom w:val="none" w:sz="0" w:space="0" w:color="auto"/>
            <w:right w:val="none" w:sz="0" w:space="0" w:color="auto"/>
          </w:divBdr>
        </w:div>
        <w:div w:id="1049381007">
          <w:marLeft w:val="0"/>
          <w:marRight w:val="0"/>
          <w:marTop w:val="0"/>
          <w:marBottom w:val="0"/>
          <w:divBdr>
            <w:top w:val="none" w:sz="0" w:space="0" w:color="auto"/>
            <w:left w:val="none" w:sz="0" w:space="0" w:color="auto"/>
            <w:bottom w:val="none" w:sz="0" w:space="0" w:color="auto"/>
            <w:right w:val="none" w:sz="0" w:space="0" w:color="auto"/>
          </w:divBdr>
        </w:div>
        <w:div w:id="1226143700">
          <w:marLeft w:val="0"/>
          <w:marRight w:val="0"/>
          <w:marTop w:val="0"/>
          <w:marBottom w:val="0"/>
          <w:divBdr>
            <w:top w:val="none" w:sz="0" w:space="0" w:color="auto"/>
            <w:left w:val="none" w:sz="0" w:space="0" w:color="auto"/>
            <w:bottom w:val="none" w:sz="0" w:space="0" w:color="auto"/>
            <w:right w:val="none" w:sz="0" w:space="0" w:color="auto"/>
          </w:divBdr>
        </w:div>
        <w:div w:id="1273366763">
          <w:marLeft w:val="0"/>
          <w:marRight w:val="0"/>
          <w:marTop w:val="0"/>
          <w:marBottom w:val="0"/>
          <w:divBdr>
            <w:top w:val="none" w:sz="0" w:space="0" w:color="auto"/>
            <w:left w:val="none" w:sz="0" w:space="0" w:color="auto"/>
            <w:bottom w:val="none" w:sz="0" w:space="0" w:color="auto"/>
            <w:right w:val="none" w:sz="0" w:space="0" w:color="auto"/>
          </w:divBdr>
        </w:div>
        <w:div w:id="1293752070">
          <w:marLeft w:val="0"/>
          <w:marRight w:val="0"/>
          <w:marTop w:val="0"/>
          <w:marBottom w:val="0"/>
          <w:divBdr>
            <w:top w:val="none" w:sz="0" w:space="0" w:color="auto"/>
            <w:left w:val="none" w:sz="0" w:space="0" w:color="auto"/>
            <w:bottom w:val="none" w:sz="0" w:space="0" w:color="auto"/>
            <w:right w:val="none" w:sz="0" w:space="0" w:color="auto"/>
          </w:divBdr>
        </w:div>
        <w:div w:id="1295713079">
          <w:marLeft w:val="0"/>
          <w:marRight w:val="0"/>
          <w:marTop w:val="0"/>
          <w:marBottom w:val="0"/>
          <w:divBdr>
            <w:top w:val="none" w:sz="0" w:space="0" w:color="auto"/>
            <w:left w:val="none" w:sz="0" w:space="0" w:color="auto"/>
            <w:bottom w:val="none" w:sz="0" w:space="0" w:color="auto"/>
            <w:right w:val="none" w:sz="0" w:space="0" w:color="auto"/>
          </w:divBdr>
        </w:div>
        <w:div w:id="1302806349">
          <w:marLeft w:val="0"/>
          <w:marRight w:val="0"/>
          <w:marTop w:val="0"/>
          <w:marBottom w:val="0"/>
          <w:divBdr>
            <w:top w:val="none" w:sz="0" w:space="0" w:color="auto"/>
            <w:left w:val="none" w:sz="0" w:space="0" w:color="auto"/>
            <w:bottom w:val="none" w:sz="0" w:space="0" w:color="auto"/>
            <w:right w:val="none" w:sz="0" w:space="0" w:color="auto"/>
          </w:divBdr>
        </w:div>
        <w:div w:id="1509902587">
          <w:marLeft w:val="0"/>
          <w:marRight w:val="0"/>
          <w:marTop w:val="0"/>
          <w:marBottom w:val="0"/>
          <w:divBdr>
            <w:top w:val="none" w:sz="0" w:space="0" w:color="auto"/>
            <w:left w:val="none" w:sz="0" w:space="0" w:color="auto"/>
            <w:bottom w:val="none" w:sz="0" w:space="0" w:color="auto"/>
            <w:right w:val="none" w:sz="0" w:space="0" w:color="auto"/>
          </w:divBdr>
        </w:div>
        <w:div w:id="1553730171">
          <w:marLeft w:val="0"/>
          <w:marRight w:val="0"/>
          <w:marTop w:val="0"/>
          <w:marBottom w:val="0"/>
          <w:divBdr>
            <w:top w:val="none" w:sz="0" w:space="0" w:color="auto"/>
            <w:left w:val="none" w:sz="0" w:space="0" w:color="auto"/>
            <w:bottom w:val="none" w:sz="0" w:space="0" w:color="auto"/>
            <w:right w:val="none" w:sz="0" w:space="0" w:color="auto"/>
          </w:divBdr>
        </w:div>
        <w:div w:id="1627736823">
          <w:marLeft w:val="0"/>
          <w:marRight w:val="0"/>
          <w:marTop w:val="0"/>
          <w:marBottom w:val="0"/>
          <w:divBdr>
            <w:top w:val="none" w:sz="0" w:space="0" w:color="auto"/>
            <w:left w:val="none" w:sz="0" w:space="0" w:color="auto"/>
            <w:bottom w:val="none" w:sz="0" w:space="0" w:color="auto"/>
            <w:right w:val="none" w:sz="0" w:space="0" w:color="auto"/>
          </w:divBdr>
        </w:div>
        <w:div w:id="1653365614">
          <w:marLeft w:val="0"/>
          <w:marRight w:val="0"/>
          <w:marTop w:val="0"/>
          <w:marBottom w:val="0"/>
          <w:divBdr>
            <w:top w:val="none" w:sz="0" w:space="0" w:color="auto"/>
            <w:left w:val="none" w:sz="0" w:space="0" w:color="auto"/>
            <w:bottom w:val="none" w:sz="0" w:space="0" w:color="auto"/>
            <w:right w:val="none" w:sz="0" w:space="0" w:color="auto"/>
          </w:divBdr>
        </w:div>
        <w:div w:id="1741712463">
          <w:marLeft w:val="0"/>
          <w:marRight w:val="0"/>
          <w:marTop w:val="0"/>
          <w:marBottom w:val="0"/>
          <w:divBdr>
            <w:top w:val="none" w:sz="0" w:space="0" w:color="auto"/>
            <w:left w:val="none" w:sz="0" w:space="0" w:color="auto"/>
            <w:bottom w:val="none" w:sz="0" w:space="0" w:color="auto"/>
            <w:right w:val="none" w:sz="0" w:space="0" w:color="auto"/>
          </w:divBdr>
        </w:div>
        <w:div w:id="1887374909">
          <w:marLeft w:val="0"/>
          <w:marRight w:val="0"/>
          <w:marTop w:val="0"/>
          <w:marBottom w:val="0"/>
          <w:divBdr>
            <w:top w:val="none" w:sz="0" w:space="0" w:color="auto"/>
            <w:left w:val="none" w:sz="0" w:space="0" w:color="auto"/>
            <w:bottom w:val="none" w:sz="0" w:space="0" w:color="auto"/>
            <w:right w:val="none" w:sz="0" w:space="0" w:color="auto"/>
          </w:divBdr>
        </w:div>
        <w:div w:id="1951157452">
          <w:marLeft w:val="0"/>
          <w:marRight w:val="0"/>
          <w:marTop w:val="0"/>
          <w:marBottom w:val="0"/>
          <w:divBdr>
            <w:top w:val="none" w:sz="0" w:space="0" w:color="auto"/>
            <w:left w:val="none" w:sz="0" w:space="0" w:color="auto"/>
            <w:bottom w:val="none" w:sz="0" w:space="0" w:color="auto"/>
            <w:right w:val="none" w:sz="0" w:space="0" w:color="auto"/>
          </w:divBdr>
        </w:div>
        <w:div w:id="2075657967">
          <w:marLeft w:val="0"/>
          <w:marRight w:val="0"/>
          <w:marTop w:val="0"/>
          <w:marBottom w:val="0"/>
          <w:divBdr>
            <w:top w:val="none" w:sz="0" w:space="0" w:color="auto"/>
            <w:left w:val="none" w:sz="0" w:space="0" w:color="auto"/>
            <w:bottom w:val="none" w:sz="0" w:space="0" w:color="auto"/>
            <w:right w:val="none" w:sz="0" w:space="0" w:color="auto"/>
          </w:divBdr>
        </w:div>
        <w:div w:id="2090153335">
          <w:marLeft w:val="0"/>
          <w:marRight w:val="0"/>
          <w:marTop w:val="0"/>
          <w:marBottom w:val="0"/>
          <w:divBdr>
            <w:top w:val="none" w:sz="0" w:space="0" w:color="auto"/>
            <w:left w:val="none" w:sz="0" w:space="0" w:color="auto"/>
            <w:bottom w:val="none" w:sz="0" w:space="0" w:color="auto"/>
            <w:right w:val="none" w:sz="0" w:space="0" w:color="auto"/>
          </w:divBdr>
        </w:div>
        <w:div w:id="2134706714">
          <w:marLeft w:val="0"/>
          <w:marRight w:val="0"/>
          <w:marTop w:val="0"/>
          <w:marBottom w:val="0"/>
          <w:divBdr>
            <w:top w:val="none" w:sz="0" w:space="0" w:color="auto"/>
            <w:left w:val="none" w:sz="0" w:space="0" w:color="auto"/>
            <w:bottom w:val="none" w:sz="0" w:space="0" w:color="auto"/>
            <w:right w:val="none" w:sz="0" w:space="0" w:color="auto"/>
          </w:divBdr>
        </w:div>
      </w:divsChild>
    </w:div>
    <w:div w:id="1580869024">
      <w:bodyDiv w:val="1"/>
      <w:marLeft w:val="0"/>
      <w:marRight w:val="0"/>
      <w:marTop w:val="0"/>
      <w:marBottom w:val="0"/>
      <w:divBdr>
        <w:top w:val="none" w:sz="0" w:space="0" w:color="auto"/>
        <w:left w:val="none" w:sz="0" w:space="0" w:color="auto"/>
        <w:bottom w:val="none" w:sz="0" w:space="0" w:color="auto"/>
        <w:right w:val="none" w:sz="0" w:space="0" w:color="auto"/>
      </w:divBdr>
    </w:div>
    <w:div w:id="1581252783">
      <w:bodyDiv w:val="1"/>
      <w:marLeft w:val="0"/>
      <w:marRight w:val="0"/>
      <w:marTop w:val="0"/>
      <w:marBottom w:val="0"/>
      <w:divBdr>
        <w:top w:val="none" w:sz="0" w:space="0" w:color="auto"/>
        <w:left w:val="none" w:sz="0" w:space="0" w:color="auto"/>
        <w:bottom w:val="none" w:sz="0" w:space="0" w:color="auto"/>
        <w:right w:val="none" w:sz="0" w:space="0" w:color="auto"/>
      </w:divBdr>
    </w:div>
    <w:div w:id="1588879076">
      <w:bodyDiv w:val="1"/>
      <w:marLeft w:val="0"/>
      <w:marRight w:val="0"/>
      <w:marTop w:val="0"/>
      <w:marBottom w:val="0"/>
      <w:divBdr>
        <w:top w:val="none" w:sz="0" w:space="0" w:color="auto"/>
        <w:left w:val="none" w:sz="0" w:space="0" w:color="auto"/>
        <w:bottom w:val="none" w:sz="0" w:space="0" w:color="auto"/>
        <w:right w:val="none" w:sz="0" w:space="0" w:color="auto"/>
      </w:divBdr>
    </w:div>
    <w:div w:id="1724938557">
      <w:bodyDiv w:val="1"/>
      <w:marLeft w:val="0"/>
      <w:marRight w:val="0"/>
      <w:marTop w:val="0"/>
      <w:marBottom w:val="0"/>
      <w:divBdr>
        <w:top w:val="none" w:sz="0" w:space="0" w:color="auto"/>
        <w:left w:val="none" w:sz="0" w:space="0" w:color="auto"/>
        <w:bottom w:val="none" w:sz="0" w:space="0" w:color="auto"/>
        <w:right w:val="none" w:sz="0" w:space="0" w:color="auto"/>
      </w:divBdr>
    </w:div>
    <w:div w:id="1726292582">
      <w:bodyDiv w:val="1"/>
      <w:marLeft w:val="0"/>
      <w:marRight w:val="0"/>
      <w:marTop w:val="0"/>
      <w:marBottom w:val="0"/>
      <w:divBdr>
        <w:top w:val="none" w:sz="0" w:space="0" w:color="auto"/>
        <w:left w:val="none" w:sz="0" w:space="0" w:color="auto"/>
        <w:bottom w:val="none" w:sz="0" w:space="0" w:color="auto"/>
        <w:right w:val="none" w:sz="0" w:space="0" w:color="auto"/>
      </w:divBdr>
    </w:div>
    <w:div w:id="1728409520">
      <w:bodyDiv w:val="1"/>
      <w:marLeft w:val="0"/>
      <w:marRight w:val="0"/>
      <w:marTop w:val="0"/>
      <w:marBottom w:val="0"/>
      <w:divBdr>
        <w:top w:val="none" w:sz="0" w:space="0" w:color="auto"/>
        <w:left w:val="none" w:sz="0" w:space="0" w:color="auto"/>
        <w:bottom w:val="none" w:sz="0" w:space="0" w:color="auto"/>
        <w:right w:val="none" w:sz="0" w:space="0" w:color="auto"/>
      </w:divBdr>
    </w:div>
    <w:div w:id="198142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mn.gov/deed/data/export-sta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1750008521662065"/>
          <c:y val="7.7848339609722692E-2"/>
          <c:w val="0.60311787949583218"/>
          <c:h val="0.77849258204426564"/>
        </c:manualLayout>
      </c:layout>
      <c:pieChart>
        <c:varyColors val="1"/>
        <c:ser>
          <c:idx val="0"/>
          <c:order val="0"/>
          <c:tx>
            <c:strRef>
              <c:f>Sheet1!$B$1</c:f>
              <c:strCache>
                <c:ptCount val="1"/>
                <c:pt idx="0">
                  <c:v>MN 2025-Q4</c:v>
                </c:pt>
              </c:strCache>
            </c:strRef>
          </c:tx>
          <c:spPr>
            <a:ln w="9525">
              <a:solidFill>
                <a:schemeClr val="tx1">
                  <a:lumMod val="65000"/>
                  <a:lumOff val="35000"/>
                </a:schemeClr>
              </a:solidFill>
            </a:ln>
          </c:spPr>
          <c:dPt>
            <c:idx val="0"/>
            <c:bubble3D val="0"/>
            <c:spPr>
              <a:solidFill>
                <a:srgbClr val="003865"/>
              </a:solidFill>
              <a:ln w="9525">
                <a:solidFill>
                  <a:schemeClr val="tx1">
                    <a:lumMod val="65000"/>
                    <a:lumOff val="35000"/>
                  </a:schemeClr>
                </a:solidFill>
              </a:ln>
              <a:effectLst/>
            </c:spPr>
            <c:extLst>
              <c:ext xmlns:c16="http://schemas.microsoft.com/office/drawing/2014/chart" uri="{C3380CC4-5D6E-409C-BE32-E72D297353CC}">
                <c16:uniqueId val="{00000001-B63D-430A-B006-CBF57C87BB3A}"/>
              </c:ext>
            </c:extLst>
          </c:dPt>
          <c:dPt>
            <c:idx val="1"/>
            <c:bubble3D val="0"/>
            <c:spPr>
              <a:solidFill>
                <a:srgbClr val="78BE21"/>
              </a:solidFill>
              <a:ln w="9525">
                <a:solidFill>
                  <a:schemeClr val="tx1">
                    <a:lumMod val="65000"/>
                    <a:lumOff val="35000"/>
                  </a:schemeClr>
                </a:solidFill>
              </a:ln>
              <a:effectLst/>
            </c:spPr>
            <c:extLst>
              <c:ext xmlns:c16="http://schemas.microsoft.com/office/drawing/2014/chart" uri="{C3380CC4-5D6E-409C-BE32-E72D297353CC}">
                <c16:uniqueId val="{00000003-B63D-430A-B006-CBF57C87BB3A}"/>
              </c:ext>
            </c:extLst>
          </c:dPt>
          <c:dPt>
            <c:idx val="2"/>
            <c:bubble3D val="0"/>
            <c:spPr>
              <a:solidFill>
                <a:srgbClr val="008EAA"/>
              </a:solidFill>
              <a:ln w="9525">
                <a:solidFill>
                  <a:schemeClr val="tx1">
                    <a:lumMod val="65000"/>
                    <a:lumOff val="35000"/>
                  </a:schemeClr>
                </a:solidFill>
              </a:ln>
              <a:effectLst/>
            </c:spPr>
            <c:extLst>
              <c:ext xmlns:c16="http://schemas.microsoft.com/office/drawing/2014/chart" uri="{C3380CC4-5D6E-409C-BE32-E72D297353CC}">
                <c16:uniqueId val="{00000005-B63D-430A-B006-CBF57C87BB3A}"/>
              </c:ext>
            </c:extLst>
          </c:dPt>
          <c:dPt>
            <c:idx val="3"/>
            <c:bubble3D val="0"/>
            <c:spPr>
              <a:solidFill>
                <a:srgbClr val="8D3F2B"/>
              </a:solidFill>
              <a:ln w="9525">
                <a:solidFill>
                  <a:schemeClr val="tx1">
                    <a:lumMod val="65000"/>
                    <a:lumOff val="35000"/>
                  </a:schemeClr>
                </a:solidFill>
              </a:ln>
              <a:effectLst/>
            </c:spPr>
            <c:extLst>
              <c:ext xmlns:c16="http://schemas.microsoft.com/office/drawing/2014/chart" uri="{C3380CC4-5D6E-409C-BE32-E72D297353CC}">
                <c16:uniqueId val="{00000007-B63D-430A-B006-CBF57C87BB3A}"/>
              </c:ext>
            </c:extLst>
          </c:dPt>
          <c:dPt>
            <c:idx val="4"/>
            <c:bubble3D val="0"/>
            <c:spPr>
              <a:solidFill>
                <a:srgbClr val="948193"/>
              </a:solidFill>
              <a:ln w="9525">
                <a:solidFill>
                  <a:srgbClr val="7030A0"/>
                </a:solidFill>
              </a:ln>
              <a:effectLst/>
            </c:spPr>
            <c:extLst>
              <c:ext xmlns:c16="http://schemas.microsoft.com/office/drawing/2014/chart" uri="{C3380CC4-5D6E-409C-BE32-E72D297353CC}">
                <c16:uniqueId val="{00000009-B63D-430A-B006-CBF57C87BB3A}"/>
              </c:ext>
            </c:extLst>
          </c:dPt>
          <c:dPt>
            <c:idx val="5"/>
            <c:bubble3D val="0"/>
            <c:spPr>
              <a:solidFill>
                <a:srgbClr val="FFC845"/>
              </a:solidFill>
              <a:ln w="9525">
                <a:solidFill>
                  <a:schemeClr val="tx1">
                    <a:lumMod val="65000"/>
                    <a:lumOff val="35000"/>
                  </a:schemeClr>
                </a:solidFill>
              </a:ln>
              <a:effectLst/>
            </c:spPr>
            <c:extLst>
              <c:ext xmlns:c16="http://schemas.microsoft.com/office/drawing/2014/chart" uri="{C3380CC4-5D6E-409C-BE32-E72D297353CC}">
                <c16:uniqueId val="{0000000B-B63D-430A-B006-CBF57C87BB3A}"/>
              </c:ext>
            </c:extLst>
          </c:dPt>
          <c:dPt>
            <c:idx val="6"/>
            <c:bubble3D val="0"/>
            <c:spPr>
              <a:solidFill>
                <a:srgbClr val="9BCBEB"/>
              </a:solidFill>
              <a:ln w="9525">
                <a:solidFill>
                  <a:schemeClr val="tx1">
                    <a:lumMod val="65000"/>
                    <a:lumOff val="35000"/>
                  </a:schemeClr>
                </a:solidFill>
              </a:ln>
              <a:effectLst/>
            </c:spPr>
            <c:extLst>
              <c:ext xmlns:c16="http://schemas.microsoft.com/office/drawing/2014/chart" uri="{C3380CC4-5D6E-409C-BE32-E72D297353CC}">
                <c16:uniqueId val="{0000000D-B63D-430A-B006-CBF57C87BB3A}"/>
              </c:ext>
            </c:extLst>
          </c:dPt>
          <c:dPt>
            <c:idx val="7"/>
            <c:bubble3D val="0"/>
            <c:spPr>
              <a:solidFill>
                <a:srgbClr val="E8E8E6"/>
              </a:solidFill>
              <a:ln w="9525">
                <a:solidFill>
                  <a:schemeClr val="tx1">
                    <a:lumMod val="65000"/>
                    <a:lumOff val="35000"/>
                  </a:schemeClr>
                </a:solidFill>
              </a:ln>
              <a:effectLst/>
            </c:spPr>
            <c:extLst>
              <c:ext xmlns:c16="http://schemas.microsoft.com/office/drawing/2014/chart" uri="{C3380CC4-5D6E-409C-BE32-E72D297353CC}">
                <c16:uniqueId val="{0000000F-B63D-430A-B006-CBF57C87BB3A}"/>
              </c:ext>
            </c:extLst>
          </c:dPt>
          <c:dPt>
            <c:idx val="8"/>
            <c:bubble3D val="0"/>
            <c:spPr>
              <a:solidFill>
                <a:schemeClr val="accent1">
                  <a:tint val="13000"/>
                </a:schemeClr>
              </a:solidFill>
              <a:ln w="9525">
                <a:solidFill>
                  <a:schemeClr val="tx1">
                    <a:lumMod val="65000"/>
                    <a:lumOff val="35000"/>
                  </a:schemeClr>
                </a:solidFill>
              </a:ln>
              <a:effectLst/>
            </c:spPr>
            <c:extLst>
              <c:ext xmlns:c16="http://schemas.microsoft.com/office/drawing/2014/chart" uri="{C3380CC4-5D6E-409C-BE32-E72D297353CC}">
                <c16:uniqueId val="{00000011-B63D-430A-B006-CBF57C87BB3A}"/>
              </c:ext>
            </c:extLst>
          </c:dPt>
          <c:dLbls>
            <c:dLbl>
              <c:idx val="0"/>
              <c:layout>
                <c:manualLayout>
                  <c:x val="1.9076592698639944E-2"/>
                  <c:y val="1.801095515234508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283771346763471"/>
                      <c:h val="7.9102476320894677E-2"/>
                    </c:manualLayout>
                  </c15:layout>
                </c:ext>
                <c:ext xmlns:c16="http://schemas.microsoft.com/office/drawing/2014/chart" uri="{C3380CC4-5D6E-409C-BE32-E72D297353CC}">
                  <c16:uniqueId val="{00000001-B63D-430A-B006-CBF57C87BB3A}"/>
                </c:ext>
              </c:extLst>
            </c:dLbl>
            <c:dLbl>
              <c:idx val="1"/>
              <c:layout>
                <c:manualLayout>
                  <c:x val="-2.239663223915192E-2"/>
                  <c:y val="-3.603389250256763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156900841940213"/>
                      <c:h val="0.26737532808398945"/>
                    </c:manualLayout>
                  </c15:layout>
                </c:ext>
                <c:ext xmlns:c16="http://schemas.microsoft.com/office/drawing/2014/chart" uri="{C3380CC4-5D6E-409C-BE32-E72D297353CC}">
                  <c16:uniqueId val="{00000003-B63D-430A-B006-CBF57C87BB3A}"/>
                </c:ext>
              </c:extLst>
            </c:dLbl>
            <c:dLbl>
              <c:idx val="2"/>
              <c:layout>
                <c:manualLayout>
                  <c:x val="1.2987353853495585E-2"/>
                  <c:y val="-6.027815816501198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856972423901559"/>
                      <c:h val="0.12076971356841262"/>
                    </c:manualLayout>
                  </c15:layout>
                </c:ext>
                <c:ext xmlns:c16="http://schemas.microsoft.com/office/drawing/2014/chart" uri="{C3380CC4-5D6E-409C-BE32-E72D297353CC}">
                  <c16:uniqueId val="{00000005-B63D-430A-B006-CBF57C87BB3A}"/>
                </c:ext>
              </c:extLst>
            </c:dLbl>
            <c:dLbl>
              <c:idx val="3"/>
              <c:layout>
                <c:manualLayout>
                  <c:x val="8.8744929611071346E-2"/>
                  <c:y val="-3.80708661417324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702559907284318"/>
                      <c:h val="0.11147609266233026"/>
                    </c:manualLayout>
                  </c15:layout>
                </c:ext>
                <c:ext xmlns:c16="http://schemas.microsoft.com/office/drawing/2014/chart" uri="{C3380CC4-5D6E-409C-BE32-E72D297353CC}">
                  <c16:uniqueId val="{00000007-B63D-430A-B006-CBF57C87BB3A}"/>
                </c:ext>
              </c:extLst>
            </c:dLbl>
            <c:dLbl>
              <c:idx val="4"/>
              <c:layout>
                <c:manualLayout>
                  <c:x val="4.4943586597129867E-2"/>
                  <c:y val="2.893501084103617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002726931860791"/>
                      <c:h val="9.9968618053178124E-2"/>
                    </c:manualLayout>
                  </c15:layout>
                </c:ext>
                <c:ext xmlns:c16="http://schemas.microsoft.com/office/drawing/2014/chart" uri="{C3380CC4-5D6E-409C-BE32-E72D297353CC}">
                  <c16:uniqueId val="{00000009-B63D-430A-B006-CBF57C87BB3A}"/>
                </c:ext>
              </c:extLst>
            </c:dLbl>
            <c:dLbl>
              <c:idx val="5"/>
              <c:layout>
                <c:manualLayout>
                  <c:x val="-2.1888229880355863E-2"/>
                  <c:y val="-1.003366427022709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967276817670514"/>
                      <c:h val="9.1257560196279813E-2"/>
                    </c:manualLayout>
                  </c15:layout>
                </c:ext>
                <c:ext xmlns:c16="http://schemas.microsoft.com/office/drawing/2014/chart" uri="{C3380CC4-5D6E-409C-BE32-E72D297353CC}">
                  <c16:uniqueId val="{0000000B-B63D-430A-B006-CBF57C87BB3A}"/>
                </c:ext>
              </c:extLst>
            </c:dLbl>
            <c:dLbl>
              <c:idx val="6"/>
              <c:layout>
                <c:manualLayout>
                  <c:x val="-2.6543102566724614E-2"/>
                  <c:y val="-7.782865457035274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01233936667007"/>
                      <c:h val="0.13232169348396666"/>
                    </c:manualLayout>
                  </c15:layout>
                </c:ext>
                <c:ext xmlns:c16="http://schemas.microsoft.com/office/drawing/2014/chart" uri="{C3380CC4-5D6E-409C-BE32-E72D297353CC}">
                  <c16:uniqueId val="{0000000D-B63D-430A-B006-CBF57C87BB3A}"/>
                </c:ext>
              </c:extLst>
            </c:dLbl>
            <c:dLbl>
              <c:idx val="7"/>
              <c:layout>
                <c:manualLayout>
                  <c:x val="-5.1948051948051951E-2"/>
                  <c:y val="-8.695623644870478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616866073558988"/>
                      <c:h val="0.12057971014492752"/>
                    </c:manualLayout>
                  </c15:layout>
                </c:ext>
                <c:ext xmlns:c16="http://schemas.microsoft.com/office/drawing/2014/chart" uri="{C3380CC4-5D6E-409C-BE32-E72D297353CC}">
                  <c16:uniqueId val="{0000000F-B63D-430A-B006-CBF57C87BB3A}"/>
                </c:ext>
              </c:extLst>
            </c:dLbl>
            <c:dLbl>
              <c:idx val="8"/>
              <c:layout>
                <c:manualLayout>
                  <c:x val="2.8112449799196824E-2"/>
                  <c:y val="-2.525252525252525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B63D-430A-B006-CBF57C87BB3A}"/>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Canada</c:v>
                </c:pt>
                <c:pt idx="1">
                  <c:v>Mexico</c:v>
                </c:pt>
                <c:pt idx="2">
                  <c:v>China</c:v>
                </c:pt>
                <c:pt idx="3">
                  <c:v>Belgium</c:v>
                </c:pt>
                <c:pt idx="4">
                  <c:v>Japan</c:v>
                </c:pt>
                <c:pt idx="5">
                  <c:v>U.K.</c:v>
                </c:pt>
                <c:pt idx="6">
                  <c:v>Korea</c:v>
                </c:pt>
                <c:pt idx="7">
                  <c:v>Other</c:v>
                </c:pt>
              </c:strCache>
            </c:strRef>
          </c:cat>
          <c:val>
            <c:numRef>
              <c:f>Sheet1!$B$2:$B$9</c:f>
              <c:numCache>
                <c:formatCode>_("$"* #,##0_);_("$"* \(#,##0\);_("$"* "-"??_);_(@_)</c:formatCode>
                <c:ptCount val="8"/>
                <c:pt idx="0">
                  <c:v>173108791</c:v>
                </c:pt>
                <c:pt idx="1">
                  <c:v>129181121</c:v>
                </c:pt>
                <c:pt idx="2">
                  <c:v>66509713</c:v>
                </c:pt>
                <c:pt idx="3">
                  <c:v>61283374</c:v>
                </c:pt>
                <c:pt idx="4">
                  <c:v>43956299</c:v>
                </c:pt>
                <c:pt idx="5">
                  <c:v>37477163</c:v>
                </c:pt>
                <c:pt idx="6" formatCode="_(* #,##0_);_(* \(#,##0\);_(* &quot;-&quot;??_);_(@_)">
                  <c:v>34854000</c:v>
                </c:pt>
                <c:pt idx="7">
                  <c:v>319344662</c:v>
                </c:pt>
              </c:numCache>
            </c:numRef>
          </c:val>
          <c:extLst>
            <c:ext xmlns:c16="http://schemas.microsoft.com/office/drawing/2014/chart" uri="{C3380CC4-5D6E-409C-BE32-E72D297353CC}">
              <c16:uniqueId val="{00000012-B63D-430A-B006-CBF57C87BB3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70171-5F29-4F26-9E68-C5EB736CE0BE}">
  <ds:schemaRefs>
    <ds:schemaRef ds:uri="http://schemas.microsoft.com/office/2006/metadata/properties"/>
    <ds:schemaRef ds:uri="http://schemas.microsoft.com/office/infopath/2007/PartnerControls"/>
    <ds:schemaRef ds:uri="acafcbf6-48c5-4daf-971b-c5fe77e9609f"/>
    <ds:schemaRef ds:uri="f40b3bed-991c-4f1f-9472-bc970bd8a5cf"/>
  </ds:schemaRefs>
</ds:datastoreItem>
</file>

<file path=customXml/itemProps2.xml><?xml version="1.0" encoding="utf-8"?>
<ds:datastoreItem xmlns:ds="http://schemas.openxmlformats.org/officeDocument/2006/customXml" ds:itemID="{DA585C3C-BBCF-4934-AF09-A419E630C9F2}">
  <ds:schemaRefs>
    <ds:schemaRef ds:uri="http://schemas.microsoft.com/sharepoint/v3/contenttype/forms"/>
  </ds:schemaRefs>
</ds:datastoreItem>
</file>

<file path=customXml/itemProps3.xml><?xml version="1.0" encoding="utf-8"?>
<ds:datastoreItem xmlns:ds="http://schemas.openxmlformats.org/officeDocument/2006/customXml" ds:itemID="{E5FB6C44-9FF8-492D-ADB5-283AD1E5C7D9}">
  <ds:schemaRefs>
    <ds:schemaRef ds:uri="http://schemas.openxmlformats.org/officeDocument/2006/bibliography"/>
  </ds:schemaRefs>
</ds:datastoreItem>
</file>

<file path=customXml/itemProps4.xml><?xml version="1.0" encoding="utf-8"?>
<ds:datastoreItem xmlns:ds="http://schemas.openxmlformats.org/officeDocument/2006/customXml" ds:itemID="{819A2AA2-27A5-46E0-8C99-35E3903E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b3bed-991c-4f1f-9472-bc970bd8a5cf"/>
    <ds:schemaRef ds:uri="acafcbf6-48c5-4daf-971b-c5fe77e96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6606</TotalTime>
  <Pages>1</Pages>
  <Words>720</Words>
  <Characters>4107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Minnesota Quarterly Export Statistics,4th Quarter 2025</vt:lpstr>
    </vt:vector>
  </TitlesOfParts>
  <Company>MN DEED</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Quarterly Export Statistics,4th Quarter 2025</dc:title>
  <dc:subject>Minnesota Quarterly Export Statistics</dc:subject>
  <dc:creator>Economic Analysis Unit (T. Ho-Kim)</dc:creator>
  <cp:keywords/>
  <dc:description>4th qtr 2025_x000d_
(publ May 2026)</dc:description>
  <cp:lastModifiedBy>Ho-Kim, Thu-Mai (DEED)</cp:lastModifiedBy>
  <cp:revision>18</cp:revision>
  <cp:lastPrinted>2021-02-10T21:09:00Z</cp:lastPrinted>
  <dcterms:created xsi:type="dcterms:W3CDTF">2025-09-04T22:06:00Z</dcterms:created>
  <dcterms:modified xsi:type="dcterms:W3CDTF">2026-06-04T15:59:00Z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