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4581" w14:textId="34B00646" w:rsidR="001B6E5E" w:rsidRPr="00B742BF" w:rsidRDefault="00C82A5E" w:rsidP="004E75BE">
      <w:pPr>
        <w:tabs>
          <w:tab w:val="left" w:pos="360"/>
          <w:tab w:val="left" w:pos="6660"/>
        </w:tabs>
        <w:spacing w:after="120"/>
        <w:jc w:val="center"/>
      </w:pPr>
      <w:r w:rsidRPr="00B742BF">
        <w:rPr>
          <w:noProof/>
        </w:rPr>
        <w:drawing>
          <wp:inline distT="0" distB="0" distL="0" distR="0" wp14:anchorId="5FED75E8" wp14:editId="0991A301">
            <wp:extent cx="6492240" cy="1136015"/>
            <wp:effectExtent l="0" t="0" r="3810" b="6985"/>
            <wp:docPr id="7364218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2183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1136015"/>
                    </a:xfrm>
                    <a:prstGeom prst="rect">
                      <a:avLst/>
                    </a:prstGeom>
                  </pic:spPr>
                </pic:pic>
              </a:graphicData>
            </a:graphic>
          </wp:inline>
        </w:drawing>
      </w:r>
    </w:p>
    <w:p w14:paraId="280C54B8" w14:textId="3AC3CCB3" w:rsidR="00D84668" w:rsidRPr="00B742BF" w:rsidRDefault="00D84668" w:rsidP="00D84668">
      <w:pPr>
        <w:pStyle w:val="NoSpacing"/>
        <w:jc w:val="center"/>
        <w:rPr>
          <w:rStyle w:val="Emphasis"/>
          <w:b/>
        </w:rPr>
      </w:pPr>
      <w:r w:rsidRPr="00B742BF">
        <w:rPr>
          <w:rStyle w:val="Emphasis"/>
          <w:b/>
        </w:rPr>
        <w:t xml:space="preserve">Data on Minnesota Exports for </w:t>
      </w:r>
      <w:r w:rsidR="00C82A5E" w:rsidRPr="00B742BF">
        <w:rPr>
          <w:rStyle w:val="Emphasis"/>
          <w:b/>
        </w:rPr>
        <w:t>Thir</w:t>
      </w:r>
      <w:r w:rsidR="004928D5" w:rsidRPr="00B742BF">
        <w:rPr>
          <w:rStyle w:val="Emphasis"/>
          <w:b/>
        </w:rPr>
        <w:t>d</w:t>
      </w:r>
      <w:r w:rsidRPr="00B742BF">
        <w:rPr>
          <w:rStyle w:val="Emphasis"/>
          <w:b/>
        </w:rPr>
        <w:t xml:space="preserve"> Quarter 202</w:t>
      </w:r>
      <w:r w:rsidR="004E75BE" w:rsidRPr="00B742BF">
        <w:rPr>
          <w:rStyle w:val="Emphasis"/>
          <w:b/>
        </w:rPr>
        <w:t>5</w:t>
      </w:r>
      <w:r w:rsidRPr="00B742BF">
        <w:rPr>
          <w:rStyle w:val="Emphasis"/>
          <w:b/>
        </w:rPr>
        <w:t xml:space="preserve"> – Published </w:t>
      </w:r>
      <w:r w:rsidR="00C82A5E" w:rsidRPr="00B742BF">
        <w:rPr>
          <w:rStyle w:val="Emphasis"/>
          <w:b/>
        </w:rPr>
        <w:t>January</w:t>
      </w:r>
      <w:r w:rsidR="00E25680" w:rsidRPr="00B742BF">
        <w:rPr>
          <w:rStyle w:val="Emphasis"/>
          <w:b/>
        </w:rPr>
        <w:t xml:space="preserve"> </w:t>
      </w:r>
      <w:r w:rsidRPr="00B742BF">
        <w:rPr>
          <w:rStyle w:val="Emphasis"/>
          <w:b/>
        </w:rPr>
        <w:t>202</w:t>
      </w:r>
      <w:r w:rsidR="00C82A5E" w:rsidRPr="00B742BF">
        <w:rPr>
          <w:rStyle w:val="Emphasis"/>
          <w:b/>
        </w:rPr>
        <w:t>6</w:t>
      </w:r>
      <w:r w:rsidR="006042ED" w:rsidRPr="00B742BF">
        <w:rPr>
          <w:rStyle w:val="Emphasis"/>
          <w:b/>
        </w:rPr>
        <w:t xml:space="preserve"> </w:t>
      </w:r>
    </w:p>
    <w:p w14:paraId="7C1ADAF3" w14:textId="77777777" w:rsidR="00D84668" w:rsidRPr="00B742BF" w:rsidRDefault="00D84668" w:rsidP="00D84668">
      <w:pPr>
        <w:pStyle w:val="NoSpacing"/>
        <w:jc w:val="center"/>
        <w:rPr>
          <w:rStyle w:val="Emphasis"/>
          <w:b/>
          <w:bCs/>
        </w:rPr>
      </w:pPr>
      <w:r w:rsidRPr="00B742BF">
        <w:rPr>
          <w:rStyle w:val="Emphasis"/>
          <w:b/>
        </w:rPr>
        <w:t>For More Information</w:t>
      </w:r>
      <w:r w:rsidRPr="00B742BF">
        <w:rPr>
          <w:rStyle w:val="Emphasis"/>
        </w:rPr>
        <w:t xml:space="preserve">: </w:t>
      </w:r>
      <w:r w:rsidRPr="00B742BF">
        <w:rPr>
          <w:b/>
          <w:bCs/>
          <w:i/>
          <w:iCs/>
        </w:rPr>
        <w:t>Mary Haugen (mary.haugen@state.mn.us)</w:t>
      </w:r>
    </w:p>
    <w:p w14:paraId="18DCA261" w14:textId="75E37C37" w:rsidR="00641D3B" w:rsidRPr="00B742BF" w:rsidRDefault="00CC5F28" w:rsidP="00C9794E">
      <w:pPr>
        <w:pStyle w:val="Heading1"/>
        <w:rPr>
          <w:rFonts w:asciiTheme="minorHAnsi" w:hAnsiTheme="minorHAnsi"/>
          <w:color w:val="auto"/>
          <w:sz w:val="36"/>
          <w:szCs w:val="28"/>
        </w:rPr>
        <w:sectPr w:rsidR="00641D3B" w:rsidRPr="00B742BF" w:rsidSect="00FE15EB">
          <w:headerReference w:type="even" r:id="rId9"/>
          <w:headerReference w:type="default" r:id="rId10"/>
          <w:footerReference w:type="even" r:id="rId11"/>
          <w:footnotePr>
            <w:numRestart w:val="eachSect"/>
          </w:footnotePr>
          <w:endnotePr>
            <w:numFmt w:val="decimal"/>
          </w:endnotePr>
          <w:type w:val="continuous"/>
          <w:pgSz w:w="12240" w:h="15840" w:code="1"/>
          <w:pgMar w:top="864" w:right="1008" w:bottom="864" w:left="1008" w:header="720" w:footer="720" w:gutter="0"/>
          <w:cols w:space="720"/>
          <w:titlePg/>
          <w:docGrid w:linePitch="272"/>
        </w:sectPr>
      </w:pPr>
      <w:r w:rsidRPr="00B742BF">
        <w:rPr>
          <w:rFonts w:asciiTheme="minorHAnsi" w:hAnsiTheme="minorHAnsi"/>
          <w:color w:val="auto"/>
          <w:sz w:val="36"/>
          <w:szCs w:val="28"/>
        </w:rPr>
        <w:t xml:space="preserve">Minnesota </w:t>
      </w:r>
      <w:r w:rsidR="00FA433D" w:rsidRPr="00B742BF">
        <w:rPr>
          <w:rFonts w:asciiTheme="minorHAnsi" w:hAnsiTheme="minorHAnsi"/>
          <w:color w:val="auto"/>
          <w:sz w:val="36"/>
          <w:szCs w:val="28"/>
        </w:rPr>
        <w:t xml:space="preserve">Exports </w:t>
      </w:r>
      <w:r w:rsidR="004928D5" w:rsidRPr="00B742BF">
        <w:rPr>
          <w:rFonts w:asciiTheme="minorHAnsi" w:hAnsiTheme="minorHAnsi"/>
          <w:color w:val="auto"/>
          <w:sz w:val="36"/>
          <w:szCs w:val="28"/>
        </w:rPr>
        <w:t>Slide 1</w:t>
      </w:r>
      <w:r w:rsidR="00440BAE" w:rsidRPr="00B742BF">
        <w:rPr>
          <w:rFonts w:asciiTheme="minorHAnsi" w:hAnsiTheme="minorHAnsi"/>
          <w:color w:val="auto"/>
          <w:sz w:val="36"/>
          <w:szCs w:val="28"/>
        </w:rPr>
        <w:t>4</w:t>
      </w:r>
      <w:r w:rsidR="006042ED" w:rsidRPr="00B742BF">
        <w:rPr>
          <w:rFonts w:asciiTheme="minorHAnsi" w:hAnsiTheme="minorHAnsi"/>
          <w:color w:val="auto"/>
          <w:sz w:val="36"/>
          <w:szCs w:val="28"/>
        </w:rPr>
        <w:t>%</w:t>
      </w:r>
      <w:r w:rsidR="00ED7F1C" w:rsidRPr="00B742BF">
        <w:rPr>
          <w:rFonts w:asciiTheme="minorHAnsi" w:hAnsiTheme="minorHAnsi"/>
          <w:color w:val="auto"/>
          <w:sz w:val="36"/>
          <w:szCs w:val="28"/>
        </w:rPr>
        <w:t xml:space="preserve"> </w:t>
      </w:r>
      <w:r w:rsidR="000D5EC5" w:rsidRPr="00B742BF">
        <w:rPr>
          <w:rFonts w:asciiTheme="minorHAnsi" w:hAnsiTheme="minorHAnsi"/>
          <w:color w:val="auto"/>
          <w:sz w:val="36"/>
          <w:szCs w:val="28"/>
        </w:rPr>
        <w:t>to $</w:t>
      </w:r>
      <w:r w:rsidR="004928D5" w:rsidRPr="00B742BF">
        <w:rPr>
          <w:rFonts w:asciiTheme="minorHAnsi" w:hAnsiTheme="minorHAnsi"/>
          <w:color w:val="auto"/>
          <w:sz w:val="36"/>
          <w:szCs w:val="28"/>
        </w:rPr>
        <w:t>5</w:t>
      </w:r>
      <w:r w:rsidR="00BB19C4" w:rsidRPr="00B742BF">
        <w:rPr>
          <w:rFonts w:asciiTheme="minorHAnsi" w:hAnsiTheme="minorHAnsi"/>
          <w:color w:val="auto"/>
          <w:sz w:val="36"/>
          <w:szCs w:val="28"/>
        </w:rPr>
        <w:t>.</w:t>
      </w:r>
      <w:r w:rsidR="00440BAE" w:rsidRPr="00B742BF">
        <w:rPr>
          <w:rFonts w:asciiTheme="minorHAnsi" w:hAnsiTheme="minorHAnsi"/>
          <w:color w:val="auto"/>
          <w:sz w:val="36"/>
          <w:szCs w:val="28"/>
        </w:rPr>
        <w:t>7</w:t>
      </w:r>
      <w:r w:rsidR="000D5EC5" w:rsidRPr="00B742BF">
        <w:rPr>
          <w:rFonts w:asciiTheme="minorHAnsi" w:hAnsiTheme="minorHAnsi"/>
          <w:color w:val="auto"/>
          <w:sz w:val="36"/>
          <w:szCs w:val="28"/>
        </w:rPr>
        <w:t xml:space="preserve"> Billion</w:t>
      </w:r>
      <w:r w:rsidR="00ED7F1C" w:rsidRPr="00B742BF">
        <w:rPr>
          <w:rFonts w:asciiTheme="minorHAnsi" w:hAnsiTheme="minorHAnsi"/>
          <w:color w:val="auto"/>
          <w:sz w:val="36"/>
          <w:szCs w:val="28"/>
        </w:rPr>
        <w:t xml:space="preserve"> </w:t>
      </w:r>
      <w:r w:rsidRPr="00B742BF">
        <w:rPr>
          <w:rFonts w:asciiTheme="minorHAnsi" w:hAnsiTheme="minorHAnsi"/>
          <w:color w:val="auto"/>
          <w:sz w:val="36"/>
          <w:szCs w:val="28"/>
        </w:rPr>
        <w:t xml:space="preserve">in </w:t>
      </w:r>
      <w:r w:rsidR="007B714B" w:rsidRPr="00B742BF">
        <w:rPr>
          <w:rFonts w:asciiTheme="minorHAnsi" w:hAnsiTheme="minorHAnsi"/>
          <w:color w:val="auto"/>
          <w:sz w:val="36"/>
          <w:szCs w:val="28"/>
        </w:rPr>
        <w:t>Third</w:t>
      </w:r>
      <w:r w:rsidRPr="00B742BF">
        <w:rPr>
          <w:rFonts w:asciiTheme="minorHAnsi" w:hAnsiTheme="minorHAnsi"/>
          <w:color w:val="auto"/>
          <w:sz w:val="36"/>
          <w:szCs w:val="28"/>
        </w:rPr>
        <w:t xml:space="preserve"> Quarter</w:t>
      </w:r>
    </w:p>
    <w:p w14:paraId="2062535F" w14:textId="3BE1D72A" w:rsidR="00952407" w:rsidRPr="00B742BF" w:rsidRDefault="007F1C4A" w:rsidP="00B742BF">
      <w:pPr>
        <w:pStyle w:val="BodyText"/>
        <w:numPr>
          <w:ilvl w:val="0"/>
          <w:numId w:val="26"/>
        </w:numPr>
        <w:spacing w:before="0" w:after="0"/>
        <w:rPr>
          <w:rFonts w:eastAsiaTheme="majorEastAsia" w:cstheme="minorHAnsi"/>
          <w:i/>
          <w:iCs/>
        </w:rPr>
      </w:pPr>
      <w:r w:rsidRPr="00B742BF">
        <w:t>Minnesota</w:t>
      </w:r>
      <w:r w:rsidR="00674246" w:rsidRPr="00B742BF">
        <w:t>’s</w:t>
      </w:r>
      <w:r w:rsidRPr="00B742BF">
        <w:t xml:space="preserve"> exports</w:t>
      </w:r>
      <w:r w:rsidR="00F20245" w:rsidRPr="00B742BF">
        <w:t xml:space="preserve"> of goods</w:t>
      </w:r>
      <w:r w:rsidRPr="00B742BF">
        <w:t xml:space="preserve"> (incl</w:t>
      </w:r>
      <w:r w:rsidR="004C6288" w:rsidRPr="00B742BF">
        <w:t>uding</w:t>
      </w:r>
      <w:r w:rsidRPr="00B742BF">
        <w:t xml:space="preserve"> agricultur</w:t>
      </w:r>
      <w:r w:rsidR="00E21972" w:rsidRPr="00B742BF">
        <w:t>e</w:t>
      </w:r>
      <w:r w:rsidRPr="00B742BF">
        <w:t>, mining and manufact</w:t>
      </w:r>
      <w:r w:rsidR="00A02A94" w:rsidRPr="00B742BF">
        <w:t>ur</w:t>
      </w:r>
      <w:r w:rsidR="00E21972" w:rsidRPr="00B742BF">
        <w:t>ing</w:t>
      </w:r>
      <w:r w:rsidR="00A02A94" w:rsidRPr="00B742BF">
        <w:t xml:space="preserve">) </w:t>
      </w:r>
      <w:r w:rsidR="00367E5D" w:rsidRPr="00B742BF">
        <w:t>declin</w:t>
      </w:r>
      <w:r w:rsidR="00A17E16" w:rsidRPr="00B742BF">
        <w:t>ed</w:t>
      </w:r>
      <w:r w:rsidR="00367E5D" w:rsidRPr="00B742BF">
        <w:t xml:space="preserve"> to </w:t>
      </w:r>
      <w:r w:rsidR="000F06F6" w:rsidRPr="00B742BF">
        <w:t>$</w:t>
      </w:r>
      <w:r w:rsidR="004928D5" w:rsidRPr="00B742BF">
        <w:t>5.</w:t>
      </w:r>
      <w:r w:rsidR="00440BAE" w:rsidRPr="00B742BF">
        <w:t>7</w:t>
      </w:r>
      <w:r w:rsidR="000F06F6" w:rsidRPr="00B742BF">
        <w:t xml:space="preserve"> billion</w:t>
      </w:r>
      <w:r w:rsidR="007A6CDF" w:rsidRPr="00B742BF">
        <w:t xml:space="preserve"> in the </w:t>
      </w:r>
      <w:r w:rsidR="00440BAE" w:rsidRPr="00B742BF">
        <w:t>t</w:t>
      </w:r>
      <w:r w:rsidR="007B714B" w:rsidRPr="00B742BF">
        <w:t>hird</w:t>
      </w:r>
      <w:r w:rsidR="007A6CDF" w:rsidRPr="00B742BF">
        <w:t xml:space="preserve"> quarter </w:t>
      </w:r>
      <w:r w:rsidR="00BB19C4" w:rsidRPr="00B742BF">
        <w:t>2025</w:t>
      </w:r>
      <w:r w:rsidR="00A17E16" w:rsidRPr="00B742BF">
        <w:t xml:space="preserve">, </w:t>
      </w:r>
      <w:r w:rsidR="00440BAE" w:rsidRPr="00B742BF">
        <w:t>slid</w:t>
      </w:r>
      <w:r w:rsidR="004928D5" w:rsidRPr="00B742BF">
        <w:t>ing</w:t>
      </w:r>
      <w:r w:rsidR="00A17E16" w:rsidRPr="00B742BF">
        <w:t xml:space="preserve"> </w:t>
      </w:r>
      <w:r w:rsidR="004928D5" w:rsidRPr="00B742BF">
        <w:t>1</w:t>
      </w:r>
      <w:r w:rsidR="00440BAE" w:rsidRPr="00B742BF">
        <w:t>4</w:t>
      </w:r>
      <w:r w:rsidR="00A17E16" w:rsidRPr="00B742BF">
        <w:t xml:space="preserve">% </w:t>
      </w:r>
      <w:r w:rsidR="00952407" w:rsidRPr="00B742BF">
        <w:t>since the</w:t>
      </w:r>
      <w:r w:rsidR="00A17E16" w:rsidRPr="00B742BF">
        <w:t xml:space="preserve"> </w:t>
      </w:r>
      <w:r w:rsidR="00440BAE" w:rsidRPr="00B742BF">
        <w:t>t</w:t>
      </w:r>
      <w:r w:rsidR="007B714B" w:rsidRPr="00B742BF">
        <w:t>hird</w:t>
      </w:r>
      <w:r w:rsidR="00A17E16" w:rsidRPr="00B742BF">
        <w:t xml:space="preserve"> quarter of 2024.</w:t>
      </w:r>
      <w:r w:rsidR="008620B1" w:rsidRPr="00B742BF">
        <w:t xml:space="preserve"> </w:t>
      </w:r>
    </w:p>
    <w:p w14:paraId="2CEA33A8" w14:textId="7D7936A0" w:rsidR="006042ED" w:rsidRPr="00B742BF" w:rsidRDefault="000F06F6" w:rsidP="00B742BF">
      <w:pPr>
        <w:pStyle w:val="BodyText"/>
        <w:numPr>
          <w:ilvl w:val="0"/>
          <w:numId w:val="26"/>
        </w:numPr>
        <w:spacing w:before="0" w:after="0"/>
      </w:pPr>
      <w:r w:rsidRPr="00B742BF">
        <w:t xml:space="preserve">U.S. exports grew </w:t>
      </w:r>
      <w:r w:rsidR="00440BAE" w:rsidRPr="00B742BF">
        <w:t>4</w:t>
      </w:r>
      <w:r w:rsidRPr="00B742BF">
        <w:t>% during this period</w:t>
      </w:r>
      <w:r w:rsidR="004928D5" w:rsidRPr="00B742BF">
        <w:t>. State</w:t>
      </w:r>
      <w:r w:rsidR="00B60CE1" w:rsidRPr="00B742BF">
        <w:t xml:space="preserve"> trends</w:t>
      </w:r>
      <w:r w:rsidR="004928D5" w:rsidRPr="00B742BF">
        <w:t xml:space="preserve"> </w:t>
      </w:r>
      <w:r w:rsidR="00B60CE1" w:rsidRPr="00B742BF">
        <w:t xml:space="preserve">were </w:t>
      </w:r>
      <w:r w:rsidR="00440BAE" w:rsidRPr="00B742BF">
        <w:t>mixed</w:t>
      </w:r>
      <w:r w:rsidR="004928D5" w:rsidRPr="00B742BF">
        <w:t xml:space="preserve">, </w:t>
      </w:r>
      <w:r w:rsidR="00440BAE" w:rsidRPr="00B742BF">
        <w:t xml:space="preserve">with </w:t>
      </w:r>
      <w:r w:rsidR="004928D5" w:rsidRPr="00B742BF">
        <w:t>half</w:t>
      </w:r>
      <w:r w:rsidR="00B60CE1" w:rsidRPr="00B742BF">
        <w:t xml:space="preserve"> of states </w:t>
      </w:r>
      <w:r w:rsidR="00440BAE" w:rsidRPr="00B742BF">
        <w:t>gain</w:t>
      </w:r>
      <w:r w:rsidR="00B60CE1" w:rsidRPr="00B742BF">
        <w:t>ing</w:t>
      </w:r>
      <w:r w:rsidRPr="00B742BF">
        <w:t>.</w:t>
      </w:r>
    </w:p>
    <w:p w14:paraId="3337A3EA" w14:textId="2A472648" w:rsidR="007B41D3" w:rsidRPr="00B742BF" w:rsidRDefault="007B41D3" w:rsidP="00B742BF">
      <w:pPr>
        <w:pStyle w:val="BodyText"/>
        <w:numPr>
          <w:ilvl w:val="0"/>
          <w:numId w:val="26"/>
        </w:numPr>
        <w:spacing w:before="0" w:after="0"/>
      </w:pPr>
      <w:r w:rsidRPr="00B742BF">
        <w:t>U.S. businesses continued to face a range of challenging trade policies and tariffs.</w:t>
      </w:r>
    </w:p>
    <w:p w14:paraId="1858A6F5" w14:textId="49D3C794" w:rsidR="007B41D3" w:rsidRPr="00B742BF" w:rsidRDefault="006842CA" w:rsidP="00B742BF">
      <w:pPr>
        <w:pStyle w:val="BodyText"/>
        <w:numPr>
          <w:ilvl w:val="0"/>
          <w:numId w:val="26"/>
        </w:numPr>
        <w:spacing w:before="0" w:after="0"/>
      </w:pPr>
      <w:r w:rsidRPr="00B742BF">
        <w:t>For the first nine months of 2025, compared to the same period in 2024,</w:t>
      </w:r>
      <w:r w:rsidR="007B41D3" w:rsidRPr="00B742BF">
        <w:t xml:space="preserve"> state exports </w:t>
      </w:r>
      <w:r w:rsidRPr="00B742BF">
        <w:t>have fallen</w:t>
      </w:r>
      <w:r w:rsidR="007B41D3" w:rsidRPr="00B742BF">
        <w:t xml:space="preserve"> 13%, while U.S. exports have grown about 4%.</w:t>
      </w:r>
    </w:p>
    <w:p w14:paraId="03CA25DA" w14:textId="0372EA35" w:rsidR="007F1C4A" w:rsidRPr="00B742BF" w:rsidRDefault="007F1C4A" w:rsidP="00C9794E">
      <w:pPr>
        <w:pStyle w:val="Heading4"/>
        <w:spacing w:before="0" w:after="120"/>
        <w:rPr>
          <w:szCs w:val="24"/>
        </w:rPr>
      </w:pPr>
      <w:r w:rsidRPr="00B742BF">
        <w:rPr>
          <w:szCs w:val="24"/>
        </w:rPr>
        <w:t xml:space="preserve">Figure </w:t>
      </w:r>
      <w:r w:rsidRPr="00B742BF">
        <w:rPr>
          <w:szCs w:val="24"/>
        </w:rPr>
        <w:fldChar w:fldCharType="begin"/>
      </w:r>
      <w:r w:rsidRPr="00B742BF">
        <w:rPr>
          <w:szCs w:val="24"/>
        </w:rPr>
        <w:instrText xml:space="preserve"> SEQ Figure \* ARABIC </w:instrText>
      </w:r>
      <w:r w:rsidRPr="00B742BF">
        <w:rPr>
          <w:szCs w:val="24"/>
        </w:rPr>
        <w:fldChar w:fldCharType="separate"/>
      </w:r>
      <w:r w:rsidR="00C430F8" w:rsidRPr="00B742BF">
        <w:rPr>
          <w:szCs w:val="24"/>
        </w:rPr>
        <w:t>1</w:t>
      </w:r>
      <w:r w:rsidRPr="00B742BF">
        <w:rPr>
          <w:szCs w:val="24"/>
        </w:rPr>
        <w:fldChar w:fldCharType="end"/>
      </w:r>
      <w:r w:rsidR="00A52415" w:rsidRPr="00B742BF">
        <w:rPr>
          <w:szCs w:val="24"/>
        </w:rPr>
        <w:t>.</w:t>
      </w:r>
      <w:r w:rsidR="00F72892" w:rsidRPr="00B742BF">
        <w:rPr>
          <w:szCs w:val="24"/>
        </w:rPr>
        <w:t xml:space="preserve"> </w:t>
      </w:r>
      <w:r w:rsidR="004E1B65" w:rsidRPr="00B742BF">
        <w:rPr>
          <w:szCs w:val="24"/>
        </w:rPr>
        <w:t>Mixed Performances Across States</w:t>
      </w:r>
    </w:p>
    <w:p w14:paraId="5AE04CB7" w14:textId="7E6CA8E0" w:rsidR="00B742BF" w:rsidRPr="00B742BF" w:rsidRDefault="009F4D89" w:rsidP="009F4D89">
      <w:r w:rsidRPr="00B742BF">
        <w:rPr>
          <w:noProof/>
        </w:rPr>
        <mc:AlternateContent>
          <mc:Choice Requires="wps">
            <w:drawing>
              <wp:anchor distT="0" distB="0" distL="114300" distR="114300" simplePos="0" relativeHeight="251660800" behindDoc="0" locked="0" layoutInCell="1" allowOverlap="1" wp14:anchorId="098AB7ED" wp14:editId="4AF28D43">
                <wp:simplePos x="0" y="0"/>
                <wp:positionH relativeFrom="page">
                  <wp:posOffset>3976729</wp:posOffset>
                </wp:positionH>
                <wp:positionV relativeFrom="paragraph">
                  <wp:posOffset>1536231</wp:posOffset>
                </wp:positionV>
                <wp:extent cx="1319530" cy="250900"/>
                <wp:effectExtent l="0" t="0" r="0" b="0"/>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250900"/>
                        </a:xfrm>
                        <a:prstGeom prst="rect">
                          <a:avLst/>
                        </a:prstGeom>
                        <a:noFill/>
                        <a:ln w="9525">
                          <a:noFill/>
                          <a:miter lim="800000"/>
                          <a:headEnd/>
                          <a:tailEnd/>
                        </a:ln>
                      </wps:spPr>
                      <wps:txbx>
                        <w:txbxContent>
                          <w:p w14:paraId="3C4BE73A" w14:textId="42E6E448" w:rsidR="00CC5F28" w:rsidRPr="004873BD" w:rsidRDefault="00CC5F28" w:rsidP="000341DE">
                            <w:pPr>
                              <w:rPr>
                                <w:b/>
                                <w:bCs/>
                                <w:iCs/>
                                <w:sz w:val="18"/>
                              </w:rPr>
                            </w:pPr>
                            <w:r w:rsidRPr="004873BD">
                              <w:rPr>
                                <w:b/>
                                <w:bCs/>
                                <w:iCs/>
                                <w:sz w:val="18"/>
                              </w:rPr>
                              <w:t xml:space="preserve">Decline    </w:t>
                            </w:r>
                            <w:r w:rsidR="00BE4117" w:rsidRPr="004873BD">
                              <w:rPr>
                                <w:b/>
                                <w:bCs/>
                                <w:iCs/>
                                <w:sz w:val="18"/>
                              </w:rPr>
                              <w:t xml:space="preserve">  </w:t>
                            </w:r>
                            <w:r w:rsidRPr="004873BD">
                              <w:rPr>
                                <w:b/>
                                <w:bCs/>
                                <w:iCs/>
                                <w:sz w:val="18"/>
                              </w:rPr>
                              <w:t xml:space="preserve"> 0%   Growth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AB7ED" id="_x0000_t202" coordsize="21600,21600" o:spt="202" path="m,l,21600r21600,l21600,xe">
                <v:stroke joinstyle="miter"/>
                <v:path gradientshapeok="t" o:connecttype="rect"/>
              </v:shapetype>
              <v:shape id="Text Box 2" o:spid="_x0000_s1026" type="#_x0000_t202" alt="&quot;&quot;" style="position:absolute;margin-left:313.15pt;margin-top:120.95pt;width:103.9pt;height:19.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" filled="f" stroked="f">
                <v:textbox>
                  <w:txbxContent>
                    <w:p w14:paraId="3C4BE73A" w14:textId="42E6E448" w:rsidR="00CC5F28" w:rsidRPr="004873BD" w:rsidRDefault="00CC5F28" w:rsidP="000341DE">
                      <w:pPr>
                        <w:rPr>
                          <w:b/>
                          <w:bCs/>
                          <w:iCs/>
                          <w:sz w:val="18"/>
                        </w:rPr>
                      </w:pPr>
                      <w:r w:rsidRPr="004873BD">
                        <w:rPr>
                          <w:b/>
                          <w:bCs/>
                          <w:iCs/>
                          <w:sz w:val="18"/>
                        </w:rPr>
                        <w:t xml:space="preserve">Decline    </w:t>
                      </w:r>
                      <w:r w:rsidR="00BE4117" w:rsidRPr="004873BD">
                        <w:rPr>
                          <w:b/>
                          <w:bCs/>
                          <w:iCs/>
                          <w:sz w:val="18"/>
                        </w:rPr>
                        <w:t xml:space="preserve">  </w:t>
                      </w:r>
                      <w:r w:rsidRPr="004873BD">
                        <w:rPr>
                          <w:b/>
                          <w:bCs/>
                          <w:iCs/>
                          <w:sz w:val="18"/>
                        </w:rPr>
                        <w:t xml:space="preserve"> 0%   Growth</w:t>
                      </w:r>
                    </w:p>
                  </w:txbxContent>
                </v:textbox>
                <w10:wrap anchorx="page"/>
              </v:shape>
            </w:pict>
          </mc:Fallback>
        </mc:AlternateContent>
      </w:r>
      <w:r w:rsidRPr="00B742BF">
        <w:rPr>
          <w:noProof/>
        </w:rPr>
        <mc:AlternateContent>
          <mc:Choice Requires="wps">
            <w:drawing>
              <wp:anchor distT="0" distB="0" distL="114300" distR="114300" simplePos="0" relativeHeight="251658752" behindDoc="0" locked="0" layoutInCell="1" allowOverlap="1" wp14:anchorId="24E76B40" wp14:editId="42FFD352">
                <wp:simplePos x="0" y="0"/>
                <wp:positionH relativeFrom="margin">
                  <wp:posOffset>5874347</wp:posOffset>
                </wp:positionH>
                <wp:positionV relativeFrom="paragraph">
                  <wp:posOffset>1202353</wp:posOffset>
                </wp:positionV>
                <wp:extent cx="863600" cy="473725"/>
                <wp:effectExtent l="0" t="0" r="0" b="2540"/>
                <wp:wrapNone/>
                <wp:docPr id="307" name="Text Box 2" descr="call out box:&#10;MN -19%&#10;US +6%">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473725"/>
                        </a:xfrm>
                        <a:prstGeom prst="rect">
                          <a:avLst/>
                        </a:prstGeom>
                        <a:noFill/>
                        <a:ln w="9525">
                          <a:noFill/>
                          <a:miter lim="800000"/>
                          <a:headEnd/>
                          <a:tailEnd/>
                        </a:ln>
                      </wps:spPr>
                      <wps:txbx>
                        <w:txbxContent>
                          <w:p w14:paraId="60A296D5" w14:textId="22864759" w:rsidR="007F1C4A" w:rsidRPr="00044ED9" w:rsidRDefault="007F1C4A" w:rsidP="007F1C4A">
                            <w:pPr>
                              <w:rPr>
                                <w:b/>
                                <w:i/>
                                <w:szCs w:val="24"/>
                              </w:rPr>
                            </w:pPr>
                            <w:r w:rsidRPr="00044ED9">
                              <w:rPr>
                                <w:b/>
                                <w:i/>
                                <w:szCs w:val="24"/>
                              </w:rPr>
                              <w:t>M</w:t>
                            </w:r>
                            <w:r w:rsidR="0065603B" w:rsidRPr="00044ED9">
                              <w:rPr>
                                <w:b/>
                                <w:i/>
                                <w:szCs w:val="24"/>
                              </w:rPr>
                              <w:t xml:space="preserve">N:  </w:t>
                            </w:r>
                            <w:r w:rsidR="000F06F6">
                              <w:rPr>
                                <w:b/>
                                <w:i/>
                                <w:szCs w:val="24"/>
                              </w:rPr>
                              <w:t>-</w:t>
                            </w:r>
                            <w:r w:rsidR="004928D5">
                              <w:rPr>
                                <w:b/>
                                <w:i/>
                                <w:szCs w:val="24"/>
                              </w:rPr>
                              <w:t>1</w:t>
                            </w:r>
                            <w:r w:rsidR="007B41D3">
                              <w:rPr>
                                <w:b/>
                                <w:i/>
                                <w:szCs w:val="24"/>
                              </w:rPr>
                              <w:t>4</w:t>
                            </w:r>
                            <w:r w:rsidRPr="00044ED9">
                              <w:rPr>
                                <w:b/>
                                <w:i/>
                                <w:szCs w:val="24"/>
                              </w:rPr>
                              <w:t>%</w:t>
                            </w:r>
                          </w:p>
                          <w:p w14:paraId="588145EA" w14:textId="0BE06C0F" w:rsidR="007F1C4A" w:rsidRPr="00044ED9" w:rsidRDefault="00293DCF" w:rsidP="007F1C4A">
                            <w:pPr>
                              <w:rPr>
                                <w:b/>
                                <w:i/>
                                <w:szCs w:val="24"/>
                              </w:rPr>
                            </w:pPr>
                            <w:r w:rsidRPr="00044ED9">
                              <w:rPr>
                                <w:b/>
                                <w:i/>
                                <w:szCs w:val="24"/>
                              </w:rPr>
                              <w:t xml:space="preserve">U.S.: </w:t>
                            </w:r>
                            <w:r w:rsidR="00806897">
                              <w:rPr>
                                <w:b/>
                                <w:i/>
                                <w:szCs w:val="24"/>
                              </w:rPr>
                              <w:t xml:space="preserve"> </w:t>
                            </w:r>
                            <w:r w:rsidR="00644080">
                              <w:rPr>
                                <w:b/>
                                <w:i/>
                                <w:szCs w:val="24"/>
                              </w:rPr>
                              <w:t>+</w:t>
                            </w:r>
                            <w:r w:rsidR="007B41D3">
                              <w:rPr>
                                <w:b/>
                                <w:i/>
                                <w:szCs w:val="24"/>
                              </w:rPr>
                              <w:t>4</w:t>
                            </w:r>
                            <w:r w:rsidR="007F1C4A" w:rsidRPr="00044ED9">
                              <w:rPr>
                                <w:b/>
                                <w:i/>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76B40" id="_x0000_s1027" type="#_x0000_t202" alt="call out box:&#10;MN -19%&#10;US +6%" style="position:absolute;margin-left:462.55pt;margin-top:94.65pt;width:68pt;height:37.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" filled="f" stroked="f">
                <v:textbox>
                  <w:txbxContent>
                    <w:p w14:paraId="60A296D5" w14:textId="22864759" w:rsidR="007F1C4A" w:rsidRPr="00044ED9" w:rsidRDefault="007F1C4A" w:rsidP="007F1C4A">
                      <w:pPr>
                        <w:rPr>
                          <w:b/>
                          <w:i/>
                          <w:szCs w:val="24"/>
                        </w:rPr>
                      </w:pPr>
                      <w:r w:rsidRPr="00044ED9">
                        <w:rPr>
                          <w:b/>
                          <w:i/>
                          <w:szCs w:val="24"/>
                        </w:rPr>
                        <w:t>M</w:t>
                      </w:r>
                      <w:r w:rsidR="0065603B" w:rsidRPr="00044ED9">
                        <w:rPr>
                          <w:b/>
                          <w:i/>
                          <w:szCs w:val="24"/>
                        </w:rPr>
                        <w:t xml:space="preserve">N:  </w:t>
                      </w:r>
                      <w:r w:rsidR="000F06F6">
                        <w:rPr>
                          <w:b/>
                          <w:i/>
                          <w:szCs w:val="24"/>
                        </w:rPr>
                        <w:t>-</w:t>
                      </w:r>
                      <w:r w:rsidR="004928D5">
                        <w:rPr>
                          <w:b/>
                          <w:i/>
                          <w:szCs w:val="24"/>
                        </w:rPr>
                        <w:t>1</w:t>
                      </w:r>
                      <w:r w:rsidR="007B41D3">
                        <w:rPr>
                          <w:b/>
                          <w:i/>
                          <w:szCs w:val="24"/>
                        </w:rPr>
                        <w:t>4</w:t>
                      </w:r>
                      <w:r w:rsidRPr="00044ED9">
                        <w:rPr>
                          <w:b/>
                          <w:i/>
                          <w:szCs w:val="24"/>
                        </w:rPr>
                        <w:t>%</w:t>
                      </w:r>
                    </w:p>
                    <w:p w14:paraId="588145EA" w14:textId="0BE06C0F" w:rsidR="007F1C4A" w:rsidRPr="00044ED9" w:rsidRDefault="00293DCF" w:rsidP="007F1C4A">
                      <w:pPr>
                        <w:rPr>
                          <w:b/>
                          <w:i/>
                          <w:szCs w:val="24"/>
                        </w:rPr>
                      </w:pPr>
                      <w:r w:rsidRPr="00044ED9">
                        <w:rPr>
                          <w:b/>
                          <w:i/>
                          <w:szCs w:val="24"/>
                        </w:rPr>
                        <w:t xml:space="preserve">U.S.: </w:t>
                      </w:r>
                      <w:r w:rsidR="00806897">
                        <w:rPr>
                          <w:b/>
                          <w:i/>
                          <w:szCs w:val="24"/>
                        </w:rPr>
                        <w:t xml:space="preserve"> </w:t>
                      </w:r>
                      <w:r w:rsidR="00644080">
                        <w:rPr>
                          <w:b/>
                          <w:i/>
                          <w:szCs w:val="24"/>
                        </w:rPr>
                        <w:t>+</w:t>
                      </w:r>
                      <w:r w:rsidR="007B41D3">
                        <w:rPr>
                          <w:b/>
                          <w:i/>
                          <w:szCs w:val="24"/>
                        </w:rPr>
                        <w:t>4</w:t>
                      </w:r>
                      <w:r w:rsidR="007F1C4A" w:rsidRPr="00044ED9">
                        <w:rPr>
                          <w:b/>
                          <w:i/>
                          <w:szCs w:val="24"/>
                        </w:rPr>
                        <w:t>%</w:t>
                      </w:r>
                    </w:p>
                  </w:txbxContent>
                </v:textbox>
                <w10:wrap anchorx="margin"/>
              </v:shape>
            </w:pict>
          </mc:Fallback>
        </mc:AlternateContent>
      </w:r>
      <w:r w:rsidR="00B742BF">
        <w:rPr>
          <w:noProof/>
        </w:rPr>
        <w:drawing>
          <wp:inline distT="0" distB="0" distL="0" distR="0" wp14:anchorId="151CA8A4" wp14:editId="0BBF8523">
            <wp:extent cx="3139440" cy="1773555"/>
            <wp:effectExtent l="0" t="0" r="3810" b="0"/>
            <wp:docPr id="2141643688" name="Picture 1" descr="U.S. map of trends in 2025-q3 since 2024-q3. Positive growth states are in green. Declining growth states in yellow.&#10;State Percent Change 2024-Q3 to 2025-Q3&#10;Minnesota -14%&#10;United States +4%&#10;Alabama -6%&#10;Alaska 21%&#10;Arizona 57%&#10;Arkansas 3%&#10;California 0%&#10;Colorado 1%&#10;Connecticut 3%&#10;Delaware 3%&#10;Dist of Columbia 16%&#10;Florida 11%&#10;Georgia 10%&#10;Hawaii -70%&#10;Idaho 17%&#10;Illinois -8%&#10;Indiana 38%&#10;Iowa 1%&#10;Kansas 6%&#10;Kentucky 2%&#10;Louisiana 15%&#10;Maine -11%&#10;Maryland -6%&#10;Massachusetts 13%&#10;Michigan -9%&#10;Mississippi -2%&#10;Missouri -4%&#10;Montana -19%&#10;Nebraska -2%&#10;Nevada 31%&#10;New Hampshire 10%&#10;New Jersey 9%&#10;New Mexico -28%&#10;New York 31%&#10;North Carolina 5%&#10;North Dakota 31%&#10;Ohio -5%&#10;Oklahoma -9%&#10;Oregon -37%&#10;Pennsylvania -5%&#10;Rhode Island 30%&#10;South Carolina 4%&#10;South Dakota -17%&#10;Tennessee -3%&#10;Texas -3%&#10;Utah 3%&#10;Vermont -6%&#10;Virginia -15%&#10;Washington 27%&#10;West Virginia -13%&#10;Wisconsin -3%&#10;Wyom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43688" name="Picture 1" descr="U.S. map of trends in 2025-q3 since 2024-q3. Positive growth states are in green. Declining growth states in yellow.&#10;State Percent Change 2024-Q3 to 2025-Q3&#10;Minnesota -14%&#10;United States +4%&#10;Alabama -6%&#10;Alaska 21%&#10;Arizona 57%&#10;Arkansas 3%&#10;California 0%&#10;Colorado 1%&#10;Connecticut 3%&#10;Delaware 3%&#10;Dist of Columbia 16%&#10;Florida 11%&#10;Georgia 10%&#10;Hawaii -70%&#10;Idaho 17%&#10;Illinois -8%&#10;Indiana 38%&#10;Iowa 1%&#10;Kansas 6%&#10;Kentucky 2%&#10;Louisiana 15%&#10;Maine -11%&#10;Maryland -6%&#10;Massachusetts 13%&#10;Michigan -9%&#10;Mississippi -2%&#10;Missouri -4%&#10;Montana -19%&#10;Nebraska -2%&#10;Nevada 31%&#10;New Hampshire 10%&#10;New Jersey 9%&#10;New Mexico -28%&#10;New York 31%&#10;North Carolina 5%&#10;North Dakota 31%&#10;Ohio -5%&#10;Oklahoma -9%&#10;Oregon -37%&#10;Pennsylvania -5%&#10;Rhode Island 30%&#10;South Carolina 4%&#10;South Dakota -17%&#10;Tennessee -3%&#10;Texas -3%&#10;Utah 3%&#10;Vermont -6%&#10;Virginia -15%&#10;Washington 27%&#10;West Virginia -13%&#10;Wisconsin -3%&#10;Wyoming -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121" t="9386" r="9638" b="2855"/>
                    <a:stretch/>
                  </pic:blipFill>
                  <pic:spPr bwMode="auto">
                    <a:xfrm>
                      <a:off x="0" y="0"/>
                      <a:ext cx="3165582" cy="1788323"/>
                    </a:xfrm>
                    <a:prstGeom prst="rect">
                      <a:avLst/>
                    </a:prstGeom>
                    <a:noFill/>
                    <a:ln>
                      <a:noFill/>
                    </a:ln>
                    <a:extLst>
                      <a:ext uri="{53640926-AAD7-44D8-BBD7-CCE9431645EC}">
                        <a14:shadowObscured xmlns:a14="http://schemas.microsoft.com/office/drawing/2010/main"/>
                      </a:ext>
                    </a:extLst>
                  </pic:spPr>
                </pic:pic>
              </a:graphicData>
            </a:graphic>
          </wp:inline>
        </w:drawing>
      </w:r>
    </w:p>
    <w:p w14:paraId="6B23B2F3" w14:textId="2C0BA6C6" w:rsidR="00BE4DAD" w:rsidRPr="00B742BF" w:rsidRDefault="00A52415" w:rsidP="009F4D89">
      <w:pPr>
        <w:spacing w:line="271" w:lineRule="auto"/>
        <w:rPr>
          <w:rFonts w:ascii="Arial Narrow" w:hAnsi="Arial Narrow"/>
          <w:sz w:val="2"/>
          <w:szCs w:val="2"/>
        </w:rPr>
        <w:sectPr w:rsidR="00BE4DAD" w:rsidRPr="00B742BF" w:rsidSect="00FE15EB">
          <w:footnotePr>
            <w:numRestart w:val="eachSect"/>
          </w:footnotePr>
          <w:endnotePr>
            <w:numFmt w:val="decimal"/>
          </w:endnotePr>
          <w:type w:val="continuous"/>
          <w:pgSz w:w="12240" w:h="15840" w:code="1"/>
          <w:pgMar w:top="864" w:right="1008" w:bottom="864" w:left="1008" w:header="720" w:footer="720" w:gutter="0"/>
          <w:cols w:num="2" w:space="450"/>
          <w:titlePg/>
          <w:docGrid w:linePitch="299"/>
        </w:sectPr>
      </w:pPr>
      <w:r w:rsidRPr="00B742BF">
        <w:rPr>
          <w:rFonts w:ascii="Arial Narrow" w:hAnsi="Arial Narrow"/>
          <w:noProof/>
          <w:sz w:val="2"/>
          <w:szCs w:val="2"/>
        </w:rPr>
        <w:drawing>
          <wp:inline distT="0" distB="0" distL="0" distR="0" wp14:anchorId="5C21AFCD" wp14:editId="29095EE2">
            <wp:extent cx="1126069" cy="160867"/>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41379" b="24138"/>
                    <a:stretch/>
                  </pic:blipFill>
                  <pic:spPr bwMode="auto">
                    <a:xfrm>
                      <a:off x="0" y="0"/>
                      <a:ext cx="1132027" cy="161718"/>
                    </a:xfrm>
                    <a:prstGeom prst="rect">
                      <a:avLst/>
                    </a:prstGeom>
                    <a:noFill/>
                    <a:ln>
                      <a:noFill/>
                    </a:ln>
                    <a:extLst>
                      <a:ext uri="{53640926-AAD7-44D8-BBD7-CCE9431645EC}">
                        <a14:shadowObscured xmlns:a14="http://schemas.microsoft.com/office/drawing/2010/main"/>
                      </a:ext>
                    </a:extLst>
                  </pic:spPr>
                </pic:pic>
              </a:graphicData>
            </a:graphic>
          </wp:inline>
        </w:drawing>
      </w:r>
    </w:p>
    <w:p w14:paraId="3B7C68EA" w14:textId="758744E6" w:rsidR="004B25EA" w:rsidRPr="00B742BF" w:rsidRDefault="006842CA" w:rsidP="00A17E16">
      <w:pPr>
        <w:pStyle w:val="Heading2"/>
        <w:spacing w:before="120"/>
        <w:rPr>
          <w:rFonts w:cstheme="minorHAnsi"/>
          <w:i/>
          <w:iCs/>
          <w:color w:val="auto"/>
          <w:sz w:val="28"/>
          <w:szCs w:val="28"/>
        </w:rPr>
      </w:pPr>
      <w:r w:rsidRPr="00B742BF">
        <w:rPr>
          <w:rFonts w:cstheme="minorHAnsi"/>
          <w:i/>
          <w:iCs/>
          <w:color w:val="auto"/>
          <w:sz w:val="28"/>
          <w:szCs w:val="28"/>
        </w:rPr>
        <w:t>Lar</w:t>
      </w:r>
      <w:r w:rsidR="001F31B5" w:rsidRPr="00B742BF">
        <w:rPr>
          <w:rFonts w:cstheme="minorHAnsi"/>
          <w:i/>
          <w:iCs/>
          <w:color w:val="auto"/>
          <w:sz w:val="28"/>
          <w:szCs w:val="28"/>
        </w:rPr>
        <w:t>ge Declines to North America and Asia Offset Strong Growth</w:t>
      </w:r>
      <w:r w:rsidR="0013711B" w:rsidRPr="00B742BF">
        <w:rPr>
          <w:rFonts w:cstheme="minorHAnsi"/>
          <w:i/>
          <w:iCs/>
          <w:color w:val="auto"/>
          <w:sz w:val="28"/>
          <w:szCs w:val="28"/>
        </w:rPr>
        <w:t xml:space="preserve"> in Europe</w:t>
      </w:r>
      <w:r w:rsidR="001F31B5" w:rsidRPr="00B742BF">
        <w:rPr>
          <w:rFonts w:cstheme="minorHAnsi"/>
          <w:i/>
          <w:iCs/>
          <w:color w:val="auto"/>
          <w:sz w:val="28"/>
          <w:szCs w:val="28"/>
        </w:rPr>
        <w:t>, Middle East</w:t>
      </w:r>
    </w:p>
    <w:p w14:paraId="5EEE3C86" w14:textId="66FBEE06" w:rsidR="007B41D3" w:rsidRPr="00B742BF" w:rsidRDefault="00B74AC4" w:rsidP="00163D3F">
      <w:pPr>
        <w:pStyle w:val="BodyText"/>
        <w:numPr>
          <w:ilvl w:val="0"/>
          <w:numId w:val="27"/>
        </w:numPr>
        <w:spacing w:before="0" w:after="0"/>
        <w:rPr>
          <w:b/>
          <w:bCs/>
        </w:rPr>
      </w:pPr>
      <w:r w:rsidRPr="00B742BF">
        <w:t>E</w:t>
      </w:r>
      <w:r w:rsidR="00547123" w:rsidRPr="00B742BF">
        <w:t>xports</w:t>
      </w:r>
      <w:r w:rsidR="00326887" w:rsidRPr="00B742BF">
        <w:t xml:space="preserve"> </w:t>
      </w:r>
      <w:r w:rsidR="00547123" w:rsidRPr="00B742BF">
        <w:t>to</w:t>
      </w:r>
      <w:r w:rsidR="00603FEE" w:rsidRPr="00B742BF">
        <w:t xml:space="preserve"> </w:t>
      </w:r>
      <w:r w:rsidR="00603FEE" w:rsidRPr="00B742BF">
        <w:rPr>
          <w:b/>
          <w:bCs/>
        </w:rPr>
        <w:t>North America</w:t>
      </w:r>
      <w:r w:rsidR="00603FEE" w:rsidRPr="00B742BF">
        <w:t xml:space="preserve"> </w:t>
      </w:r>
      <w:r w:rsidR="00326887" w:rsidRPr="00B742BF">
        <w:t>dropp</w:t>
      </w:r>
      <w:r w:rsidR="007B41D3" w:rsidRPr="00B742BF">
        <w:t>ed</w:t>
      </w:r>
      <w:r w:rsidR="00326887" w:rsidRPr="00B742BF">
        <w:t xml:space="preserve"> 26% to </w:t>
      </w:r>
      <w:r w:rsidR="00635523" w:rsidRPr="00B742BF">
        <w:t>$</w:t>
      </w:r>
      <w:r w:rsidR="00292BB8" w:rsidRPr="00B742BF">
        <w:t>2.</w:t>
      </w:r>
      <w:r w:rsidR="001F31B5" w:rsidRPr="00B742BF">
        <w:t>2</w:t>
      </w:r>
      <w:r w:rsidR="00635523" w:rsidRPr="00B742BF">
        <w:t xml:space="preserve"> billion</w:t>
      </w:r>
      <w:r w:rsidR="00547123" w:rsidRPr="00B742BF">
        <w:t>,</w:t>
      </w:r>
      <w:r w:rsidR="00DB439A" w:rsidRPr="00B742BF">
        <w:t xml:space="preserve"> </w:t>
      </w:r>
      <w:r w:rsidR="009C1206" w:rsidRPr="00B742BF">
        <w:t>contract</w:t>
      </w:r>
      <w:r w:rsidR="007B41D3" w:rsidRPr="00B742BF">
        <w:t>ing</w:t>
      </w:r>
      <w:r w:rsidR="008F2A32" w:rsidRPr="00B742BF">
        <w:t xml:space="preserve"> to </w:t>
      </w:r>
      <w:r w:rsidR="00547123" w:rsidRPr="00B742BF">
        <w:rPr>
          <w:b/>
          <w:bCs/>
        </w:rPr>
        <w:t>Canada</w:t>
      </w:r>
      <w:r w:rsidR="00547123" w:rsidRPr="00B742BF">
        <w:t xml:space="preserve"> (down </w:t>
      </w:r>
      <w:r w:rsidR="001F31B5" w:rsidRPr="00B742BF">
        <w:t>32</w:t>
      </w:r>
      <w:r w:rsidR="00547123" w:rsidRPr="00B742BF">
        <w:t>%</w:t>
      </w:r>
      <w:r w:rsidR="00292BB8" w:rsidRPr="00B742BF">
        <w:t>)</w:t>
      </w:r>
      <w:r w:rsidR="008F2A32" w:rsidRPr="00B742BF">
        <w:t xml:space="preserve"> and </w:t>
      </w:r>
      <w:r w:rsidR="008F2A32" w:rsidRPr="00B742BF">
        <w:rPr>
          <w:b/>
          <w:bCs/>
        </w:rPr>
        <w:t xml:space="preserve">Mexico </w:t>
      </w:r>
      <w:r w:rsidR="008F2A32" w:rsidRPr="00B742BF">
        <w:t xml:space="preserve">(down </w:t>
      </w:r>
      <w:r w:rsidR="001F31B5" w:rsidRPr="00B742BF">
        <w:t>15</w:t>
      </w:r>
      <w:r w:rsidR="008F2A32" w:rsidRPr="00B742BF">
        <w:t>%).</w:t>
      </w:r>
      <w:r w:rsidR="00DB439A" w:rsidRPr="00B742BF">
        <w:t xml:space="preserve"> </w:t>
      </w:r>
      <w:r w:rsidR="003D433E" w:rsidRPr="00B742BF">
        <w:t xml:space="preserve">Plunging exports </w:t>
      </w:r>
      <w:r w:rsidR="007B41D3" w:rsidRPr="00B742BF">
        <w:t>were concentrated in</w:t>
      </w:r>
      <w:r w:rsidR="003D433E" w:rsidRPr="00B742BF">
        <w:t xml:space="preserve"> </w:t>
      </w:r>
      <w:r w:rsidR="003D433E" w:rsidRPr="00B742BF">
        <w:rPr>
          <w:b/>
          <w:bCs/>
        </w:rPr>
        <w:t>mineral fuels</w:t>
      </w:r>
      <w:r w:rsidR="003D433E" w:rsidRPr="00B742BF">
        <w:t xml:space="preserve"> </w:t>
      </w:r>
      <w:r w:rsidR="007B41D3" w:rsidRPr="00B742BF">
        <w:t>for</w:t>
      </w:r>
      <w:r w:rsidR="00FE551A" w:rsidRPr="00B742BF">
        <w:t xml:space="preserve"> Canada</w:t>
      </w:r>
      <w:r w:rsidR="007B41D3" w:rsidRPr="00B742BF">
        <w:t>, but more widespread for Mexico</w:t>
      </w:r>
      <w:r w:rsidR="003D433E" w:rsidRPr="00B742BF">
        <w:t xml:space="preserve">. </w:t>
      </w:r>
    </w:p>
    <w:p w14:paraId="09102A02" w14:textId="7D0DE65E" w:rsidR="00F5610C" w:rsidRPr="00B742BF" w:rsidRDefault="00F95855" w:rsidP="00163D3F">
      <w:pPr>
        <w:pStyle w:val="BodyText"/>
        <w:numPr>
          <w:ilvl w:val="0"/>
          <w:numId w:val="27"/>
        </w:numPr>
        <w:spacing w:before="0" w:after="0"/>
        <w:rPr>
          <w:b/>
          <w:bCs/>
        </w:rPr>
      </w:pPr>
      <w:r w:rsidRPr="00B742BF">
        <w:t xml:space="preserve">Minnesota </w:t>
      </w:r>
      <w:r w:rsidR="009C1206" w:rsidRPr="00B742BF">
        <w:t>sales</w:t>
      </w:r>
      <w:r w:rsidR="008F2A32" w:rsidRPr="00B742BF">
        <w:t xml:space="preserve"> </w:t>
      </w:r>
      <w:r w:rsidR="006D017C" w:rsidRPr="00B742BF">
        <w:t xml:space="preserve">to </w:t>
      </w:r>
      <w:r w:rsidR="007405DC" w:rsidRPr="00B742BF">
        <w:rPr>
          <w:b/>
          <w:bCs/>
        </w:rPr>
        <w:t>Asia</w:t>
      </w:r>
      <w:r w:rsidR="006104C8" w:rsidRPr="00B742BF">
        <w:rPr>
          <w:b/>
          <w:bCs/>
        </w:rPr>
        <w:t xml:space="preserve"> </w:t>
      </w:r>
      <w:r w:rsidR="00786AC7" w:rsidRPr="00B742BF">
        <w:t>($1.6 billion</w:t>
      </w:r>
      <w:r w:rsidR="007B41D3" w:rsidRPr="00B742BF">
        <w:t>, down 15%</w:t>
      </w:r>
      <w:r w:rsidR="008F2A32" w:rsidRPr="00B742BF">
        <w:t>)</w:t>
      </w:r>
      <w:r w:rsidR="007B41D3" w:rsidRPr="00B742BF">
        <w:t xml:space="preserve"> also shrank.</w:t>
      </w:r>
      <w:r w:rsidR="009C1206" w:rsidRPr="00B742BF">
        <w:t xml:space="preserve"> </w:t>
      </w:r>
      <w:r w:rsidR="007B41D3" w:rsidRPr="00B742BF">
        <w:t>E</w:t>
      </w:r>
      <w:r w:rsidR="009C1206" w:rsidRPr="00B742BF">
        <w:t xml:space="preserve">xports to leading </w:t>
      </w:r>
      <w:r w:rsidR="006842CA" w:rsidRPr="00B742BF">
        <w:t xml:space="preserve">Asian </w:t>
      </w:r>
      <w:r w:rsidR="009C1206" w:rsidRPr="00B742BF">
        <w:t>markets buckled</w:t>
      </w:r>
      <w:r w:rsidR="006842CA" w:rsidRPr="00B742BF">
        <w:t xml:space="preserve"> </w:t>
      </w:r>
      <w:r w:rsidR="006842CA" w:rsidRPr="00B742BF">
        <w:rPr>
          <w:bCs/>
        </w:rPr>
        <w:t xml:space="preserve">– </w:t>
      </w:r>
      <w:r w:rsidR="009C1206" w:rsidRPr="00B742BF">
        <w:t>such as to</w:t>
      </w:r>
      <w:r w:rsidR="00786AC7" w:rsidRPr="00B742BF">
        <w:t xml:space="preserve"> </w:t>
      </w:r>
      <w:r w:rsidR="00786AC7" w:rsidRPr="00B742BF">
        <w:rPr>
          <w:b/>
        </w:rPr>
        <w:t>China</w:t>
      </w:r>
      <w:r w:rsidR="00635523" w:rsidRPr="00B742BF">
        <w:rPr>
          <w:b/>
        </w:rPr>
        <w:t xml:space="preserve"> </w:t>
      </w:r>
      <w:r w:rsidR="00635523" w:rsidRPr="00B742BF">
        <w:rPr>
          <w:bCs/>
        </w:rPr>
        <w:t>(</w:t>
      </w:r>
      <w:r w:rsidR="00786AC7" w:rsidRPr="00B742BF">
        <w:rPr>
          <w:bCs/>
        </w:rPr>
        <w:t>down</w:t>
      </w:r>
      <w:r w:rsidR="00635523" w:rsidRPr="00B742BF">
        <w:rPr>
          <w:bCs/>
        </w:rPr>
        <w:t xml:space="preserve"> </w:t>
      </w:r>
      <w:r w:rsidR="008F2A32" w:rsidRPr="00B742BF">
        <w:rPr>
          <w:bCs/>
        </w:rPr>
        <w:t>2</w:t>
      </w:r>
      <w:r w:rsidR="009C1206" w:rsidRPr="00B742BF">
        <w:rPr>
          <w:bCs/>
        </w:rPr>
        <w:t>4</w:t>
      </w:r>
      <w:r w:rsidR="00635523" w:rsidRPr="00B742BF">
        <w:rPr>
          <w:bCs/>
        </w:rPr>
        <w:t xml:space="preserve">%), </w:t>
      </w:r>
      <w:r w:rsidR="009C1206" w:rsidRPr="00B742BF">
        <w:rPr>
          <w:b/>
        </w:rPr>
        <w:t xml:space="preserve">Japan </w:t>
      </w:r>
      <w:r w:rsidR="009C1206" w:rsidRPr="00B742BF">
        <w:rPr>
          <w:bCs/>
        </w:rPr>
        <w:t xml:space="preserve">(drop 20%), </w:t>
      </w:r>
      <w:r w:rsidR="008F2A32" w:rsidRPr="00B742BF">
        <w:rPr>
          <w:b/>
        </w:rPr>
        <w:t>Taiwan</w:t>
      </w:r>
      <w:r w:rsidR="00786AC7" w:rsidRPr="00B742BF">
        <w:rPr>
          <w:b/>
        </w:rPr>
        <w:t xml:space="preserve"> </w:t>
      </w:r>
      <w:r w:rsidR="00786AC7" w:rsidRPr="00B742BF">
        <w:rPr>
          <w:bCs/>
        </w:rPr>
        <w:t>(down 3</w:t>
      </w:r>
      <w:r w:rsidR="009C1206" w:rsidRPr="00B742BF">
        <w:rPr>
          <w:bCs/>
        </w:rPr>
        <w:t>1</w:t>
      </w:r>
      <w:r w:rsidR="00786AC7" w:rsidRPr="00B742BF">
        <w:rPr>
          <w:bCs/>
        </w:rPr>
        <w:t>%)</w:t>
      </w:r>
      <w:r w:rsidR="008F2A32" w:rsidRPr="00B742BF">
        <w:rPr>
          <w:bCs/>
        </w:rPr>
        <w:t xml:space="preserve"> and</w:t>
      </w:r>
      <w:r w:rsidR="00786AC7" w:rsidRPr="00B742BF">
        <w:rPr>
          <w:bCs/>
        </w:rPr>
        <w:t xml:space="preserve"> </w:t>
      </w:r>
      <w:r w:rsidR="009C1206" w:rsidRPr="00B742BF">
        <w:rPr>
          <w:b/>
        </w:rPr>
        <w:t xml:space="preserve">Malaysia </w:t>
      </w:r>
      <w:r w:rsidR="009C1206" w:rsidRPr="00B742BF">
        <w:rPr>
          <w:bCs/>
        </w:rPr>
        <w:t>(</w:t>
      </w:r>
      <w:r w:rsidR="006842CA" w:rsidRPr="00B742BF">
        <w:rPr>
          <w:bCs/>
        </w:rPr>
        <w:t xml:space="preserve">down </w:t>
      </w:r>
      <w:r w:rsidR="009C1206" w:rsidRPr="00B742BF">
        <w:rPr>
          <w:bCs/>
        </w:rPr>
        <w:t>25%)</w:t>
      </w:r>
      <w:r w:rsidR="006842CA" w:rsidRPr="00B742BF">
        <w:rPr>
          <w:bCs/>
        </w:rPr>
        <w:t>, in contrast to</w:t>
      </w:r>
      <w:r w:rsidR="005558ED" w:rsidRPr="00B742BF">
        <w:rPr>
          <w:bCs/>
        </w:rPr>
        <w:t xml:space="preserve"> </w:t>
      </w:r>
      <w:r w:rsidR="006842CA" w:rsidRPr="00B742BF">
        <w:rPr>
          <w:bCs/>
        </w:rPr>
        <w:t xml:space="preserve">impressive </w:t>
      </w:r>
      <w:r w:rsidR="00163D3F">
        <w:rPr>
          <w:bCs/>
        </w:rPr>
        <w:t>export</w:t>
      </w:r>
      <w:r w:rsidR="006842CA" w:rsidRPr="00B742BF">
        <w:rPr>
          <w:bCs/>
        </w:rPr>
        <w:t xml:space="preserve"> performances</w:t>
      </w:r>
      <w:r w:rsidR="00163D3F">
        <w:rPr>
          <w:bCs/>
        </w:rPr>
        <w:t xml:space="preserve"> by</w:t>
      </w:r>
      <w:r w:rsidR="006842CA" w:rsidRPr="00B742BF">
        <w:rPr>
          <w:b/>
        </w:rPr>
        <w:t xml:space="preserve"> </w:t>
      </w:r>
      <w:r w:rsidR="005558ED" w:rsidRPr="00B742BF">
        <w:rPr>
          <w:b/>
        </w:rPr>
        <w:t>India</w:t>
      </w:r>
      <w:r w:rsidR="005558ED" w:rsidRPr="00B742BF">
        <w:rPr>
          <w:bCs/>
        </w:rPr>
        <w:t xml:space="preserve"> (</w:t>
      </w:r>
      <w:r w:rsidR="00224DC4" w:rsidRPr="00B742BF">
        <w:rPr>
          <w:bCs/>
        </w:rPr>
        <w:t xml:space="preserve">$104 million, </w:t>
      </w:r>
      <w:r w:rsidR="005558ED" w:rsidRPr="00B742BF">
        <w:rPr>
          <w:bCs/>
        </w:rPr>
        <w:t xml:space="preserve">up 52%) and </w:t>
      </w:r>
      <w:r w:rsidR="005558ED" w:rsidRPr="00B742BF">
        <w:rPr>
          <w:b/>
        </w:rPr>
        <w:t xml:space="preserve">Singapore </w:t>
      </w:r>
      <w:r w:rsidR="005558ED" w:rsidRPr="00B742BF">
        <w:rPr>
          <w:bCs/>
        </w:rPr>
        <w:t>(</w:t>
      </w:r>
      <w:r w:rsidR="00224DC4" w:rsidRPr="00B742BF">
        <w:rPr>
          <w:bCs/>
        </w:rPr>
        <w:t xml:space="preserve">$111 million, </w:t>
      </w:r>
      <w:r w:rsidR="005558ED" w:rsidRPr="00B742BF">
        <w:rPr>
          <w:bCs/>
        </w:rPr>
        <w:t>up 21%).</w:t>
      </w:r>
    </w:p>
    <w:p w14:paraId="7BAF209A" w14:textId="7A4AE05C" w:rsidR="005558ED" w:rsidRPr="00B742BF" w:rsidRDefault="005558ED" w:rsidP="00163D3F">
      <w:pPr>
        <w:pStyle w:val="BodyText"/>
        <w:numPr>
          <w:ilvl w:val="0"/>
          <w:numId w:val="27"/>
        </w:numPr>
        <w:spacing w:before="0" w:after="0"/>
        <w:rPr>
          <w:b/>
          <w:bCs/>
        </w:rPr>
      </w:pPr>
      <w:r w:rsidRPr="00B742BF">
        <w:t>Sales to</w:t>
      </w:r>
      <w:r w:rsidR="009C1206" w:rsidRPr="00B742BF">
        <w:t xml:space="preserve"> </w:t>
      </w:r>
      <w:r w:rsidR="008F2A32" w:rsidRPr="00B742BF">
        <w:rPr>
          <w:b/>
          <w:bCs/>
        </w:rPr>
        <w:t>Europe</w:t>
      </w:r>
      <w:r w:rsidR="009C1206" w:rsidRPr="00B742BF">
        <w:t xml:space="preserve"> </w:t>
      </w:r>
      <w:r w:rsidRPr="00B742BF">
        <w:t xml:space="preserve">($1.3 billion, up 7%) </w:t>
      </w:r>
      <w:r w:rsidR="006842CA" w:rsidRPr="00B742BF">
        <w:t>were robust</w:t>
      </w:r>
      <w:r w:rsidR="00117A11" w:rsidRPr="00B742BF">
        <w:t xml:space="preserve"> – with </w:t>
      </w:r>
      <w:r w:rsidR="00224DC4" w:rsidRPr="00B742BF">
        <w:rPr>
          <w:b/>
          <w:bCs/>
        </w:rPr>
        <w:t>Germany</w:t>
      </w:r>
      <w:r w:rsidRPr="00B742BF">
        <w:t xml:space="preserve"> (up 24%)</w:t>
      </w:r>
      <w:r w:rsidR="00117A11" w:rsidRPr="00B742BF">
        <w:t xml:space="preserve">, </w:t>
      </w:r>
      <w:r w:rsidR="00224DC4" w:rsidRPr="00B742BF">
        <w:t xml:space="preserve">the </w:t>
      </w:r>
      <w:r w:rsidR="00224DC4" w:rsidRPr="00B742BF">
        <w:rPr>
          <w:b/>
          <w:bCs/>
        </w:rPr>
        <w:t>U.K.</w:t>
      </w:r>
      <w:r w:rsidR="00224DC4" w:rsidRPr="00B742BF">
        <w:t xml:space="preserve"> (up 20%)</w:t>
      </w:r>
      <w:r w:rsidR="00117A11" w:rsidRPr="00B742BF">
        <w:t xml:space="preserve">, </w:t>
      </w:r>
      <w:r w:rsidR="00117A11" w:rsidRPr="00B742BF">
        <w:rPr>
          <w:b/>
          <w:bCs/>
        </w:rPr>
        <w:t>Switzerland</w:t>
      </w:r>
      <w:r w:rsidR="00117A11" w:rsidRPr="00B742BF">
        <w:t xml:space="preserve"> (up 46%), </w:t>
      </w:r>
      <w:r w:rsidR="00117A11" w:rsidRPr="00B742BF">
        <w:rPr>
          <w:b/>
          <w:bCs/>
        </w:rPr>
        <w:t xml:space="preserve">Turkey </w:t>
      </w:r>
      <w:r w:rsidR="00117A11" w:rsidRPr="00B742BF">
        <w:t>(up 60%) and</w:t>
      </w:r>
      <w:r w:rsidR="00117A11" w:rsidRPr="00B742BF">
        <w:rPr>
          <w:b/>
          <w:bCs/>
        </w:rPr>
        <w:t xml:space="preserve"> Italy </w:t>
      </w:r>
      <w:r w:rsidR="00117A11" w:rsidRPr="00B742BF">
        <w:t>(up 15%) generating the largest export gains.</w:t>
      </w:r>
    </w:p>
    <w:p w14:paraId="10C2429C" w14:textId="5440EE1F" w:rsidR="00417B8A" w:rsidRPr="00B742BF" w:rsidRDefault="005558ED" w:rsidP="00163D3F">
      <w:pPr>
        <w:pStyle w:val="BodyText"/>
        <w:numPr>
          <w:ilvl w:val="0"/>
          <w:numId w:val="27"/>
        </w:numPr>
        <w:spacing w:before="0" w:after="0"/>
      </w:pPr>
      <w:r w:rsidRPr="00B742BF">
        <w:t>Minnesota businesses</w:t>
      </w:r>
      <w:r w:rsidR="00224DC4" w:rsidRPr="00B742BF">
        <w:t xml:space="preserve"> also</w:t>
      </w:r>
      <w:r w:rsidRPr="00B742BF">
        <w:t xml:space="preserve"> succe</w:t>
      </w:r>
      <w:r w:rsidR="00224DC4" w:rsidRPr="00B742BF">
        <w:t>ssfully</w:t>
      </w:r>
      <w:r w:rsidRPr="00B742BF">
        <w:t xml:space="preserve"> </w:t>
      </w:r>
      <w:r w:rsidR="00C4200F" w:rsidRPr="00B742BF">
        <w:t>boost</w:t>
      </w:r>
      <w:r w:rsidR="00224DC4" w:rsidRPr="00B742BF">
        <w:t>ed</w:t>
      </w:r>
      <w:r w:rsidRPr="00B742BF">
        <w:t xml:space="preserve"> sales to </w:t>
      </w:r>
      <w:r w:rsidRPr="00B742BF">
        <w:rPr>
          <w:b/>
          <w:bCs/>
        </w:rPr>
        <w:t>the Middle East</w:t>
      </w:r>
      <w:r w:rsidR="008F2A32" w:rsidRPr="00B742BF">
        <w:t xml:space="preserve"> (</w:t>
      </w:r>
      <w:r w:rsidR="00224DC4" w:rsidRPr="00B742BF">
        <w:t xml:space="preserve">$136 million, </w:t>
      </w:r>
      <w:r w:rsidR="008F2A32" w:rsidRPr="00B742BF">
        <w:t xml:space="preserve">up </w:t>
      </w:r>
      <w:r w:rsidRPr="00B742BF">
        <w:t>11</w:t>
      </w:r>
      <w:r w:rsidR="008F2A32" w:rsidRPr="00B742BF">
        <w:t xml:space="preserve">%) </w:t>
      </w:r>
      <w:r w:rsidR="00417B8A" w:rsidRPr="00B742BF">
        <w:t xml:space="preserve">– led by </w:t>
      </w:r>
      <w:r w:rsidR="00417B8A" w:rsidRPr="00B742BF">
        <w:rPr>
          <w:b/>
          <w:bCs/>
        </w:rPr>
        <w:t xml:space="preserve">Saudi Arabia </w:t>
      </w:r>
      <w:r w:rsidR="00417B8A" w:rsidRPr="00B742BF">
        <w:t xml:space="preserve">($53 million, up 105%) – </w:t>
      </w:r>
      <w:r w:rsidR="008F2A32" w:rsidRPr="00B742BF">
        <w:t>and</w:t>
      </w:r>
      <w:r w:rsidR="00417B8A" w:rsidRPr="00B742BF">
        <w:t xml:space="preserve"> to </w:t>
      </w:r>
      <w:r w:rsidRPr="00B742BF">
        <w:rPr>
          <w:b/>
          <w:bCs/>
        </w:rPr>
        <w:t>Africa</w:t>
      </w:r>
      <w:r w:rsidR="008F2A32" w:rsidRPr="00B742BF">
        <w:t xml:space="preserve"> (</w:t>
      </w:r>
      <w:r w:rsidR="00224DC4" w:rsidRPr="00B742BF">
        <w:t xml:space="preserve">$46 million, </w:t>
      </w:r>
      <w:r w:rsidR="008F2A32" w:rsidRPr="00B742BF">
        <w:t>up 6%)</w:t>
      </w:r>
      <w:r w:rsidR="00417B8A" w:rsidRPr="00B742BF">
        <w:t xml:space="preserve"> – led by </w:t>
      </w:r>
      <w:r w:rsidR="00417B8A" w:rsidRPr="00B742BF">
        <w:rPr>
          <w:b/>
          <w:bCs/>
        </w:rPr>
        <w:t xml:space="preserve">Nigeria </w:t>
      </w:r>
      <w:r w:rsidR="00417B8A" w:rsidRPr="00B742BF">
        <w:t>($6 million, up 124%).</w:t>
      </w:r>
    </w:p>
    <w:p w14:paraId="481CD972" w14:textId="470B2C1E" w:rsidR="007C165F" w:rsidRPr="00B742BF" w:rsidRDefault="007C165F" w:rsidP="00C149BA">
      <w:pPr>
        <w:pStyle w:val="Heading4"/>
        <w:spacing w:before="80" w:after="80"/>
      </w:pPr>
      <w:r w:rsidRPr="00B742BF">
        <w:t xml:space="preserve">Figure </w:t>
      </w:r>
      <w:r w:rsidR="00E36364" w:rsidRPr="00B742BF">
        <w:fldChar w:fldCharType="begin"/>
      </w:r>
      <w:r w:rsidR="00E36364" w:rsidRPr="00B742BF">
        <w:instrText xml:space="preserve"> SEQ Figure \* ARABIC </w:instrText>
      </w:r>
      <w:r w:rsidR="00E36364" w:rsidRPr="00B742BF">
        <w:fldChar w:fldCharType="separate"/>
      </w:r>
      <w:r w:rsidR="00C430F8" w:rsidRPr="00B742BF">
        <w:t>2</w:t>
      </w:r>
      <w:r w:rsidR="00E36364" w:rsidRPr="00B742BF">
        <w:fldChar w:fldCharType="end"/>
      </w:r>
      <w:r w:rsidR="00C84D0E" w:rsidRPr="00B742BF">
        <w:t xml:space="preserve">. </w:t>
      </w:r>
      <w:r w:rsidR="00A44451" w:rsidRPr="00B742BF">
        <w:t>Export Trends for</w:t>
      </w:r>
      <w:r w:rsidR="0038665A" w:rsidRPr="00B742BF">
        <w:t xml:space="preserve"> Minnesota’s Top 10 Markets, </w:t>
      </w:r>
      <w:r w:rsidR="007B714B" w:rsidRPr="00B742BF">
        <w:t>Third</w:t>
      </w:r>
      <w:r w:rsidR="00375ACF" w:rsidRPr="00B742BF">
        <w:t xml:space="preserve"> </w:t>
      </w:r>
      <w:r w:rsidR="00725672" w:rsidRPr="00B742BF">
        <w:t>Q</w:t>
      </w:r>
      <w:r w:rsidR="00375ACF" w:rsidRPr="00B742BF">
        <w:t>uarter</w:t>
      </w:r>
      <w:r w:rsidR="00A52415" w:rsidRPr="00B742BF">
        <w:t xml:space="preserve"> </w:t>
      </w:r>
      <w:r w:rsidR="00BB19C4" w:rsidRPr="00B742BF">
        <w:t>2025</w:t>
      </w:r>
    </w:p>
    <w:p w14:paraId="4568CE8A" w14:textId="44B53CBD" w:rsidR="00224DC4" w:rsidRPr="00B742BF" w:rsidRDefault="00224DC4" w:rsidP="00BB3BC1">
      <w:r w:rsidRPr="00B742BF">
        <w:rPr>
          <w:noProof/>
        </w:rPr>
        <w:drawing>
          <wp:inline distT="0" distB="0" distL="0" distR="0" wp14:anchorId="6BAD2493" wp14:editId="5C519790">
            <wp:extent cx="6492240" cy="2109470"/>
            <wp:effectExtent l="0" t="0" r="3810" b="5080"/>
            <wp:docPr id="2134060296" name="Picture 1" descr="double bar chart of Export trends for MN Top 10 Markets, 2025-third quarter&#10;Country Exports (millions) Percent Change, 2024-Q3 to 2025-Q3&#10;WORLD  $5,730  -14%&#10;Canada (1)   $1,275  -32%&#10;Mexico (2)   $909  -15%&#10;China (3)   $441  -24%&#10;Japan (4)   $250  -20%&#10;Ireland (5)   $204  3%&#10;Germany (6)   $188  31%&#10;Korea (7)   $172  -6%&#10;U.K. (8)   $162  20%&#10;Belgium (9)   $159  3%&#10;Netherlands (10)   $140  -8%&#10;Other  $1,83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60296" name="Picture 1" descr="double bar chart of Export trends for MN Top 10 Markets, 2025-third quarter&#10;Country Exports (millions) Percent Change, 2024-Q3 to 2025-Q3&#10;WORLD  $5,730  -14%&#10;Canada (1)   $1,275  -32%&#10;Mexico (2)   $909  -15%&#10;China (3)   $441  -24%&#10;Japan (4)   $250  -20%&#10;Ireland (5)   $204  3%&#10;Germany (6)   $188  31%&#10;Korea (7)   $172  -6%&#10;U.K. (8)   $162  20%&#10;Belgium (9)   $159  3%&#10;Netherlands (10)   $140  -8%&#10;Other  $1,831  -3%"/>
                    <pic:cNvPicPr>
                      <a:picLocks noChangeAspect="1" noChangeArrowheads="1"/>
                    </pic:cNvPicPr>
                  </pic:nvPicPr>
                  <pic:blipFill rotWithShape="1">
                    <a:blip r:embed="rId14">
                      <a:extLst>
                        <a:ext uri="{28A0092B-C50C-407E-A947-70E740481C1C}">
                          <a14:useLocalDpi xmlns:a14="http://schemas.microsoft.com/office/drawing/2010/main" val="0"/>
                        </a:ext>
                      </a:extLst>
                    </a:blip>
                    <a:srcRect t="7129"/>
                    <a:stretch/>
                  </pic:blipFill>
                  <pic:spPr bwMode="auto">
                    <a:xfrm>
                      <a:off x="0" y="0"/>
                      <a:ext cx="6492240" cy="2109470"/>
                    </a:xfrm>
                    <a:prstGeom prst="rect">
                      <a:avLst/>
                    </a:prstGeom>
                    <a:noFill/>
                    <a:ln>
                      <a:noFill/>
                    </a:ln>
                    <a:extLst>
                      <a:ext uri="{53640926-AAD7-44D8-BBD7-CCE9431645EC}">
                        <a14:shadowObscured xmlns:a14="http://schemas.microsoft.com/office/drawing/2010/main"/>
                      </a:ext>
                    </a:extLst>
                  </pic:spPr>
                </pic:pic>
              </a:graphicData>
            </a:graphic>
          </wp:inline>
        </w:drawing>
      </w:r>
    </w:p>
    <w:p w14:paraId="1FA7CF8F" w14:textId="727EF69D" w:rsidR="00911149" w:rsidRPr="00B742BF" w:rsidRDefault="00BB0AAC" w:rsidP="003279A8">
      <w:pPr>
        <w:pStyle w:val="Heading2"/>
        <w:tabs>
          <w:tab w:val="left" w:pos="360"/>
        </w:tabs>
        <w:ind w:left="360" w:hanging="360"/>
        <w:rPr>
          <w:color w:val="auto"/>
        </w:rPr>
        <w:sectPr w:rsidR="00911149" w:rsidRPr="00B742BF" w:rsidSect="00FE15EB">
          <w:footerReference w:type="default" r:id="rId15"/>
          <w:footnotePr>
            <w:numRestart w:val="eachSect"/>
          </w:footnotePr>
          <w:endnotePr>
            <w:numFmt w:val="decimal"/>
          </w:endnotePr>
          <w:type w:val="continuous"/>
          <w:pgSz w:w="12240" w:h="15840" w:code="1"/>
          <w:pgMar w:top="864" w:right="1008" w:bottom="864" w:left="1008" w:header="720" w:footer="720" w:gutter="0"/>
          <w:cols w:space="720"/>
          <w:titlePg/>
          <w:docGrid w:linePitch="299"/>
        </w:sectPr>
      </w:pPr>
      <w:r w:rsidRPr="00B742BF">
        <w:rPr>
          <w:bCs w:val="0"/>
          <w:i/>
          <w:color w:val="auto"/>
          <w:sz w:val="28"/>
        </w:rPr>
        <w:lastRenderedPageBreak/>
        <w:t xml:space="preserve">Widespread </w:t>
      </w:r>
      <w:r w:rsidR="008620B1" w:rsidRPr="00B742BF">
        <w:rPr>
          <w:bCs w:val="0"/>
          <w:i/>
          <w:color w:val="auto"/>
          <w:sz w:val="28"/>
        </w:rPr>
        <w:t>Slump</w:t>
      </w:r>
      <w:r w:rsidR="004E1B65" w:rsidRPr="00B742BF">
        <w:rPr>
          <w:bCs w:val="0"/>
          <w:i/>
          <w:color w:val="auto"/>
          <w:sz w:val="28"/>
        </w:rPr>
        <w:t xml:space="preserve"> Among Major Product Categories, </w:t>
      </w:r>
      <w:r w:rsidRPr="00B742BF">
        <w:rPr>
          <w:bCs w:val="0"/>
          <w:i/>
          <w:color w:val="auto"/>
          <w:sz w:val="28"/>
        </w:rPr>
        <w:t>Growth</w:t>
      </w:r>
      <w:r w:rsidR="007E29BA" w:rsidRPr="00B742BF">
        <w:rPr>
          <w:bCs w:val="0"/>
          <w:i/>
          <w:color w:val="auto"/>
          <w:sz w:val="28"/>
        </w:rPr>
        <w:t xml:space="preserve"> in Limited</w:t>
      </w:r>
      <w:r w:rsidRPr="00B742BF">
        <w:rPr>
          <w:bCs w:val="0"/>
          <w:i/>
          <w:color w:val="auto"/>
          <w:sz w:val="28"/>
        </w:rPr>
        <w:t xml:space="preserve"> </w:t>
      </w:r>
      <w:r w:rsidR="003279A8" w:rsidRPr="00B742BF">
        <w:rPr>
          <w:bCs w:val="0"/>
          <w:i/>
          <w:color w:val="auto"/>
          <w:sz w:val="28"/>
        </w:rPr>
        <w:t xml:space="preserve">Areas </w:t>
      </w:r>
    </w:p>
    <w:p w14:paraId="0DB6F391" w14:textId="6AFF89FF" w:rsidR="004E1B65" w:rsidRPr="00B742BF" w:rsidRDefault="00117A11" w:rsidP="007856B0">
      <w:pPr>
        <w:pStyle w:val="NoSpacing"/>
        <w:numPr>
          <w:ilvl w:val="0"/>
          <w:numId w:val="20"/>
        </w:numPr>
        <w:spacing w:line="269" w:lineRule="auto"/>
        <w:ind w:right="-14"/>
        <w:rPr>
          <w:rFonts w:asciiTheme="majorHAnsi" w:eastAsiaTheme="majorEastAsia" w:hAnsiTheme="majorHAnsi" w:cstheme="majorBidi"/>
          <w:i/>
          <w:iCs/>
          <w:sz w:val="24"/>
          <w:szCs w:val="24"/>
        </w:rPr>
      </w:pPr>
      <w:r w:rsidRPr="00B742BF">
        <w:t>Minnesota e</w:t>
      </w:r>
      <w:r w:rsidR="00F276A4" w:rsidRPr="00B742BF">
        <w:t xml:space="preserve">xports </w:t>
      </w:r>
      <w:r w:rsidR="007856B0" w:rsidRPr="00B742BF">
        <w:t xml:space="preserve">dropped 14% as </w:t>
      </w:r>
      <w:r w:rsidRPr="00B742BF">
        <w:t>leading</w:t>
      </w:r>
      <w:r w:rsidR="008F40AF" w:rsidRPr="00B742BF">
        <w:t xml:space="preserve"> </w:t>
      </w:r>
      <w:r w:rsidR="00F276A4" w:rsidRPr="00B742BF">
        <w:t xml:space="preserve">products </w:t>
      </w:r>
      <w:r w:rsidR="007856B0" w:rsidRPr="00B742BF">
        <w:t xml:space="preserve">lost </w:t>
      </w:r>
      <w:r w:rsidRPr="00B742BF">
        <w:t xml:space="preserve">significant </w:t>
      </w:r>
      <w:r w:rsidR="007856B0" w:rsidRPr="00B742BF">
        <w:t>ground</w:t>
      </w:r>
      <w:r w:rsidRPr="00B742BF">
        <w:t>:</w:t>
      </w:r>
      <w:r w:rsidR="00BB0AAC" w:rsidRPr="00B742BF">
        <w:t xml:space="preserve"> </w:t>
      </w:r>
      <w:r w:rsidR="004E1B65" w:rsidRPr="00B742BF">
        <w:rPr>
          <w:b/>
          <w:bCs/>
        </w:rPr>
        <w:t>mineral fuel, oil</w:t>
      </w:r>
      <w:r w:rsidR="004E1B65" w:rsidRPr="00B742BF">
        <w:t xml:space="preserve"> (down 9</w:t>
      </w:r>
      <w:r w:rsidR="008F40AF" w:rsidRPr="00B742BF">
        <w:t>3</w:t>
      </w:r>
      <w:r w:rsidR="004E1B65" w:rsidRPr="00B742BF">
        <w:t xml:space="preserve">%), </w:t>
      </w:r>
      <w:r w:rsidR="004E1B65" w:rsidRPr="00B742BF">
        <w:rPr>
          <w:b/>
          <w:bCs/>
        </w:rPr>
        <w:t>machinery</w:t>
      </w:r>
      <w:r w:rsidR="004E1B65" w:rsidRPr="00B742BF">
        <w:t xml:space="preserve"> (down 1</w:t>
      </w:r>
      <w:r w:rsidR="008F40AF" w:rsidRPr="00B742BF">
        <w:t>1</w:t>
      </w:r>
      <w:r w:rsidR="004E1B65" w:rsidRPr="00B742BF">
        <w:t xml:space="preserve">%), </w:t>
      </w:r>
      <w:r w:rsidR="00BB0AAC" w:rsidRPr="00B742BF">
        <w:rPr>
          <w:b/>
          <w:bCs/>
        </w:rPr>
        <w:t xml:space="preserve">vehicles </w:t>
      </w:r>
      <w:r w:rsidR="00BB0AAC" w:rsidRPr="00B742BF">
        <w:t>(down 2</w:t>
      </w:r>
      <w:r w:rsidR="008F40AF" w:rsidRPr="00B742BF">
        <w:t>0</w:t>
      </w:r>
      <w:r w:rsidR="00BB0AAC" w:rsidRPr="00B742BF">
        <w:t xml:space="preserve">%), </w:t>
      </w:r>
      <w:r w:rsidR="008F40AF" w:rsidRPr="00B742BF">
        <w:rPr>
          <w:b/>
          <w:bCs/>
        </w:rPr>
        <w:t>ores, slag, ash</w:t>
      </w:r>
      <w:r w:rsidR="008F40AF" w:rsidRPr="00B742BF">
        <w:t xml:space="preserve"> (down 24%) and </w:t>
      </w:r>
      <w:r w:rsidR="008F40AF" w:rsidRPr="00B742BF">
        <w:rPr>
          <w:b/>
          <w:bCs/>
        </w:rPr>
        <w:t>misc. chemicals</w:t>
      </w:r>
      <w:r w:rsidR="001D2F50" w:rsidRPr="00B742BF">
        <w:rPr>
          <w:b/>
          <w:bCs/>
        </w:rPr>
        <w:t xml:space="preserve"> </w:t>
      </w:r>
      <w:r w:rsidR="001D2F50" w:rsidRPr="00B742BF">
        <w:t xml:space="preserve">(down </w:t>
      </w:r>
      <w:r w:rsidR="008F40AF" w:rsidRPr="00B742BF">
        <w:t>3</w:t>
      </w:r>
      <w:r w:rsidRPr="00B742BF">
        <w:t>1</w:t>
      </w:r>
      <w:r w:rsidR="001D2F50" w:rsidRPr="00B742BF">
        <w:t>%)</w:t>
      </w:r>
      <w:r w:rsidR="00D33E15" w:rsidRPr="00B742BF">
        <w:t>.</w:t>
      </w:r>
    </w:p>
    <w:p w14:paraId="0B14C700" w14:textId="51AF2948" w:rsidR="00E2781A" w:rsidRPr="00B742BF" w:rsidRDefault="00E2781A" w:rsidP="00F276A4">
      <w:pPr>
        <w:pStyle w:val="NoSpacing"/>
        <w:spacing w:line="269" w:lineRule="auto"/>
        <w:ind w:right="-14"/>
        <w:rPr>
          <w:rFonts w:asciiTheme="majorHAnsi" w:eastAsiaTheme="majorEastAsia" w:hAnsiTheme="majorHAnsi" w:cstheme="majorBidi"/>
          <w:i/>
          <w:iCs/>
          <w:sz w:val="24"/>
          <w:szCs w:val="24"/>
        </w:rPr>
        <w:sectPr w:rsidR="00E2781A" w:rsidRPr="00B742BF" w:rsidSect="00FE15EB">
          <w:footnotePr>
            <w:numRestart w:val="eachSect"/>
          </w:footnotePr>
          <w:endnotePr>
            <w:numFmt w:val="decimal"/>
          </w:endnotePr>
          <w:type w:val="continuous"/>
          <w:pgSz w:w="12240" w:h="15840" w:code="1"/>
          <w:pgMar w:top="864" w:right="1008" w:bottom="864" w:left="1008" w:header="720" w:footer="720" w:gutter="0"/>
          <w:cols w:space="720"/>
          <w:titlePg/>
          <w:docGrid w:linePitch="299"/>
        </w:sectPr>
      </w:pPr>
    </w:p>
    <w:p w14:paraId="20631419" w14:textId="0793C249" w:rsidR="004E6D50" w:rsidRPr="00B742BF" w:rsidRDefault="00117A11" w:rsidP="004E6D50">
      <w:pPr>
        <w:pStyle w:val="NoSpacing"/>
        <w:numPr>
          <w:ilvl w:val="0"/>
          <w:numId w:val="20"/>
        </w:numPr>
        <w:spacing w:line="269" w:lineRule="auto"/>
        <w:ind w:right="-14"/>
        <w:rPr>
          <w:rFonts w:asciiTheme="minorHAnsi" w:eastAsiaTheme="majorEastAsia" w:hAnsiTheme="minorHAnsi" w:cstheme="minorHAnsi"/>
          <w:i/>
          <w:iCs/>
        </w:rPr>
      </w:pPr>
      <w:r w:rsidRPr="00B742BF">
        <w:t>E</w:t>
      </w:r>
      <w:r w:rsidR="00097936" w:rsidRPr="00B742BF">
        <w:t>xports of</w:t>
      </w:r>
      <w:r w:rsidR="00097936" w:rsidRPr="00B742BF">
        <w:rPr>
          <w:b/>
        </w:rPr>
        <w:t xml:space="preserve"> mineral fuel, oil</w:t>
      </w:r>
      <w:r w:rsidR="00097936" w:rsidRPr="00B742BF">
        <w:rPr>
          <w:bCs/>
        </w:rPr>
        <w:t xml:space="preserve"> (including </w:t>
      </w:r>
      <w:r w:rsidR="00097936" w:rsidRPr="00B742BF">
        <w:rPr>
          <w:b/>
        </w:rPr>
        <w:t>motor fuel</w:t>
      </w:r>
      <w:r w:rsidR="00097936" w:rsidRPr="00B742BF">
        <w:rPr>
          <w:bCs/>
        </w:rPr>
        <w:t>)</w:t>
      </w:r>
      <w:r w:rsidR="00097936" w:rsidRPr="00B742BF">
        <w:rPr>
          <w:b/>
        </w:rPr>
        <w:t xml:space="preserve"> </w:t>
      </w:r>
      <w:r w:rsidR="00097936" w:rsidRPr="00B742BF">
        <w:rPr>
          <w:bCs/>
        </w:rPr>
        <w:t>sank</w:t>
      </w:r>
      <w:r w:rsidRPr="00B742BF">
        <w:rPr>
          <w:bCs/>
        </w:rPr>
        <w:t>, as e</w:t>
      </w:r>
      <w:r w:rsidR="00097936" w:rsidRPr="00B742BF">
        <w:rPr>
          <w:bCs/>
        </w:rPr>
        <w:t>xports of these goods</w:t>
      </w:r>
      <w:r w:rsidRPr="00B742BF">
        <w:rPr>
          <w:bCs/>
        </w:rPr>
        <w:t xml:space="preserve"> </w:t>
      </w:r>
      <w:r w:rsidRPr="00B742BF">
        <w:rPr>
          <w:rFonts w:asciiTheme="minorHAnsi" w:hAnsiTheme="minorHAnsi" w:cstheme="minorHAnsi"/>
          <w:bCs/>
        </w:rPr>
        <w:t xml:space="preserve">to </w:t>
      </w:r>
      <w:r w:rsidRPr="00B742BF">
        <w:rPr>
          <w:rFonts w:asciiTheme="minorHAnsi" w:hAnsiTheme="minorHAnsi" w:cstheme="minorHAnsi"/>
          <w:b/>
        </w:rPr>
        <w:t xml:space="preserve">Canada, </w:t>
      </w:r>
      <w:r w:rsidRPr="00B742BF">
        <w:rPr>
          <w:rFonts w:asciiTheme="minorHAnsi" w:hAnsiTheme="minorHAnsi" w:cstheme="minorHAnsi"/>
          <w:bCs/>
        </w:rPr>
        <w:t>the dominant</w:t>
      </w:r>
      <w:r w:rsidRPr="00B742BF">
        <w:rPr>
          <w:rFonts w:asciiTheme="minorHAnsi" w:hAnsiTheme="minorHAnsi" w:cstheme="minorHAnsi"/>
          <w:b/>
        </w:rPr>
        <w:t xml:space="preserve"> </w:t>
      </w:r>
      <w:r w:rsidRPr="00B742BF">
        <w:rPr>
          <w:rFonts w:asciiTheme="minorHAnsi" w:hAnsiTheme="minorHAnsi" w:cstheme="minorHAnsi"/>
          <w:bCs/>
        </w:rPr>
        <w:t>market,</w:t>
      </w:r>
      <w:r w:rsidR="00097936" w:rsidRPr="00B742BF">
        <w:rPr>
          <w:bCs/>
        </w:rPr>
        <w:t xml:space="preserve"> fell over $500 million</w:t>
      </w:r>
      <w:r w:rsidR="00097936" w:rsidRPr="00B742BF">
        <w:rPr>
          <w:rFonts w:asciiTheme="minorHAnsi" w:hAnsiTheme="minorHAnsi" w:cstheme="minorHAnsi"/>
          <w:bCs/>
        </w:rPr>
        <w:t>.</w:t>
      </w:r>
      <w:r w:rsidR="00097936" w:rsidRPr="00B742BF">
        <w:rPr>
          <w:rFonts w:asciiTheme="minorHAnsi" w:eastAsiaTheme="majorEastAsia" w:hAnsiTheme="minorHAnsi" w:cstheme="minorHAnsi"/>
          <w:i/>
          <w:iCs/>
        </w:rPr>
        <w:t xml:space="preserve"> </w:t>
      </w:r>
    </w:p>
    <w:p w14:paraId="701E3812" w14:textId="74F4835E" w:rsidR="004E6D50" w:rsidRPr="00B742BF" w:rsidRDefault="006842CA" w:rsidP="004E6D50">
      <w:pPr>
        <w:pStyle w:val="NoSpacing"/>
        <w:numPr>
          <w:ilvl w:val="0"/>
          <w:numId w:val="20"/>
        </w:numPr>
        <w:spacing w:line="269" w:lineRule="auto"/>
        <w:ind w:right="-14"/>
        <w:rPr>
          <w:rFonts w:asciiTheme="minorHAnsi" w:eastAsiaTheme="majorEastAsia" w:hAnsiTheme="minorHAnsi" w:cstheme="minorHAnsi"/>
          <w:i/>
          <w:iCs/>
        </w:rPr>
      </w:pPr>
      <w:r w:rsidRPr="00B742BF">
        <w:rPr>
          <w:b/>
          <w:bCs/>
        </w:rPr>
        <w:t>E</w:t>
      </w:r>
      <w:r w:rsidR="00690A88" w:rsidRPr="00B742BF">
        <w:rPr>
          <w:b/>
          <w:bCs/>
        </w:rPr>
        <w:t xml:space="preserve">lectrical equipment </w:t>
      </w:r>
      <w:r w:rsidRPr="00B742BF">
        <w:t>exports were</w:t>
      </w:r>
      <w:r w:rsidR="00690A88" w:rsidRPr="00B742BF">
        <w:t xml:space="preserve"> fueled large</w:t>
      </w:r>
      <w:r w:rsidRPr="00B742BF">
        <w:t xml:space="preserve">ly </w:t>
      </w:r>
      <w:r w:rsidR="00690A88" w:rsidRPr="00B742BF">
        <w:t xml:space="preserve">by the </w:t>
      </w:r>
      <w:r w:rsidR="00690A88" w:rsidRPr="00B742BF">
        <w:rPr>
          <w:b/>
          <w:bCs/>
        </w:rPr>
        <w:t>U.K.</w:t>
      </w:r>
      <w:r w:rsidR="003C202C" w:rsidRPr="00B742BF">
        <w:t xml:space="preserve"> (up </w:t>
      </w:r>
      <w:r w:rsidR="00117A11" w:rsidRPr="00B742BF">
        <w:t>61</w:t>
      </w:r>
      <w:r w:rsidR="003C202C" w:rsidRPr="00B742BF">
        <w:t>%)</w:t>
      </w:r>
      <w:r w:rsidR="00690A88" w:rsidRPr="00B742BF">
        <w:t xml:space="preserve">, </w:t>
      </w:r>
      <w:r w:rsidR="00690A88" w:rsidRPr="00B742BF">
        <w:rPr>
          <w:b/>
          <w:bCs/>
        </w:rPr>
        <w:t>Switzerland</w:t>
      </w:r>
      <w:r w:rsidR="00690A88" w:rsidRPr="00B742BF">
        <w:t xml:space="preserve"> (up 51%) and </w:t>
      </w:r>
      <w:r w:rsidR="00690A88" w:rsidRPr="00B742BF">
        <w:rPr>
          <w:b/>
          <w:bCs/>
        </w:rPr>
        <w:t>Ireland</w:t>
      </w:r>
      <w:r w:rsidR="003C202C" w:rsidRPr="00B742BF">
        <w:rPr>
          <w:b/>
          <w:bCs/>
        </w:rPr>
        <w:t xml:space="preserve"> </w:t>
      </w:r>
      <w:r w:rsidR="003C202C" w:rsidRPr="00B742BF">
        <w:t xml:space="preserve">(up </w:t>
      </w:r>
      <w:r w:rsidR="00117A11" w:rsidRPr="00B742BF">
        <w:t>5</w:t>
      </w:r>
      <w:r w:rsidR="00690A88" w:rsidRPr="00B742BF">
        <w:t>9</w:t>
      </w:r>
      <w:r w:rsidR="003C202C" w:rsidRPr="00B742BF">
        <w:t>%)</w:t>
      </w:r>
      <w:r w:rsidR="00690A88" w:rsidRPr="00B742BF">
        <w:t>.</w:t>
      </w:r>
      <w:r w:rsidR="00C94C5F" w:rsidRPr="00B742BF">
        <w:t xml:space="preserve"> </w:t>
      </w:r>
      <w:r w:rsidR="00DD4D3C" w:rsidRPr="00B742BF">
        <w:t>Strengthened demand for</w:t>
      </w:r>
      <w:r w:rsidR="001160A5" w:rsidRPr="00B742BF">
        <w:t xml:space="preserve"> </w:t>
      </w:r>
      <w:r w:rsidR="001160A5" w:rsidRPr="00B742BF">
        <w:rPr>
          <w:b/>
        </w:rPr>
        <w:t xml:space="preserve">integrated circuits, switches </w:t>
      </w:r>
      <w:r w:rsidR="001160A5" w:rsidRPr="00B742BF">
        <w:rPr>
          <w:bCs/>
        </w:rPr>
        <w:t>and</w:t>
      </w:r>
      <w:r w:rsidR="001160A5" w:rsidRPr="00B742BF">
        <w:rPr>
          <w:b/>
        </w:rPr>
        <w:t xml:space="preserve"> </w:t>
      </w:r>
      <w:r w:rsidR="00C94C5F" w:rsidRPr="00B742BF">
        <w:rPr>
          <w:b/>
        </w:rPr>
        <w:t>batteries</w:t>
      </w:r>
      <w:r w:rsidR="00C94C5F" w:rsidRPr="00B742BF">
        <w:rPr>
          <w:bCs/>
        </w:rPr>
        <w:t xml:space="preserve"> </w:t>
      </w:r>
      <w:r w:rsidR="00201420" w:rsidRPr="00B742BF">
        <w:rPr>
          <w:bCs/>
        </w:rPr>
        <w:t>helped off</w:t>
      </w:r>
      <w:r w:rsidR="001160A5" w:rsidRPr="00B742BF">
        <w:rPr>
          <w:bCs/>
        </w:rPr>
        <w:t xml:space="preserve">set </w:t>
      </w:r>
      <w:r w:rsidR="009A77F0" w:rsidRPr="00B742BF">
        <w:rPr>
          <w:bCs/>
        </w:rPr>
        <w:t>depressed</w:t>
      </w:r>
      <w:r w:rsidR="00DD4D3C" w:rsidRPr="00B742BF">
        <w:rPr>
          <w:bCs/>
        </w:rPr>
        <w:t xml:space="preserve"> sales</w:t>
      </w:r>
      <w:r w:rsidR="001160A5" w:rsidRPr="00B742BF">
        <w:rPr>
          <w:bCs/>
        </w:rPr>
        <w:t xml:space="preserve"> </w:t>
      </w:r>
      <w:r w:rsidR="009A77F0" w:rsidRPr="00B742BF">
        <w:rPr>
          <w:bCs/>
        </w:rPr>
        <w:t>of</w:t>
      </w:r>
      <w:r w:rsidR="001160A5" w:rsidRPr="00B742BF">
        <w:rPr>
          <w:bCs/>
        </w:rPr>
        <w:t xml:space="preserve"> </w:t>
      </w:r>
      <w:r w:rsidR="001160A5" w:rsidRPr="00B742BF">
        <w:rPr>
          <w:b/>
        </w:rPr>
        <w:t xml:space="preserve">generators, diodes </w:t>
      </w:r>
      <w:r w:rsidR="001160A5" w:rsidRPr="00B742BF">
        <w:rPr>
          <w:bCs/>
        </w:rPr>
        <w:t>and</w:t>
      </w:r>
      <w:r w:rsidR="001160A5" w:rsidRPr="00B742BF">
        <w:rPr>
          <w:b/>
        </w:rPr>
        <w:t xml:space="preserve"> transistors.</w:t>
      </w:r>
    </w:p>
    <w:p w14:paraId="0852F3AC" w14:textId="77777777" w:rsidR="00201420" w:rsidRPr="00B742BF" w:rsidRDefault="00201420" w:rsidP="00201420">
      <w:pPr>
        <w:pStyle w:val="NoSpacing"/>
        <w:numPr>
          <w:ilvl w:val="0"/>
          <w:numId w:val="20"/>
        </w:numPr>
        <w:tabs>
          <w:tab w:val="left" w:pos="3330"/>
        </w:tabs>
        <w:spacing w:line="269" w:lineRule="auto"/>
        <w:ind w:right="-14"/>
        <w:rPr>
          <w:rFonts w:asciiTheme="majorHAnsi" w:eastAsiaTheme="majorEastAsia" w:hAnsiTheme="majorHAnsi" w:cstheme="majorBidi"/>
          <w:b/>
          <w:i/>
          <w:iCs/>
          <w:sz w:val="24"/>
          <w:szCs w:val="24"/>
        </w:rPr>
      </w:pPr>
      <w:r w:rsidRPr="00B742BF">
        <w:rPr>
          <w:bCs/>
        </w:rPr>
        <w:t xml:space="preserve">With a market share of 97%, </w:t>
      </w:r>
      <w:r w:rsidRPr="00B742BF">
        <w:rPr>
          <w:b/>
        </w:rPr>
        <w:t xml:space="preserve">Canada </w:t>
      </w:r>
      <w:r w:rsidRPr="00B742BF">
        <w:rPr>
          <w:bCs/>
        </w:rPr>
        <w:t xml:space="preserve">uplifted </w:t>
      </w:r>
      <w:r w:rsidRPr="00B742BF">
        <w:rPr>
          <w:b/>
        </w:rPr>
        <w:t xml:space="preserve">fertilizer </w:t>
      </w:r>
      <w:r w:rsidRPr="00B742BF">
        <w:rPr>
          <w:bCs/>
        </w:rPr>
        <w:t xml:space="preserve">exports ($68 million, up 39%). </w:t>
      </w:r>
    </w:p>
    <w:p w14:paraId="047453D4" w14:textId="42872A91" w:rsidR="00D33E15" w:rsidRPr="00B742BF" w:rsidRDefault="00D33E15" w:rsidP="00C4200F">
      <w:pPr>
        <w:pStyle w:val="NoSpacing"/>
        <w:spacing w:before="120" w:line="269" w:lineRule="auto"/>
        <w:ind w:right="-14"/>
        <w:rPr>
          <w:rStyle w:val="Heading4Char"/>
          <w:rFonts w:asciiTheme="minorHAnsi" w:hAnsiTheme="minorHAnsi" w:cstheme="minorHAnsi"/>
          <w:sz w:val="22"/>
        </w:rPr>
      </w:pPr>
      <w:r w:rsidRPr="00B742BF">
        <w:rPr>
          <w:rStyle w:val="Heading4Char"/>
          <w:szCs w:val="24"/>
        </w:rPr>
        <w:t xml:space="preserve">Figure </w:t>
      </w:r>
      <w:r w:rsidRPr="00B742BF">
        <w:rPr>
          <w:rStyle w:val="Heading4Char"/>
          <w:szCs w:val="24"/>
        </w:rPr>
        <w:fldChar w:fldCharType="begin"/>
      </w:r>
      <w:r w:rsidRPr="00B742BF">
        <w:rPr>
          <w:rStyle w:val="Heading4Char"/>
          <w:szCs w:val="24"/>
        </w:rPr>
        <w:instrText xml:space="preserve"> SEQ Figure \* ARABIC </w:instrText>
      </w:r>
      <w:r w:rsidRPr="00B742BF">
        <w:rPr>
          <w:rStyle w:val="Heading4Char"/>
          <w:szCs w:val="24"/>
        </w:rPr>
        <w:fldChar w:fldCharType="separate"/>
      </w:r>
      <w:r w:rsidRPr="00B742BF">
        <w:rPr>
          <w:rStyle w:val="Heading4Char"/>
          <w:szCs w:val="24"/>
        </w:rPr>
        <w:t>3</w:t>
      </w:r>
      <w:r w:rsidRPr="00B742BF">
        <w:rPr>
          <w:rStyle w:val="Heading4Char"/>
          <w:szCs w:val="24"/>
        </w:rPr>
        <w:fldChar w:fldCharType="end"/>
      </w:r>
      <w:r w:rsidRPr="00B742BF">
        <w:rPr>
          <w:rStyle w:val="Heading4Char"/>
          <w:szCs w:val="24"/>
        </w:rPr>
        <w:t xml:space="preserve">. </w:t>
      </w:r>
      <w:r w:rsidR="00E2781A" w:rsidRPr="00B742BF">
        <w:rPr>
          <w:rStyle w:val="Heading4Char"/>
          <w:szCs w:val="24"/>
        </w:rPr>
        <w:t xml:space="preserve">Top Markets for </w:t>
      </w:r>
      <w:r w:rsidR="001160A5" w:rsidRPr="00B742BF">
        <w:rPr>
          <w:rStyle w:val="Heading4Char"/>
          <w:szCs w:val="24"/>
        </w:rPr>
        <w:t>Electrical Equipment</w:t>
      </w:r>
      <w:r w:rsidRPr="00B742BF">
        <w:rPr>
          <w:rStyle w:val="Heading4Char"/>
          <w:szCs w:val="24"/>
        </w:rPr>
        <w:t xml:space="preserve"> </w:t>
      </w:r>
    </w:p>
    <w:p w14:paraId="3DBC862D" w14:textId="6C55B44C" w:rsidR="00D33E15" w:rsidRPr="00B742BF" w:rsidRDefault="00D33E15" w:rsidP="007E29BA">
      <w:pPr>
        <w:tabs>
          <w:tab w:val="left" w:pos="3330"/>
        </w:tabs>
        <w:spacing w:line="269" w:lineRule="auto"/>
        <w:ind w:right="54"/>
      </w:pPr>
      <w:r w:rsidRPr="00B742BF">
        <w:rPr>
          <w:noProof/>
          <w:shd w:val="clear" w:color="auto" w:fill="E6E6E6"/>
        </w:rPr>
        <w:drawing>
          <wp:inline distT="0" distB="0" distL="0" distR="0" wp14:anchorId="35191F84" wp14:editId="4341D830">
            <wp:extent cx="2933700" cy="1752600"/>
            <wp:effectExtent l="0" t="0" r="0" b="0"/>
            <wp:docPr id="52543106" name="Chart 52543106" descr="pie chart&#10;MN exports of Electrical equipment products, by country 2025-Q3&#10;Mexico 10%&#10;Canada 10%&#10;Thailand 8%&#10;China 8%&#10;UK 6%&#10;Japan 6%&#10;Switzerland 5%&#10;Ireland 5%&#10;Other 4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44919D" w14:textId="77777777" w:rsidR="00D33E15" w:rsidRPr="00B742BF" w:rsidRDefault="00D33E15" w:rsidP="00D33E15">
      <w:pPr>
        <w:pStyle w:val="NoSpacing"/>
        <w:tabs>
          <w:tab w:val="left" w:pos="3330"/>
        </w:tabs>
        <w:spacing w:before="100" w:beforeAutospacing="1" w:line="269" w:lineRule="auto"/>
        <w:ind w:right="54"/>
        <w:sectPr w:rsidR="00D33E15" w:rsidRPr="00B742BF" w:rsidSect="00D33E15">
          <w:footnotePr>
            <w:numRestart w:val="eachSect"/>
          </w:footnotePr>
          <w:endnotePr>
            <w:numFmt w:val="decimal"/>
          </w:endnotePr>
          <w:type w:val="continuous"/>
          <w:pgSz w:w="12240" w:h="15840" w:code="1"/>
          <w:pgMar w:top="864" w:right="1008" w:bottom="864" w:left="1008" w:header="720" w:footer="720" w:gutter="0"/>
          <w:cols w:num="2" w:space="720"/>
          <w:titlePg/>
          <w:docGrid w:linePitch="299"/>
        </w:sectPr>
      </w:pPr>
    </w:p>
    <w:p w14:paraId="53A302E9" w14:textId="5097D4D6" w:rsidR="00201420" w:rsidRPr="00B742BF" w:rsidRDefault="00201420" w:rsidP="00201420">
      <w:pPr>
        <w:pStyle w:val="NoSpacing"/>
        <w:numPr>
          <w:ilvl w:val="0"/>
          <w:numId w:val="20"/>
        </w:numPr>
        <w:spacing w:line="269" w:lineRule="auto"/>
        <w:ind w:right="-14"/>
        <w:rPr>
          <w:rFonts w:asciiTheme="minorHAnsi" w:eastAsiaTheme="majorEastAsia" w:hAnsiTheme="minorHAnsi" w:cstheme="minorHAnsi"/>
          <w:i/>
          <w:iCs/>
        </w:rPr>
      </w:pPr>
      <w:r w:rsidRPr="00B742BF">
        <w:rPr>
          <w:b/>
        </w:rPr>
        <w:t xml:space="preserve">Canada </w:t>
      </w:r>
      <w:r w:rsidRPr="00B742BF">
        <w:rPr>
          <w:bCs/>
        </w:rPr>
        <w:t xml:space="preserve">and </w:t>
      </w:r>
      <w:r w:rsidRPr="00B742BF">
        <w:rPr>
          <w:b/>
        </w:rPr>
        <w:t>Mexico</w:t>
      </w:r>
      <w:r w:rsidRPr="00B742BF">
        <w:rPr>
          <w:bCs/>
        </w:rPr>
        <w:t xml:space="preserve"> fueled export growth of </w:t>
      </w:r>
      <w:r w:rsidRPr="00B742BF">
        <w:rPr>
          <w:b/>
        </w:rPr>
        <w:t>dairy, egg</w:t>
      </w:r>
      <w:r w:rsidR="00DF5EDC">
        <w:rPr>
          <w:b/>
        </w:rPr>
        <w:t>s</w:t>
      </w:r>
      <w:r w:rsidRPr="00B742BF">
        <w:rPr>
          <w:b/>
        </w:rPr>
        <w:t>, honey</w:t>
      </w:r>
      <w:r w:rsidRPr="00B742BF">
        <w:rPr>
          <w:bCs/>
        </w:rPr>
        <w:t xml:space="preserve"> ($59 million, up 69%; led by</w:t>
      </w:r>
      <w:r w:rsidRPr="00B742BF">
        <w:rPr>
          <w:b/>
        </w:rPr>
        <w:t xml:space="preserve"> fresh chicken eggs,</w:t>
      </w:r>
      <w:r w:rsidRPr="00B742BF">
        <w:rPr>
          <w:bCs/>
        </w:rPr>
        <w:t xml:space="preserve"> </w:t>
      </w:r>
      <w:r w:rsidRPr="00B742BF">
        <w:rPr>
          <w:b/>
        </w:rPr>
        <w:t>milk and cream</w:t>
      </w:r>
      <w:r w:rsidRPr="00B742BF">
        <w:rPr>
          <w:bCs/>
        </w:rPr>
        <w:t xml:space="preserve">) and </w:t>
      </w:r>
      <w:r w:rsidRPr="00B742BF">
        <w:rPr>
          <w:b/>
        </w:rPr>
        <w:t>misc</w:t>
      </w:r>
      <w:r w:rsidR="00C0311B" w:rsidRPr="00B742BF">
        <w:rPr>
          <w:b/>
        </w:rPr>
        <w:t>ellaneous</w:t>
      </w:r>
      <w:r w:rsidRPr="00B742BF">
        <w:rPr>
          <w:b/>
        </w:rPr>
        <w:t xml:space="preserve"> edible preparations</w:t>
      </w:r>
      <w:r w:rsidRPr="00B742BF">
        <w:rPr>
          <w:bCs/>
        </w:rPr>
        <w:t xml:space="preserve"> ($36 million, up 46%; </w:t>
      </w:r>
      <w:r w:rsidR="00C0311B" w:rsidRPr="00B742BF">
        <w:rPr>
          <w:bCs/>
        </w:rPr>
        <w:t>such as</w:t>
      </w:r>
      <w:r w:rsidRPr="00B742BF">
        <w:rPr>
          <w:bCs/>
        </w:rPr>
        <w:t xml:space="preserve"> </w:t>
      </w:r>
      <w:r w:rsidRPr="00B742BF">
        <w:rPr>
          <w:b/>
        </w:rPr>
        <w:t>sauces, condiments</w:t>
      </w:r>
      <w:r w:rsidRPr="00B742BF">
        <w:rPr>
          <w:bCs/>
        </w:rPr>
        <w:t xml:space="preserve"> </w:t>
      </w:r>
      <w:r w:rsidR="00C0311B" w:rsidRPr="00B742BF">
        <w:rPr>
          <w:bCs/>
        </w:rPr>
        <w:t>and</w:t>
      </w:r>
      <w:r w:rsidRPr="00B742BF">
        <w:rPr>
          <w:bCs/>
        </w:rPr>
        <w:t xml:space="preserve"> </w:t>
      </w:r>
      <w:r w:rsidRPr="00B742BF">
        <w:rPr>
          <w:b/>
        </w:rPr>
        <w:t>protein concentrates</w:t>
      </w:r>
      <w:r w:rsidRPr="00B742BF">
        <w:rPr>
          <w:bCs/>
        </w:rPr>
        <w:t xml:space="preserve">). </w:t>
      </w:r>
    </w:p>
    <w:p w14:paraId="16CD92E0" w14:textId="43FD2C67" w:rsidR="00201420" w:rsidRPr="00B742BF" w:rsidRDefault="00C0311B" w:rsidP="00201420">
      <w:pPr>
        <w:pStyle w:val="NoSpacing"/>
        <w:numPr>
          <w:ilvl w:val="0"/>
          <w:numId w:val="20"/>
        </w:numPr>
        <w:spacing w:line="269" w:lineRule="auto"/>
        <w:ind w:right="-14"/>
        <w:rPr>
          <w:rFonts w:asciiTheme="minorHAnsi" w:eastAsiaTheme="majorEastAsia" w:hAnsiTheme="minorHAnsi" w:cstheme="minorHAnsi"/>
          <w:i/>
          <w:iCs/>
        </w:rPr>
      </w:pPr>
      <w:r w:rsidRPr="00B742BF">
        <w:rPr>
          <w:b/>
          <w:bCs/>
        </w:rPr>
        <w:t>A</w:t>
      </w:r>
      <w:r w:rsidR="00201420" w:rsidRPr="00B742BF">
        <w:rPr>
          <w:b/>
          <w:bCs/>
        </w:rPr>
        <w:t xml:space="preserve">ircraft, spacecraft </w:t>
      </w:r>
      <w:r w:rsidR="00201420" w:rsidRPr="00B742BF">
        <w:t>(</w:t>
      </w:r>
      <w:r w:rsidRPr="00B742BF">
        <w:t xml:space="preserve">$175 million, </w:t>
      </w:r>
      <w:r w:rsidR="00201420" w:rsidRPr="00B742BF">
        <w:t>up 3%)</w:t>
      </w:r>
      <w:r w:rsidR="00201420" w:rsidRPr="00B742BF">
        <w:rPr>
          <w:b/>
          <w:bCs/>
        </w:rPr>
        <w:t xml:space="preserve"> </w:t>
      </w:r>
      <w:r w:rsidR="00201420" w:rsidRPr="00B742BF">
        <w:t xml:space="preserve">were spurred by </w:t>
      </w:r>
      <w:r w:rsidR="00201420" w:rsidRPr="00B742BF">
        <w:rPr>
          <w:b/>
          <w:bCs/>
        </w:rPr>
        <w:t>Germany</w:t>
      </w:r>
      <w:r w:rsidR="00201420" w:rsidRPr="00B742BF">
        <w:t xml:space="preserve"> (</w:t>
      </w:r>
      <w:r w:rsidRPr="00B742BF">
        <w:t xml:space="preserve">$43 million, </w:t>
      </w:r>
      <w:r w:rsidR="00201420" w:rsidRPr="00B742BF">
        <w:t>up</w:t>
      </w:r>
      <w:r w:rsidRPr="00B742BF">
        <w:t xml:space="preserve"> 478%</w:t>
      </w:r>
      <w:r w:rsidR="00201420" w:rsidRPr="00B742BF">
        <w:t>)</w:t>
      </w:r>
      <w:r w:rsidRPr="00B742BF">
        <w:t xml:space="preserve">, as well as </w:t>
      </w:r>
      <w:r w:rsidR="00B742BF" w:rsidRPr="00B742BF">
        <w:t>by</w:t>
      </w:r>
      <w:r w:rsidRPr="00B742BF">
        <w:t xml:space="preserve"> </w:t>
      </w:r>
      <w:r w:rsidR="00201420" w:rsidRPr="00B742BF">
        <w:rPr>
          <w:b/>
          <w:bCs/>
        </w:rPr>
        <w:t>India</w:t>
      </w:r>
      <w:r w:rsidRPr="00B742BF">
        <w:t xml:space="preserve">, </w:t>
      </w:r>
      <w:r w:rsidRPr="00B742BF">
        <w:rPr>
          <w:b/>
          <w:bCs/>
        </w:rPr>
        <w:t>Argentin</w:t>
      </w:r>
      <w:r w:rsidR="00B742BF" w:rsidRPr="00B742BF">
        <w:rPr>
          <w:b/>
          <w:bCs/>
        </w:rPr>
        <w:t>a</w:t>
      </w:r>
      <w:r w:rsidR="00201420" w:rsidRPr="00B742BF">
        <w:t xml:space="preserve"> and </w:t>
      </w:r>
      <w:r w:rsidR="00201420" w:rsidRPr="00B742BF">
        <w:rPr>
          <w:b/>
          <w:bCs/>
        </w:rPr>
        <w:t>Canada</w:t>
      </w:r>
      <w:r w:rsidR="00201420" w:rsidRPr="00B742BF">
        <w:t>.</w:t>
      </w:r>
      <w:r w:rsidRPr="00B742BF">
        <w:t xml:space="preserve"> These exports </w:t>
      </w:r>
      <w:r w:rsidR="00B742BF" w:rsidRPr="00B742BF">
        <w:t xml:space="preserve">largely </w:t>
      </w:r>
      <w:r w:rsidRPr="00B742BF">
        <w:t>consisted of civilian aircraft, engines and parts.</w:t>
      </w:r>
    </w:p>
    <w:p w14:paraId="46C6EC6C" w14:textId="27AB24F1" w:rsidR="00E2781A" w:rsidRPr="00B742BF" w:rsidRDefault="00E2781A" w:rsidP="00613AAE">
      <w:pPr>
        <w:pStyle w:val="NoSpacing"/>
        <w:numPr>
          <w:ilvl w:val="0"/>
          <w:numId w:val="20"/>
        </w:numPr>
        <w:spacing w:line="269" w:lineRule="auto"/>
        <w:ind w:right="-14"/>
        <w:rPr>
          <w:rFonts w:asciiTheme="minorHAnsi" w:eastAsiaTheme="majorEastAsia" w:hAnsiTheme="minorHAnsi" w:cstheme="minorHAnsi"/>
          <w:i/>
          <w:iCs/>
        </w:rPr>
      </w:pPr>
      <w:r w:rsidRPr="00B742BF">
        <w:rPr>
          <w:rFonts w:asciiTheme="minorHAnsi" w:hAnsiTheme="minorHAnsi" w:cstheme="minorHAnsi"/>
          <w:bCs/>
        </w:rPr>
        <w:t xml:space="preserve">Sales of </w:t>
      </w:r>
      <w:r w:rsidRPr="00B742BF">
        <w:rPr>
          <w:rFonts w:asciiTheme="minorHAnsi" w:eastAsiaTheme="majorEastAsia" w:hAnsiTheme="minorHAnsi" w:cstheme="minorHAnsi"/>
          <w:b/>
          <w:bCs/>
        </w:rPr>
        <w:t>machinery</w:t>
      </w:r>
      <w:r w:rsidRPr="00B742BF">
        <w:rPr>
          <w:rFonts w:asciiTheme="minorHAnsi" w:eastAsiaTheme="majorEastAsia" w:hAnsiTheme="minorHAnsi" w:cstheme="minorHAnsi"/>
        </w:rPr>
        <w:t xml:space="preserve"> </w:t>
      </w:r>
      <w:r w:rsidR="004E6D50" w:rsidRPr="00B742BF">
        <w:rPr>
          <w:rFonts w:asciiTheme="minorHAnsi" w:eastAsiaTheme="majorEastAsia" w:hAnsiTheme="minorHAnsi" w:cstheme="minorHAnsi"/>
        </w:rPr>
        <w:t xml:space="preserve">(down $111 million) </w:t>
      </w:r>
      <w:r w:rsidR="0089009B" w:rsidRPr="00B742BF">
        <w:rPr>
          <w:rFonts w:asciiTheme="minorHAnsi" w:eastAsiaTheme="majorEastAsia" w:hAnsiTheme="minorHAnsi" w:cstheme="minorHAnsi"/>
        </w:rPr>
        <w:t>slumped</w:t>
      </w:r>
      <w:r w:rsidR="00CE6EF6" w:rsidRPr="00B742BF">
        <w:rPr>
          <w:rFonts w:asciiTheme="minorHAnsi" w:eastAsiaTheme="majorEastAsia" w:hAnsiTheme="minorHAnsi" w:cstheme="minorHAnsi"/>
        </w:rPr>
        <w:t xml:space="preserve"> in</w:t>
      </w:r>
      <w:r w:rsidR="0089009B" w:rsidRPr="00B742BF">
        <w:rPr>
          <w:rFonts w:asciiTheme="minorHAnsi" w:eastAsiaTheme="majorEastAsia" w:hAnsiTheme="minorHAnsi" w:cstheme="minorHAnsi"/>
        </w:rPr>
        <w:t xml:space="preserve"> </w:t>
      </w:r>
      <w:r w:rsidR="0089009B" w:rsidRPr="00B742BF">
        <w:rPr>
          <w:rFonts w:asciiTheme="minorHAnsi" w:eastAsiaTheme="majorEastAsia" w:hAnsiTheme="minorHAnsi" w:cstheme="minorHAnsi"/>
          <w:b/>
          <w:bCs/>
        </w:rPr>
        <w:t xml:space="preserve">China </w:t>
      </w:r>
      <w:r w:rsidR="0089009B" w:rsidRPr="00B742BF">
        <w:rPr>
          <w:rFonts w:asciiTheme="minorHAnsi" w:eastAsiaTheme="majorEastAsia" w:hAnsiTheme="minorHAnsi" w:cstheme="minorHAnsi"/>
        </w:rPr>
        <w:t>(down 46%),</w:t>
      </w:r>
      <w:r w:rsidR="0089009B" w:rsidRPr="00B742BF">
        <w:rPr>
          <w:rFonts w:asciiTheme="minorHAnsi" w:eastAsiaTheme="majorEastAsia" w:hAnsiTheme="minorHAnsi" w:cstheme="minorHAnsi"/>
          <w:b/>
          <w:bCs/>
        </w:rPr>
        <w:t xml:space="preserve"> Japan </w:t>
      </w:r>
      <w:r w:rsidR="0089009B" w:rsidRPr="00B742BF">
        <w:rPr>
          <w:rFonts w:asciiTheme="minorHAnsi" w:eastAsiaTheme="majorEastAsia" w:hAnsiTheme="minorHAnsi" w:cstheme="minorHAnsi"/>
        </w:rPr>
        <w:t xml:space="preserve">(down 68%) and </w:t>
      </w:r>
      <w:r w:rsidR="0089009B" w:rsidRPr="00B742BF">
        <w:rPr>
          <w:rFonts w:asciiTheme="minorHAnsi" w:eastAsiaTheme="majorEastAsia" w:hAnsiTheme="minorHAnsi" w:cstheme="minorHAnsi"/>
          <w:b/>
          <w:bCs/>
        </w:rPr>
        <w:t xml:space="preserve">Mexico </w:t>
      </w:r>
      <w:r w:rsidR="0089009B" w:rsidRPr="00B742BF">
        <w:rPr>
          <w:rFonts w:asciiTheme="minorHAnsi" w:eastAsiaTheme="majorEastAsia" w:hAnsiTheme="minorHAnsi" w:cstheme="minorHAnsi"/>
        </w:rPr>
        <w:t xml:space="preserve">(down 17%); </w:t>
      </w:r>
      <w:r w:rsidR="00CE6EF6" w:rsidRPr="00B742BF">
        <w:rPr>
          <w:rFonts w:asciiTheme="minorHAnsi" w:eastAsiaTheme="majorEastAsia" w:hAnsiTheme="minorHAnsi" w:cstheme="minorHAnsi"/>
        </w:rPr>
        <w:t xml:space="preserve">while those of </w:t>
      </w:r>
      <w:r w:rsidR="00CE6EF6" w:rsidRPr="00B742BF">
        <w:rPr>
          <w:rFonts w:asciiTheme="minorHAnsi" w:eastAsiaTheme="majorEastAsia" w:hAnsiTheme="minorHAnsi" w:cstheme="minorHAnsi"/>
          <w:b/>
          <w:bCs/>
        </w:rPr>
        <w:t xml:space="preserve">vehicles </w:t>
      </w:r>
      <w:r w:rsidR="00CE6EF6" w:rsidRPr="00B742BF">
        <w:rPr>
          <w:rFonts w:asciiTheme="minorHAnsi" w:eastAsiaTheme="majorEastAsia" w:hAnsiTheme="minorHAnsi" w:cstheme="minorHAnsi"/>
        </w:rPr>
        <w:t xml:space="preserve">(down 20%) </w:t>
      </w:r>
      <w:r w:rsidR="004E6D50" w:rsidRPr="00B742BF">
        <w:rPr>
          <w:rFonts w:asciiTheme="minorHAnsi" w:eastAsiaTheme="majorEastAsia" w:hAnsiTheme="minorHAnsi" w:cstheme="minorHAnsi"/>
        </w:rPr>
        <w:t xml:space="preserve">lost traction </w:t>
      </w:r>
      <w:r w:rsidRPr="00B742BF">
        <w:rPr>
          <w:rFonts w:asciiTheme="minorHAnsi" w:eastAsiaTheme="majorEastAsia" w:hAnsiTheme="minorHAnsi" w:cstheme="minorHAnsi"/>
        </w:rPr>
        <w:t>in</w:t>
      </w:r>
      <w:r w:rsidRPr="00B742BF">
        <w:rPr>
          <w:rFonts w:asciiTheme="minorHAnsi" w:eastAsiaTheme="majorEastAsia" w:hAnsiTheme="minorHAnsi" w:cstheme="minorHAnsi"/>
          <w:b/>
          <w:bCs/>
        </w:rPr>
        <w:t xml:space="preserve"> </w:t>
      </w:r>
      <w:r w:rsidR="0089009B" w:rsidRPr="00B742BF">
        <w:rPr>
          <w:rFonts w:asciiTheme="minorHAnsi" w:eastAsiaTheme="majorEastAsia" w:hAnsiTheme="minorHAnsi" w:cstheme="minorHAnsi"/>
          <w:b/>
          <w:bCs/>
        </w:rPr>
        <w:t>Australia</w:t>
      </w:r>
      <w:r w:rsidR="0089009B" w:rsidRPr="00B742BF">
        <w:rPr>
          <w:rFonts w:asciiTheme="minorHAnsi" w:eastAsiaTheme="majorEastAsia" w:hAnsiTheme="minorHAnsi" w:cstheme="minorHAnsi"/>
        </w:rPr>
        <w:t xml:space="preserve"> (</w:t>
      </w:r>
      <w:r w:rsidR="00DD4D3C" w:rsidRPr="00B742BF">
        <w:rPr>
          <w:rFonts w:asciiTheme="minorHAnsi" w:eastAsiaTheme="majorEastAsia" w:hAnsiTheme="minorHAnsi" w:cstheme="minorHAnsi"/>
        </w:rPr>
        <w:t xml:space="preserve">down </w:t>
      </w:r>
      <w:r w:rsidR="0089009B" w:rsidRPr="00B742BF">
        <w:rPr>
          <w:rFonts w:asciiTheme="minorHAnsi" w:eastAsiaTheme="majorEastAsia" w:hAnsiTheme="minorHAnsi" w:cstheme="minorHAnsi"/>
        </w:rPr>
        <w:t xml:space="preserve">83%) and </w:t>
      </w:r>
      <w:r w:rsidR="0089009B" w:rsidRPr="00B742BF">
        <w:rPr>
          <w:rFonts w:asciiTheme="minorHAnsi" w:eastAsiaTheme="majorEastAsia" w:hAnsiTheme="minorHAnsi" w:cstheme="minorHAnsi"/>
          <w:b/>
          <w:bCs/>
        </w:rPr>
        <w:t xml:space="preserve">Mexico </w:t>
      </w:r>
      <w:r w:rsidR="0089009B" w:rsidRPr="00B742BF">
        <w:rPr>
          <w:rFonts w:asciiTheme="minorHAnsi" w:eastAsiaTheme="majorEastAsia" w:hAnsiTheme="minorHAnsi" w:cstheme="minorHAnsi"/>
        </w:rPr>
        <w:t>(down 24%)</w:t>
      </w:r>
      <w:r w:rsidRPr="00B742BF">
        <w:rPr>
          <w:rFonts w:asciiTheme="minorHAnsi" w:eastAsiaTheme="majorEastAsia" w:hAnsiTheme="minorHAnsi" w:cstheme="minorHAnsi"/>
        </w:rPr>
        <w:t xml:space="preserve">. </w:t>
      </w:r>
    </w:p>
    <w:p w14:paraId="50E30066" w14:textId="48E687C0" w:rsidR="00A11DD4" w:rsidRPr="00B742BF" w:rsidRDefault="00A11DD4" w:rsidP="00613AAE">
      <w:pPr>
        <w:pStyle w:val="NoSpacing"/>
        <w:numPr>
          <w:ilvl w:val="0"/>
          <w:numId w:val="20"/>
        </w:numPr>
        <w:tabs>
          <w:tab w:val="left" w:pos="3330"/>
        </w:tabs>
        <w:spacing w:line="269" w:lineRule="auto"/>
        <w:ind w:right="54"/>
      </w:pPr>
      <w:r w:rsidRPr="00B742BF">
        <w:rPr>
          <w:bCs/>
        </w:rPr>
        <w:t xml:space="preserve">As dominant markets, </w:t>
      </w:r>
      <w:r w:rsidRPr="00B742BF">
        <w:rPr>
          <w:b/>
        </w:rPr>
        <w:t>Canada</w:t>
      </w:r>
      <w:r w:rsidRPr="00B742BF">
        <w:rPr>
          <w:bCs/>
        </w:rPr>
        <w:t xml:space="preserve"> (down 24%) </w:t>
      </w:r>
      <w:r w:rsidR="00DD4D3C" w:rsidRPr="00B742BF">
        <w:rPr>
          <w:bCs/>
        </w:rPr>
        <w:t>triggered the</w:t>
      </w:r>
      <w:r w:rsidRPr="00B742BF">
        <w:rPr>
          <w:bCs/>
        </w:rPr>
        <w:t xml:space="preserve"> </w:t>
      </w:r>
      <w:r w:rsidR="00DD4D3C" w:rsidRPr="00B742BF">
        <w:rPr>
          <w:bCs/>
        </w:rPr>
        <w:t xml:space="preserve">decrease in </w:t>
      </w:r>
      <w:r w:rsidRPr="00B742BF">
        <w:rPr>
          <w:bCs/>
        </w:rPr>
        <w:t xml:space="preserve">exports of </w:t>
      </w:r>
      <w:r w:rsidRPr="00B742BF">
        <w:rPr>
          <w:b/>
        </w:rPr>
        <w:t>iron ores,</w:t>
      </w:r>
      <w:r w:rsidRPr="00B742BF">
        <w:rPr>
          <w:bCs/>
        </w:rPr>
        <w:t xml:space="preserve"> while </w:t>
      </w:r>
      <w:r w:rsidRPr="00B742BF">
        <w:rPr>
          <w:b/>
        </w:rPr>
        <w:t xml:space="preserve">China </w:t>
      </w:r>
      <w:r w:rsidRPr="00B742BF">
        <w:rPr>
          <w:bCs/>
        </w:rPr>
        <w:t xml:space="preserve">(down 63%) </w:t>
      </w:r>
      <w:r w:rsidR="00DD4D3C" w:rsidRPr="00B742BF">
        <w:rPr>
          <w:bCs/>
        </w:rPr>
        <w:t xml:space="preserve">drove the steep slide in </w:t>
      </w:r>
      <w:r w:rsidR="00D57FF8" w:rsidRPr="00B742BF">
        <w:rPr>
          <w:b/>
        </w:rPr>
        <w:t>misc. chemical products</w:t>
      </w:r>
      <w:r w:rsidR="00201420" w:rsidRPr="00B742BF">
        <w:rPr>
          <w:bCs/>
        </w:rPr>
        <w:t xml:space="preserve">, </w:t>
      </w:r>
      <w:r w:rsidR="00DD4D3C" w:rsidRPr="00B742BF">
        <w:rPr>
          <w:bCs/>
        </w:rPr>
        <w:t xml:space="preserve">as sales of </w:t>
      </w:r>
      <w:r w:rsidR="00DD4D3C" w:rsidRPr="00B742BF">
        <w:rPr>
          <w:b/>
        </w:rPr>
        <w:t xml:space="preserve">diagnostic or laboratory reagents </w:t>
      </w:r>
      <w:r w:rsidR="00DD4D3C" w:rsidRPr="00B742BF">
        <w:rPr>
          <w:bCs/>
        </w:rPr>
        <w:t>tumbled.</w:t>
      </w:r>
    </w:p>
    <w:p w14:paraId="04D66D4C" w14:textId="393A414E" w:rsidR="00BF39E5" w:rsidRPr="00B742BF" w:rsidRDefault="00C4200F" w:rsidP="00613AAE">
      <w:pPr>
        <w:pStyle w:val="NoSpacing"/>
        <w:numPr>
          <w:ilvl w:val="0"/>
          <w:numId w:val="20"/>
        </w:numPr>
        <w:tabs>
          <w:tab w:val="left" w:pos="3330"/>
        </w:tabs>
        <w:spacing w:line="269" w:lineRule="auto"/>
        <w:ind w:right="-14"/>
        <w:rPr>
          <w:rFonts w:asciiTheme="majorHAnsi" w:eastAsiaTheme="majorEastAsia" w:hAnsiTheme="majorHAnsi" w:cstheme="majorBidi"/>
          <w:b/>
          <w:i/>
          <w:iCs/>
          <w:sz w:val="24"/>
          <w:szCs w:val="24"/>
        </w:rPr>
      </w:pPr>
      <w:r w:rsidRPr="00B742BF">
        <w:rPr>
          <w:rFonts w:asciiTheme="minorHAnsi" w:eastAsiaTheme="majorEastAsia" w:hAnsiTheme="minorHAnsi" w:cstheme="minorHAnsi"/>
        </w:rPr>
        <w:t>Performances across markets for</w:t>
      </w:r>
      <w:r w:rsidR="002410C1" w:rsidRPr="00B742BF">
        <w:rPr>
          <w:rFonts w:asciiTheme="minorHAnsi" w:eastAsiaTheme="majorEastAsia" w:hAnsiTheme="minorHAnsi" w:cstheme="minorHAnsi"/>
        </w:rPr>
        <w:t xml:space="preserve"> </w:t>
      </w:r>
      <w:r w:rsidR="002410C1" w:rsidRPr="00B742BF">
        <w:rPr>
          <w:rFonts w:asciiTheme="minorHAnsi" w:eastAsiaTheme="majorEastAsia" w:hAnsiTheme="minorHAnsi" w:cstheme="minorHAnsi"/>
          <w:b/>
          <w:bCs/>
        </w:rPr>
        <w:t>optic, medical products</w:t>
      </w:r>
      <w:r w:rsidR="002410C1" w:rsidRPr="00B742BF">
        <w:rPr>
          <w:rFonts w:asciiTheme="minorHAnsi" w:eastAsiaTheme="majorEastAsia" w:hAnsiTheme="minorHAnsi" w:cstheme="minorHAnsi"/>
        </w:rPr>
        <w:t xml:space="preserve"> (down 3%)</w:t>
      </w:r>
      <w:r w:rsidRPr="00B742BF">
        <w:rPr>
          <w:rFonts w:asciiTheme="minorHAnsi" w:eastAsiaTheme="majorEastAsia" w:hAnsiTheme="minorHAnsi" w:cstheme="minorHAnsi"/>
        </w:rPr>
        <w:t xml:space="preserve"> were mixed. Surging</w:t>
      </w:r>
      <w:r w:rsidR="002410C1" w:rsidRPr="00B742BF">
        <w:rPr>
          <w:rFonts w:asciiTheme="minorHAnsi" w:eastAsiaTheme="majorEastAsia" w:hAnsiTheme="minorHAnsi" w:cstheme="minorHAnsi"/>
        </w:rPr>
        <w:t xml:space="preserve"> sales to </w:t>
      </w:r>
      <w:r w:rsidR="002410C1" w:rsidRPr="00B742BF">
        <w:rPr>
          <w:rFonts w:asciiTheme="minorHAnsi" w:eastAsiaTheme="majorEastAsia" w:hAnsiTheme="minorHAnsi" w:cstheme="minorHAnsi"/>
          <w:b/>
          <w:bCs/>
        </w:rPr>
        <w:t xml:space="preserve">Ireland, Singapore, Costa Rica </w:t>
      </w:r>
      <w:r w:rsidR="002410C1" w:rsidRPr="00B742BF">
        <w:rPr>
          <w:rFonts w:asciiTheme="minorHAnsi" w:eastAsiaTheme="majorEastAsia" w:hAnsiTheme="minorHAnsi" w:cstheme="minorHAnsi"/>
        </w:rPr>
        <w:t>and</w:t>
      </w:r>
      <w:r w:rsidR="002410C1" w:rsidRPr="00B742BF">
        <w:rPr>
          <w:rFonts w:asciiTheme="minorHAnsi" w:eastAsiaTheme="majorEastAsia" w:hAnsiTheme="minorHAnsi" w:cstheme="minorHAnsi"/>
          <w:b/>
          <w:bCs/>
        </w:rPr>
        <w:t xml:space="preserve"> Malaysia</w:t>
      </w:r>
      <w:r w:rsidR="002410C1" w:rsidRPr="00B742BF">
        <w:rPr>
          <w:rFonts w:asciiTheme="minorHAnsi" w:eastAsiaTheme="majorEastAsia" w:hAnsiTheme="minorHAnsi" w:cstheme="minorHAnsi"/>
        </w:rPr>
        <w:t xml:space="preserve"> </w:t>
      </w:r>
      <w:r w:rsidR="00201420" w:rsidRPr="00B742BF">
        <w:rPr>
          <w:rFonts w:asciiTheme="minorHAnsi" w:eastAsiaTheme="majorEastAsia" w:hAnsiTheme="minorHAnsi" w:cstheme="minorHAnsi"/>
        </w:rPr>
        <w:t>contrasted with</w:t>
      </w:r>
      <w:r w:rsidRPr="00B742BF">
        <w:rPr>
          <w:rFonts w:asciiTheme="minorHAnsi" w:eastAsiaTheme="majorEastAsia" w:hAnsiTheme="minorHAnsi" w:cstheme="minorHAnsi"/>
        </w:rPr>
        <w:t xml:space="preserve"> severe declines to </w:t>
      </w:r>
      <w:r w:rsidRPr="00B742BF">
        <w:rPr>
          <w:rFonts w:asciiTheme="minorHAnsi" w:eastAsiaTheme="majorEastAsia" w:hAnsiTheme="minorHAnsi" w:cstheme="minorHAnsi"/>
          <w:b/>
          <w:bCs/>
        </w:rPr>
        <w:t>Taiwan, Korea</w:t>
      </w:r>
      <w:r w:rsidRPr="00B742BF">
        <w:rPr>
          <w:rFonts w:asciiTheme="minorHAnsi" w:eastAsiaTheme="majorEastAsia" w:hAnsiTheme="minorHAnsi" w:cstheme="minorHAnsi"/>
        </w:rPr>
        <w:t xml:space="preserve"> and </w:t>
      </w:r>
      <w:r w:rsidRPr="00B742BF">
        <w:rPr>
          <w:rFonts w:asciiTheme="minorHAnsi" w:eastAsiaTheme="majorEastAsia" w:hAnsiTheme="minorHAnsi" w:cstheme="minorHAnsi"/>
          <w:b/>
          <w:bCs/>
        </w:rPr>
        <w:t>China.</w:t>
      </w:r>
      <w:r w:rsidR="00BF39E5" w:rsidRPr="00B742BF">
        <w:rPr>
          <w:rFonts w:asciiTheme="minorHAnsi" w:eastAsiaTheme="majorEastAsia" w:hAnsiTheme="minorHAnsi" w:cstheme="minorHAnsi"/>
          <w:b/>
          <w:bCs/>
        </w:rPr>
        <w:t xml:space="preserve">  </w:t>
      </w:r>
      <w:r w:rsidR="00605458" w:rsidRPr="00B742BF">
        <w:rPr>
          <w:rFonts w:asciiTheme="minorHAnsi" w:eastAsiaTheme="majorEastAsia" w:hAnsiTheme="minorHAnsi" w:cstheme="minorHAnsi"/>
        </w:rPr>
        <w:t xml:space="preserve">While </w:t>
      </w:r>
      <w:r w:rsidR="00BF39E5" w:rsidRPr="00B742BF">
        <w:rPr>
          <w:rFonts w:asciiTheme="minorHAnsi" w:eastAsiaTheme="majorEastAsia" w:hAnsiTheme="minorHAnsi" w:cstheme="minorHAnsi"/>
        </w:rPr>
        <w:t xml:space="preserve">exports of </w:t>
      </w:r>
      <w:r w:rsidR="00BF39E5" w:rsidRPr="00B742BF">
        <w:rPr>
          <w:rFonts w:asciiTheme="minorHAnsi" w:eastAsiaTheme="majorEastAsia" w:hAnsiTheme="minorHAnsi" w:cstheme="minorHAnsi"/>
          <w:b/>
          <w:bCs/>
        </w:rPr>
        <w:t xml:space="preserve">medical, surgical instruments </w:t>
      </w:r>
      <w:r w:rsidR="00BF39E5" w:rsidRPr="00B742BF">
        <w:rPr>
          <w:rFonts w:asciiTheme="minorHAnsi" w:eastAsiaTheme="majorEastAsia" w:hAnsiTheme="minorHAnsi" w:cstheme="minorHAnsi"/>
        </w:rPr>
        <w:t xml:space="preserve">and </w:t>
      </w:r>
      <w:r w:rsidR="00BF39E5" w:rsidRPr="00B742BF">
        <w:rPr>
          <w:rFonts w:asciiTheme="minorHAnsi" w:eastAsiaTheme="majorEastAsia" w:hAnsiTheme="minorHAnsi" w:cstheme="minorHAnsi"/>
          <w:b/>
          <w:bCs/>
        </w:rPr>
        <w:t xml:space="preserve">orthopedic, artificial body parts </w:t>
      </w:r>
      <w:r w:rsidR="00605458" w:rsidRPr="00B742BF">
        <w:rPr>
          <w:rFonts w:asciiTheme="minorHAnsi" w:eastAsiaTheme="majorEastAsia" w:hAnsiTheme="minorHAnsi" w:cstheme="minorHAnsi"/>
        </w:rPr>
        <w:t>made robust gains, those of</w:t>
      </w:r>
      <w:r w:rsidR="00BF39E5" w:rsidRPr="00B742BF">
        <w:rPr>
          <w:rFonts w:asciiTheme="minorHAnsi" w:eastAsiaTheme="majorEastAsia" w:hAnsiTheme="minorHAnsi" w:cstheme="minorHAnsi"/>
        </w:rPr>
        <w:t xml:space="preserve"> </w:t>
      </w:r>
      <w:r w:rsidR="00BF39E5" w:rsidRPr="00B742BF">
        <w:rPr>
          <w:rFonts w:asciiTheme="minorHAnsi" w:eastAsiaTheme="majorEastAsia" w:hAnsiTheme="minorHAnsi" w:cstheme="minorHAnsi"/>
          <w:b/>
          <w:bCs/>
        </w:rPr>
        <w:t>measuring instruments</w:t>
      </w:r>
      <w:r w:rsidR="00BF39E5" w:rsidRPr="00B742BF">
        <w:rPr>
          <w:rFonts w:asciiTheme="minorHAnsi" w:eastAsiaTheme="majorEastAsia" w:hAnsiTheme="minorHAnsi" w:cstheme="minorHAnsi"/>
        </w:rPr>
        <w:t xml:space="preserve"> and </w:t>
      </w:r>
      <w:r w:rsidR="00BF39E5" w:rsidRPr="00B742BF">
        <w:rPr>
          <w:rFonts w:asciiTheme="minorHAnsi" w:eastAsiaTheme="majorEastAsia" w:hAnsiTheme="minorHAnsi" w:cstheme="minorHAnsi"/>
          <w:b/>
          <w:bCs/>
        </w:rPr>
        <w:t>testing equipment</w:t>
      </w:r>
      <w:r w:rsidR="00605458" w:rsidRPr="00B742BF">
        <w:rPr>
          <w:rFonts w:asciiTheme="minorHAnsi" w:eastAsiaTheme="majorEastAsia" w:hAnsiTheme="minorHAnsi" w:cstheme="minorHAnsi"/>
          <w:b/>
          <w:bCs/>
        </w:rPr>
        <w:t xml:space="preserve"> </w:t>
      </w:r>
      <w:r w:rsidR="00605458" w:rsidRPr="00B742BF">
        <w:rPr>
          <w:rFonts w:asciiTheme="minorHAnsi" w:eastAsiaTheme="majorEastAsia" w:hAnsiTheme="minorHAnsi" w:cstheme="minorHAnsi"/>
        </w:rPr>
        <w:t>tumbled</w:t>
      </w:r>
      <w:r w:rsidR="00BF39E5" w:rsidRPr="00B742BF">
        <w:rPr>
          <w:rFonts w:asciiTheme="minorHAnsi" w:eastAsiaTheme="majorEastAsia" w:hAnsiTheme="minorHAnsi" w:cstheme="minorHAnsi"/>
        </w:rPr>
        <w:t>.</w:t>
      </w:r>
    </w:p>
    <w:p w14:paraId="7B28C566" w14:textId="7C7933C8" w:rsidR="0058253D" w:rsidRPr="00B742BF" w:rsidRDefault="00EA766E" w:rsidP="00E7703E">
      <w:pPr>
        <w:pStyle w:val="NoSpacing"/>
        <w:numPr>
          <w:ilvl w:val="0"/>
          <w:numId w:val="20"/>
        </w:numPr>
        <w:tabs>
          <w:tab w:val="left" w:pos="3330"/>
        </w:tabs>
        <w:spacing w:line="269" w:lineRule="auto"/>
        <w:ind w:right="-14"/>
        <w:rPr>
          <w:rStyle w:val="Heading4Char"/>
          <w:b/>
          <w:szCs w:val="24"/>
        </w:rPr>
      </w:pPr>
      <w:r w:rsidRPr="00B742BF">
        <w:rPr>
          <w:bCs/>
        </w:rPr>
        <w:t>S</w:t>
      </w:r>
      <w:r w:rsidR="0058253D" w:rsidRPr="00B742BF">
        <w:rPr>
          <w:bCs/>
        </w:rPr>
        <w:t xml:space="preserve">ales of </w:t>
      </w:r>
      <w:r w:rsidR="0058253D" w:rsidRPr="00B742BF">
        <w:rPr>
          <w:b/>
        </w:rPr>
        <w:t>plastics</w:t>
      </w:r>
      <w:r w:rsidR="00C0311B" w:rsidRPr="00B742BF">
        <w:rPr>
          <w:bCs/>
        </w:rPr>
        <w:t xml:space="preserve"> (particularly of</w:t>
      </w:r>
      <w:r w:rsidRPr="00B742BF">
        <w:rPr>
          <w:bCs/>
        </w:rPr>
        <w:t xml:space="preserve"> </w:t>
      </w:r>
      <w:r w:rsidRPr="00B742BF">
        <w:rPr>
          <w:b/>
        </w:rPr>
        <w:t>plates, sheets and film</w:t>
      </w:r>
      <w:r w:rsidR="00C0311B" w:rsidRPr="00B742BF">
        <w:rPr>
          <w:bCs/>
        </w:rPr>
        <w:t>)</w:t>
      </w:r>
      <w:r w:rsidRPr="00B742BF">
        <w:rPr>
          <w:bCs/>
        </w:rPr>
        <w:t xml:space="preserve"> </w:t>
      </w:r>
      <w:r w:rsidR="00C0311B" w:rsidRPr="00B742BF">
        <w:rPr>
          <w:bCs/>
        </w:rPr>
        <w:t xml:space="preserve">dropped the most </w:t>
      </w:r>
      <w:r w:rsidRPr="00B742BF">
        <w:rPr>
          <w:bCs/>
        </w:rPr>
        <w:t>to</w:t>
      </w:r>
      <w:r w:rsidR="00C0311B" w:rsidRPr="00B742BF">
        <w:rPr>
          <w:bCs/>
        </w:rPr>
        <w:t xml:space="preserve"> </w:t>
      </w:r>
      <w:r w:rsidR="00C0311B" w:rsidRPr="00B742BF">
        <w:rPr>
          <w:b/>
        </w:rPr>
        <w:t xml:space="preserve">Canada, Mexico </w:t>
      </w:r>
      <w:r w:rsidR="00C0311B" w:rsidRPr="00B742BF">
        <w:rPr>
          <w:bCs/>
        </w:rPr>
        <w:t xml:space="preserve">and </w:t>
      </w:r>
      <w:r w:rsidR="00C0311B" w:rsidRPr="00B742BF">
        <w:rPr>
          <w:b/>
        </w:rPr>
        <w:t>China</w:t>
      </w:r>
      <w:r w:rsidRPr="00B742BF">
        <w:rPr>
          <w:bCs/>
        </w:rPr>
        <w:t>.</w:t>
      </w:r>
    </w:p>
    <w:p w14:paraId="73FA3A2E" w14:textId="67EE079F" w:rsidR="00596618" w:rsidRPr="00B742BF" w:rsidRDefault="007F1C4A" w:rsidP="00C149BA">
      <w:pPr>
        <w:pStyle w:val="Heading4"/>
        <w:spacing w:before="80" w:after="80"/>
      </w:pPr>
      <w:r w:rsidRPr="00B742BF">
        <w:t>Fi</w:t>
      </w:r>
      <w:r w:rsidR="00A44451" w:rsidRPr="00B742BF">
        <w:t>gure 4. Export Trends for</w:t>
      </w:r>
      <w:r w:rsidRPr="00B742BF">
        <w:t xml:space="preserve"> Minnesota’s Top 10 Products, </w:t>
      </w:r>
      <w:r w:rsidR="007B714B" w:rsidRPr="00B742BF">
        <w:t>Third</w:t>
      </w:r>
      <w:r w:rsidR="00375ACF" w:rsidRPr="00B742BF">
        <w:t xml:space="preserve"> </w:t>
      </w:r>
      <w:r w:rsidR="00F85FA6" w:rsidRPr="00B742BF">
        <w:t>Q</w:t>
      </w:r>
      <w:r w:rsidR="00375ACF" w:rsidRPr="00B742BF">
        <w:t>uarter</w:t>
      </w:r>
      <w:r w:rsidR="00A52415" w:rsidRPr="00B742BF">
        <w:t xml:space="preserve"> </w:t>
      </w:r>
      <w:r w:rsidR="00BB19C4" w:rsidRPr="00B742BF">
        <w:t>2025</w:t>
      </w:r>
    </w:p>
    <w:p w14:paraId="3C615A85" w14:textId="65147988" w:rsidR="00613AAE" w:rsidRPr="00B742BF" w:rsidRDefault="00613AAE" w:rsidP="00C149BA">
      <w:r w:rsidRPr="00B742BF">
        <w:rPr>
          <w:noProof/>
        </w:rPr>
        <w:drawing>
          <wp:inline distT="0" distB="0" distL="0" distR="0" wp14:anchorId="6620ABB7" wp14:editId="3644E3DE">
            <wp:extent cx="6492240" cy="1853565"/>
            <wp:effectExtent l="0" t="0" r="3810" b="0"/>
            <wp:docPr id="1892453908" name="Picture 2" descr="double bar chart &#10;Minnesota export trends for top 10 product categories, 2025-q3&#10;Product Exports (millions) Percent Change, 2024-Q3 to 2025-Q3&#10;Total  $5,730  -14%&#10;Optic, Medical  $1,082  -3%&#10;Electrical Equipment  $931  2%&#10;Machinery  $904  -11%&#10;Vehicles  $379  -20%&#10;Plastics  $297  -9%&#10;Aircraft, Spacecraft  $175  3%&#10;Food By-Products  $152  -7%&#10;Cereals  $150  -4%&#10;Ores, Slag, Ash  $141  -24%&#10;Oil Seeds, Misc Grain  $107  -15%&#10;Other  $1,414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53908" name="Picture 2" descr="double bar chart &#10;Minnesota export trends for top 10 product categories, 2025-q3&#10;Product Exports (millions) Percent Change, 2024-Q3 to 2025-Q3&#10;Total  $5,730  -14%&#10;Optic, Medical  $1,082  -3%&#10;Electrical Equipment  $931  2%&#10;Machinery  $904  -11%&#10;Vehicles  $379  -20%&#10;Plastics  $297  -9%&#10;Aircraft, Spacecraft  $175  3%&#10;Food By-Products  $152  -7%&#10;Cereals  $150  -4%&#10;Ores, Slag, Ash  $141  -24%&#10;Oil Seeds, Misc Grain  $107  -15%&#10;Other  $1,414  -31%"/>
                    <pic:cNvPicPr>
                      <a:picLocks noChangeAspect="1" noChangeArrowheads="1"/>
                    </pic:cNvPicPr>
                  </pic:nvPicPr>
                  <pic:blipFill rotWithShape="1">
                    <a:blip r:embed="rId17">
                      <a:extLst>
                        <a:ext uri="{28A0092B-C50C-407E-A947-70E740481C1C}">
                          <a14:useLocalDpi xmlns:a14="http://schemas.microsoft.com/office/drawing/2010/main" val="0"/>
                        </a:ext>
                      </a:extLst>
                    </a:blip>
                    <a:srcRect t="6262"/>
                    <a:stretch/>
                  </pic:blipFill>
                  <pic:spPr bwMode="auto">
                    <a:xfrm>
                      <a:off x="0" y="0"/>
                      <a:ext cx="6492240" cy="1853565"/>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0" w:rightFromText="180" w:vertAnchor="page" w:horzAnchor="margin" w:tblpY="13260"/>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E5A6"/>
        <w:tblLook w:val="04A0" w:firstRow="1" w:lastRow="0" w:firstColumn="1" w:lastColumn="0" w:noHBand="0" w:noVBand="1"/>
        <w:tblCaption w:val="Additional information"/>
        <w:tblDescription w:val="Minnesota Export Statistics reports track the state’s trends in exports of goods and is prepared for the Minnesota Trade Office by DEED’s Economic Analysis Unit (Thu-Mai Ho-Kim). The quarterly and annual reports primarily cover export data based on the Harmonized Tariff System (Schedule B), collected by the Foreign Trade Division, Census Bureau, U.S. Dept of Commerce and accessed through USA Trade Online (Census Bureau) and Trade Data Monitor (TDM). Historical reports are available on DEED’s website at “Export and Trade Statistics” (http://mn.gov/deed/data/export-stats/).  "/>
      </w:tblPr>
      <w:tblGrid>
        <w:gridCol w:w="10255"/>
      </w:tblGrid>
      <w:tr w:rsidR="00B742BF" w:rsidRPr="00B742BF" w14:paraId="23A6C19B" w14:textId="77777777" w:rsidTr="006B5811">
        <w:trPr>
          <w:trHeight w:val="530"/>
        </w:trPr>
        <w:tc>
          <w:tcPr>
            <w:tcW w:w="10255" w:type="dxa"/>
            <w:shd w:val="clear" w:color="auto" w:fill="C9E5A6"/>
          </w:tcPr>
          <w:p w14:paraId="282EBA1D" w14:textId="77777777" w:rsidR="00DF665C" w:rsidRPr="00B742BF" w:rsidRDefault="00DF665C" w:rsidP="006B5811">
            <w:pPr>
              <w:spacing w:before="120" w:after="120"/>
              <w:rPr>
                <w:rFonts w:cs="Calibri"/>
                <w:sz w:val="20"/>
                <w:szCs w:val="20"/>
              </w:rPr>
            </w:pPr>
            <w:r w:rsidRPr="00B742BF">
              <w:rPr>
                <w:rStyle w:val="Emphasis"/>
                <w:rFonts w:cstheme="minorHAnsi"/>
                <w:sz w:val="20"/>
                <w:szCs w:val="20"/>
              </w:rPr>
              <w:t>Minnesota Export Statistics</w:t>
            </w:r>
            <w:r w:rsidRPr="00B742BF">
              <w:rPr>
                <w:rStyle w:val="Emphasis"/>
                <w:rFonts w:cstheme="minorHAnsi"/>
                <w:i w:val="0"/>
                <w:iCs w:val="0"/>
                <w:sz w:val="20"/>
                <w:szCs w:val="20"/>
              </w:rPr>
              <w:t xml:space="preserve"> </w:t>
            </w:r>
            <w:r w:rsidRPr="00B742BF">
              <w:rPr>
                <w:rStyle w:val="Emphasis"/>
                <w:i w:val="0"/>
                <w:iCs w:val="0"/>
                <w:sz w:val="20"/>
                <w:szCs w:val="20"/>
              </w:rPr>
              <w:t>reports</w:t>
            </w:r>
            <w:r w:rsidRPr="00B742BF">
              <w:rPr>
                <w:rStyle w:val="Emphasis"/>
                <w:sz w:val="20"/>
                <w:szCs w:val="20"/>
              </w:rPr>
              <w:t xml:space="preserve"> t</w:t>
            </w:r>
            <w:r w:rsidRPr="00B742BF">
              <w:rPr>
                <w:rFonts w:cstheme="minorHAnsi"/>
                <w:sz w:val="20"/>
                <w:szCs w:val="20"/>
              </w:rPr>
              <w:t>rack the state’s trends in exports of goods and is prepared for the Minnesota Trade Office by DEED’s Economic Analysis Unit (Thu-Mai Ho-Kim). The quarterly and annual reports primarily cover export data based on the Harmonized Tariff System (Schedule B), collected by the Foreign Trade Division, Census Bureau, U.S. Dept of Commerce and accessed through USA Trade Online (Census Bureau) and Trade Data Monitor (TDM). Historical reports are available on DEED’s website at “Export and Trade Statistics” (</w:t>
            </w:r>
            <w:hyperlink r:id="rId18" w:history="1">
              <w:r w:rsidRPr="00B742BF">
                <w:rPr>
                  <w:rStyle w:val="Hyperlink"/>
                  <w:rFonts w:cstheme="minorHAnsi"/>
                  <w:color w:val="auto"/>
                  <w:sz w:val="20"/>
                  <w:szCs w:val="20"/>
                </w:rPr>
                <w:t>http://mn.gov/deed/data/export-stats/</w:t>
              </w:r>
            </w:hyperlink>
            <w:r w:rsidRPr="00B742BF">
              <w:rPr>
                <w:rFonts w:cstheme="minorHAnsi"/>
                <w:sz w:val="20"/>
                <w:szCs w:val="20"/>
              </w:rPr>
              <w:t xml:space="preserve">).  </w:t>
            </w:r>
          </w:p>
        </w:tc>
      </w:tr>
    </w:tbl>
    <w:p w14:paraId="67779A89" w14:textId="0109015F" w:rsidR="00FE15EB" w:rsidRPr="00B742BF" w:rsidRDefault="00FE15EB" w:rsidP="00F331FC">
      <w:pPr>
        <w:rPr>
          <w:rFonts w:ascii="Times New Roman" w:eastAsia="Times New Roman" w:hAnsi="Times New Roman" w:cs="Times New Roman"/>
          <w:snapToGrid w:val="0"/>
          <w:w w:val="0"/>
          <w:sz w:val="0"/>
          <w:szCs w:val="0"/>
          <w:u w:color="000000"/>
          <w:bdr w:val="none" w:sz="0" w:space="0" w:color="000000"/>
          <w:shd w:val="clear" w:color="000000" w:fill="000000"/>
          <w:lang w:eastAsia="x-none" w:bidi="x-none"/>
        </w:rPr>
      </w:pPr>
    </w:p>
    <w:sectPr w:rsidR="00FE15EB" w:rsidRPr="00B742BF" w:rsidSect="00FE15EB">
      <w:footnotePr>
        <w:numRestart w:val="eachSect"/>
      </w:footnotePr>
      <w:endnotePr>
        <w:numFmt w:val="decimal"/>
      </w:endnotePr>
      <w:type w:val="continuous"/>
      <w:pgSz w:w="12240" w:h="15840" w:code="1"/>
      <w:pgMar w:top="864" w:right="1008" w:bottom="864"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EDE0" w14:textId="77777777" w:rsidR="007119FE" w:rsidRDefault="007119FE">
      <w:r>
        <w:separator/>
      </w:r>
    </w:p>
  </w:endnote>
  <w:endnote w:type="continuationSeparator" w:id="0">
    <w:p w14:paraId="7C9C92B5" w14:textId="77777777" w:rsidR="007119FE" w:rsidRDefault="0071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11F6" w14:textId="77777777" w:rsidR="00CC1B7D" w:rsidRDefault="00CC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2E195" w14:textId="77777777" w:rsidR="00CC1B7D" w:rsidRDefault="00CC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6150" w14:textId="22E678C6" w:rsidR="00A14E15" w:rsidRPr="00A14E15" w:rsidRDefault="00A14E15" w:rsidP="00A14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C0B9" w14:textId="77777777" w:rsidR="007119FE" w:rsidRDefault="007119FE">
      <w:r>
        <w:separator/>
      </w:r>
    </w:p>
  </w:footnote>
  <w:footnote w:type="continuationSeparator" w:id="0">
    <w:p w14:paraId="05AAE318" w14:textId="77777777" w:rsidR="007119FE" w:rsidRDefault="00711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B42A" w14:textId="77777777" w:rsidR="00CC1B7D" w:rsidRDefault="00CC1B7D" w:rsidP="00E014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47C6F" w14:textId="77777777" w:rsidR="00CC1B7D" w:rsidRDefault="00CC1B7D" w:rsidP="00E014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BEFB" w14:textId="77777777" w:rsidR="00CC1B7D" w:rsidRDefault="00CC1B7D" w:rsidP="00E014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236">
      <w:rPr>
        <w:rStyle w:val="PageNumber"/>
        <w:noProof/>
      </w:rPr>
      <w:t>2</w:t>
    </w:r>
    <w:r>
      <w:rPr>
        <w:rStyle w:val="PageNumber"/>
      </w:rPr>
      <w:fldChar w:fldCharType="end"/>
    </w:r>
  </w:p>
  <w:p w14:paraId="4CE97ED2" w14:textId="77777777" w:rsidR="00CC1B7D" w:rsidRDefault="00CC1B7D" w:rsidP="00E014F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948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51E06"/>
    <w:multiLevelType w:val="hybridMultilevel"/>
    <w:tmpl w:val="09FC6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AD7251"/>
    <w:multiLevelType w:val="hybridMultilevel"/>
    <w:tmpl w:val="A20C3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3760D4"/>
    <w:multiLevelType w:val="hybridMultilevel"/>
    <w:tmpl w:val="DAF0C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055FB0"/>
    <w:multiLevelType w:val="hybridMultilevel"/>
    <w:tmpl w:val="39F01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9B22E7"/>
    <w:multiLevelType w:val="hybridMultilevel"/>
    <w:tmpl w:val="DB8C1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621A5E"/>
    <w:multiLevelType w:val="hybridMultilevel"/>
    <w:tmpl w:val="787C9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6B6753"/>
    <w:multiLevelType w:val="hybridMultilevel"/>
    <w:tmpl w:val="16028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8E4940"/>
    <w:multiLevelType w:val="hybridMultilevel"/>
    <w:tmpl w:val="4AAE80EE"/>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36E93"/>
    <w:multiLevelType w:val="hybridMultilevel"/>
    <w:tmpl w:val="A672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61121C"/>
    <w:multiLevelType w:val="hybridMultilevel"/>
    <w:tmpl w:val="CFAA2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9424AE"/>
    <w:multiLevelType w:val="hybridMultilevel"/>
    <w:tmpl w:val="C5087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731D63"/>
    <w:multiLevelType w:val="hybridMultilevel"/>
    <w:tmpl w:val="0FB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81A19"/>
    <w:multiLevelType w:val="hybridMultilevel"/>
    <w:tmpl w:val="B832D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926A3"/>
    <w:multiLevelType w:val="hybridMultilevel"/>
    <w:tmpl w:val="0A604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73CB2"/>
    <w:multiLevelType w:val="hybridMultilevel"/>
    <w:tmpl w:val="E0E41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1704E9"/>
    <w:multiLevelType w:val="hybridMultilevel"/>
    <w:tmpl w:val="187CA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550900"/>
    <w:multiLevelType w:val="hybridMultilevel"/>
    <w:tmpl w:val="D1D21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38056F"/>
    <w:multiLevelType w:val="hybridMultilevel"/>
    <w:tmpl w:val="88CEE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DA42E3"/>
    <w:multiLevelType w:val="hybridMultilevel"/>
    <w:tmpl w:val="8A0ED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8B18F3"/>
    <w:multiLevelType w:val="hybridMultilevel"/>
    <w:tmpl w:val="9CD05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1603F"/>
    <w:multiLevelType w:val="hybridMultilevel"/>
    <w:tmpl w:val="40FEA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9D255A"/>
    <w:multiLevelType w:val="hybridMultilevel"/>
    <w:tmpl w:val="2EE46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975A35"/>
    <w:multiLevelType w:val="hybridMultilevel"/>
    <w:tmpl w:val="E5021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F11FFB"/>
    <w:multiLevelType w:val="hybridMultilevel"/>
    <w:tmpl w:val="4CDAD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483CF5"/>
    <w:multiLevelType w:val="hybridMultilevel"/>
    <w:tmpl w:val="67300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E717D2"/>
    <w:multiLevelType w:val="hybridMultilevel"/>
    <w:tmpl w:val="E334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115109">
    <w:abstractNumId w:val="0"/>
  </w:num>
  <w:num w:numId="2" w16cid:durableId="587809003">
    <w:abstractNumId w:val="19"/>
  </w:num>
  <w:num w:numId="3" w16cid:durableId="315185240">
    <w:abstractNumId w:val="18"/>
  </w:num>
  <w:num w:numId="4" w16cid:durableId="739328196">
    <w:abstractNumId w:val="6"/>
  </w:num>
  <w:num w:numId="5" w16cid:durableId="596596594">
    <w:abstractNumId w:val="2"/>
  </w:num>
  <w:num w:numId="6" w16cid:durableId="1351759869">
    <w:abstractNumId w:val="12"/>
  </w:num>
  <w:num w:numId="7" w16cid:durableId="1845899144">
    <w:abstractNumId w:val="26"/>
  </w:num>
  <w:num w:numId="8" w16cid:durableId="1255089048">
    <w:abstractNumId w:val="23"/>
  </w:num>
  <w:num w:numId="9" w16cid:durableId="812912516">
    <w:abstractNumId w:val="15"/>
  </w:num>
  <w:num w:numId="10" w16cid:durableId="434403191">
    <w:abstractNumId w:val="13"/>
  </w:num>
  <w:num w:numId="11" w16cid:durableId="199321401">
    <w:abstractNumId w:val="10"/>
  </w:num>
  <w:num w:numId="12" w16cid:durableId="1962147869">
    <w:abstractNumId w:val="4"/>
  </w:num>
  <w:num w:numId="13" w16cid:durableId="26877656">
    <w:abstractNumId w:val="24"/>
  </w:num>
  <w:num w:numId="14" w16cid:durableId="1700356944">
    <w:abstractNumId w:val="16"/>
  </w:num>
  <w:num w:numId="15" w16cid:durableId="1203322051">
    <w:abstractNumId w:val="8"/>
  </w:num>
  <w:num w:numId="16" w16cid:durableId="1798253661">
    <w:abstractNumId w:val="5"/>
  </w:num>
  <w:num w:numId="17" w16cid:durableId="136194312">
    <w:abstractNumId w:val="14"/>
  </w:num>
  <w:num w:numId="18" w16cid:durableId="449085045">
    <w:abstractNumId w:val="20"/>
  </w:num>
  <w:num w:numId="19" w16cid:durableId="696664036">
    <w:abstractNumId w:val="22"/>
  </w:num>
  <w:num w:numId="20" w16cid:durableId="432828150">
    <w:abstractNumId w:val="7"/>
  </w:num>
  <w:num w:numId="21" w16cid:durableId="1622178262">
    <w:abstractNumId w:val="17"/>
  </w:num>
  <w:num w:numId="22" w16cid:durableId="814876352">
    <w:abstractNumId w:val="9"/>
  </w:num>
  <w:num w:numId="23" w16cid:durableId="1871646905">
    <w:abstractNumId w:val="11"/>
  </w:num>
  <w:num w:numId="24" w16cid:durableId="2041121148">
    <w:abstractNumId w:val="3"/>
  </w:num>
  <w:num w:numId="25" w16cid:durableId="149908005">
    <w:abstractNumId w:val="21"/>
  </w:num>
  <w:num w:numId="26" w16cid:durableId="1109086943">
    <w:abstractNumId w:val="1"/>
  </w:num>
  <w:num w:numId="27" w16cid:durableId="72857948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AB"/>
    <w:rsid w:val="000034DC"/>
    <w:rsid w:val="00003FDB"/>
    <w:rsid w:val="000041CC"/>
    <w:rsid w:val="0000470B"/>
    <w:rsid w:val="000067D4"/>
    <w:rsid w:val="000115BA"/>
    <w:rsid w:val="00013717"/>
    <w:rsid w:val="00014412"/>
    <w:rsid w:val="00015A9D"/>
    <w:rsid w:val="00017FE0"/>
    <w:rsid w:val="000218A0"/>
    <w:rsid w:val="0002236E"/>
    <w:rsid w:val="00024A13"/>
    <w:rsid w:val="00024BB5"/>
    <w:rsid w:val="00027632"/>
    <w:rsid w:val="00027BEA"/>
    <w:rsid w:val="00031A2C"/>
    <w:rsid w:val="000341DE"/>
    <w:rsid w:val="000350A7"/>
    <w:rsid w:val="00035328"/>
    <w:rsid w:val="00036238"/>
    <w:rsid w:val="00036760"/>
    <w:rsid w:val="00040083"/>
    <w:rsid w:val="00044ED9"/>
    <w:rsid w:val="00046117"/>
    <w:rsid w:val="00051435"/>
    <w:rsid w:val="00051FE0"/>
    <w:rsid w:val="00051FF7"/>
    <w:rsid w:val="00052D34"/>
    <w:rsid w:val="000541A0"/>
    <w:rsid w:val="00054A6E"/>
    <w:rsid w:val="00055AAF"/>
    <w:rsid w:val="0005790D"/>
    <w:rsid w:val="000603F2"/>
    <w:rsid w:val="00061093"/>
    <w:rsid w:val="0006144E"/>
    <w:rsid w:val="0006608A"/>
    <w:rsid w:val="000705F0"/>
    <w:rsid w:val="000716AC"/>
    <w:rsid w:val="00073109"/>
    <w:rsid w:val="000731F2"/>
    <w:rsid w:val="00073987"/>
    <w:rsid w:val="0007455F"/>
    <w:rsid w:val="00076952"/>
    <w:rsid w:val="00076DF3"/>
    <w:rsid w:val="00077989"/>
    <w:rsid w:val="0008038B"/>
    <w:rsid w:val="00083199"/>
    <w:rsid w:val="000859F2"/>
    <w:rsid w:val="00085EED"/>
    <w:rsid w:val="000878A3"/>
    <w:rsid w:val="00090B7B"/>
    <w:rsid w:val="000919F2"/>
    <w:rsid w:val="0009219A"/>
    <w:rsid w:val="000924DC"/>
    <w:rsid w:val="00092621"/>
    <w:rsid w:val="0009287F"/>
    <w:rsid w:val="000929D8"/>
    <w:rsid w:val="00092FFB"/>
    <w:rsid w:val="00096FFD"/>
    <w:rsid w:val="00097936"/>
    <w:rsid w:val="000A1297"/>
    <w:rsid w:val="000A1B8D"/>
    <w:rsid w:val="000A491B"/>
    <w:rsid w:val="000A4AB3"/>
    <w:rsid w:val="000A5664"/>
    <w:rsid w:val="000A7EF0"/>
    <w:rsid w:val="000B2DF3"/>
    <w:rsid w:val="000B518F"/>
    <w:rsid w:val="000B5C1E"/>
    <w:rsid w:val="000B6338"/>
    <w:rsid w:val="000C1CB0"/>
    <w:rsid w:val="000C2181"/>
    <w:rsid w:val="000C2375"/>
    <w:rsid w:val="000C3AE5"/>
    <w:rsid w:val="000C4ED2"/>
    <w:rsid w:val="000D02DD"/>
    <w:rsid w:val="000D1330"/>
    <w:rsid w:val="000D18A9"/>
    <w:rsid w:val="000D1941"/>
    <w:rsid w:val="000D2409"/>
    <w:rsid w:val="000D566F"/>
    <w:rsid w:val="000D5D94"/>
    <w:rsid w:val="000D5EC5"/>
    <w:rsid w:val="000D6D2A"/>
    <w:rsid w:val="000D6FAF"/>
    <w:rsid w:val="000E0786"/>
    <w:rsid w:val="000E3376"/>
    <w:rsid w:val="000E532F"/>
    <w:rsid w:val="000E6BD9"/>
    <w:rsid w:val="000E6F54"/>
    <w:rsid w:val="000E7ED0"/>
    <w:rsid w:val="000F0519"/>
    <w:rsid w:val="000F06F6"/>
    <w:rsid w:val="000F1497"/>
    <w:rsid w:val="000F1844"/>
    <w:rsid w:val="000F1B22"/>
    <w:rsid w:val="000F3E1F"/>
    <w:rsid w:val="000F4C5E"/>
    <w:rsid w:val="000F54F2"/>
    <w:rsid w:val="000F5EB1"/>
    <w:rsid w:val="000F6660"/>
    <w:rsid w:val="000F6CDA"/>
    <w:rsid w:val="000F733F"/>
    <w:rsid w:val="00106910"/>
    <w:rsid w:val="00107686"/>
    <w:rsid w:val="001104C3"/>
    <w:rsid w:val="001127F8"/>
    <w:rsid w:val="00112A1D"/>
    <w:rsid w:val="00112A91"/>
    <w:rsid w:val="001160A5"/>
    <w:rsid w:val="00117A11"/>
    <w:rsid w:val="001214D7"/>
    <w:rsid w:val="0012471B"/>
    <w:rsid w:val="001250AB"/>
    <w:rsid w:val="001263E2"/>
    <w:rsid w:val="00132366"/>
    <w:rsid w:val="00132A66"/>
    <w:rsid w:val="00134A9C"/>
    <w:rsid w:val="00134ECC"/>
    <w:rsid w:val="00134F20"/>
    <w:rsid w:val="00135A0B"/>
    <w:rsid w:val="001360E3"/>
    <w:rsid w:val="00136664"/>
    <w:rsid w:val="0013711B"/>
    <w:rsid w:val="001373C3"/>
    <w:rsid w:val="00137E8C"/>
    <w:rsid w:val="00140B5F"/>
    <w:rsid w:val="00142003"/>
    <w:rsid w:val="0014228E"/>
    <w:rsid w:val="001422BE"/>
    <w:rsid w:val="00145936"/>
    <w:rsid w:val="00147356"/>
    <w:rsid w:val="00147EEF"/>
    <w:rsid w:val="00150201"/>
    <w:rsid w:val="001619F1"/>
    <w:rsid w:val="001625A3"/>
    <w:rsid w:val="00162EF3"/>
    <w:rsid w:val="0016340E"/>
    <w:rsid w:val="00163A63"/>
    <w:rsid w:val="00163D3F"/>
    <w:rsid w:val="00164B97"/>
    <w:rsid w:val="00170A9E"/>
    <w:rsid w:val="00172BF4"/>
    <w:rsid w:val="00172FA7"/>
    <w:rsid w:val="00173478"/>
    <w:rsid w:val="00173D78"/>
    <w:rsid w:val="00176732"/>
    <w:rsid w:val="00176E55"/>
    <w:rsid w:val="0018069A"/>
    <w:rsid w:val="00182D30"/>
    <w:rsid w:val="0018375B"/>
    <w:rsid w:val="0018461A"/>
    <w:rsid w:val="001846AE"/>
    <w:rsid w:val="001873D8"/>
    <w:rsid w:val="00192539"/>
    <w:rsid w:val="001942D2"/>
    <w:rsid w:val="001944CA"/>
    <w:rsid w:val="001968E6"/>
    <w:rsid w:val="001978D1"/>
    <w:rsid w:val="001979B1"/>
    <w:rsid w:val="001A7229"/>
    <w:rsid w:val="001A7363"/>
    <w:rsid w:val="001A787E"/>
    <w:rsid w:val="001B0716"/>
    <w:rsid w:val="001B0835"/>
    <w:rsid w:val="001B0D71"/>
    <w:rsid w:val="001B1416"/>
    <w:rsid w:val="001B344A"/>
    <w:rsid w:val="001B3687"/>
    <w:rsid w:val="001B4406"/>
    <w:rsid w:val="001B5950"/>
    <w:rsid w:val="001B6B06"/>
    <w:rsid w:val="001B6E5E"/>
    <w:rsid w:val="001C1112"/>
    <w:rsid w:val="001C114C"/>
    <w:rsid w:val="001C13C5"/>
    <w:rsid w:val="001C1959"/>
    <w:rsid w:val="001C1A15"/>
    <w:rsid w:val="001C3A93"/>
    <w:rsid w:val="001C6967"/>
    <w:rsid w:val="001D0609"/>
    <w:rsid w:val="001D20E3"/>
    <w:rsid w:val="001D2F50"/>
    <w:rsid w:val="001D704D"/>
    <w:rsid w:val="001D767B"/>
    <w:rsid w:val="001E2122"/>
    <w:rsid w:val="001E36FD"/>
    <w:rsid w:val="001E4570"/>
    <w:rsid w:val="001E4F28"/>
    <w:rsid w:val="001E53CF"/>
    <w:rsid w:val="001E6B49"/>
    <w:rsid w:val="001E7619"/>
    <w:rsid w:val="001E79C1"/>
    <w:rsid w:val="001E7B61"/>
    <w:rsid w:val="001F0B2B"/>
    <w:rsid w:val="001F0EC5"/>
    <w:rsid w:val="001F31B5"/>
    <w:rsid w:val="001F56E0"/>
    <w:rsid w:val="001F591D"/>
    <w:rsid w:val="001F62FF"/>
    <w:rsid w:val="001F7EBF"/>
    <w:rsid w:val="002003FA"/>
    <w:rsid w:val="00201420"/>
    <w:rsid w:val="0020291D"/>
    <w:rsid w:val="00202963"/>
    <w:rsid w:val="00203298"/>
    <w:rsid w:val="002040F2"/>
    <w:rsid w:val="00205084"/>
    <w:rsid w:val="0020528C"/>
    <w:rsid w:val="00205F9C"/>
    <w:rsid w:val="00211025"/>
    <w:rsid w:val="0021109C"/>
    <w:rsid w:val="0021231E"/>
    <w:rsid w:val="002127D7"/>
    <w:rsid w:val="00212FF3"/>
    <w:rsid w:val="002158EE"/>
    <w:rsid w:val="00215DA6"/>
    <w:rsid w:val="00216C2D"/>
    <w:rsid w:val="00217960"/>
    <w:rsid w:val="002224AE"/>
    <w:rsid w:val="0022389E"/>
    <w:rsid w:val="00223F46"/>
    <w:rsid w:val="00224DC4"/>
    <w:rsid w:val="00225B74"/>
    <w:rsid w:val="00226A71"/>
    <w:rsid w:val="00230CA2"/>
    <w:rsid w:val="00234444"/>
    <w:rsid w:val="002410C1"/>
    <w:rsid w:val="00244370"/>
    <w:rsid w:val="00245025"/>
    <w:rsid w:val="0024609E"/>
    <w:rsid w:val="00250B75"/>
    <w:rsid w:val="002538D5"/>
    <w:rsid w:val="0025565E"/>
    <w:rsid w:val="002607E0"/>
    <w:rsid w:val="00260F84"/>
    <w:rsid w:val="00262FF7"/>
    <w:rsid w:val="0026310F"/>
    <w:rsid w:val="00264CC3"/>
    <w:rsid w:val="00267778"/>
    <w:rsid w:val="002726A4"/>
    <w:rsid w:val="00272910"/>
    <w:rsid w:val="00275E0F"/>
    <w:rsid w:val="00275F40"/>
    <w:rsid w:val="0027681D"/>
    <w:rsid w:val="00277C67"/>
    <w:rsid w:val="00277E66"/>
    <w:rsid w:val="0028048A"/>
    <w:rsid w:val="002815FF"/>
    <w:rsid w:val="00284EDE"/>
    <w:rsid w:val="00287234"/>
    <w:rsid w:val="002907B4"/>
    <w:rsid w:val="00292BB8"/>
    <w:rsid w:val="00293DCF"/>
    <w:rsid w:val="002969E6"/>
    <w:rsid w:val="00297DBE"/>
    <w:rsid w:val="002A0D6B"/>
    <w:rsid w:val="002A1776"/>
    <w:rsid w:val="002A27D6"/>
    <w:rsid w:val="002A2F54"/>
    <w:rsid w:val="002A3F50"/>
    <w:rsid w:val="002A4808"/>
    <w:rsid w:val="002A4B11"/>
    <w:rsid w:val="002A52FC"/>
    <w:rsid w:val="002B1415"/>
    <w:rsid w:val="002B329E"/>
    <w:rsid w:val="002B36A6"/>
    <w:rsid w:val="002B3ACE"/>
    <w:rsid w:val="002B6B53"/>
    <w:rsid w:val="002B6EBF"/>
    <w:rsid w:val="002C0C4E"/>
    <w:rsid w:val="002C164C"/>
    <w:rsid w:val="002C1DC1"/>
    <w:rsid w:val="002C3BBC"/>
    <w:rsid w:val="002C52C4"/>
    <w:rsid w:val="002C6521"/>
    <w:rsid w:val="002D1E09"/>
    <w:rsid w:val="002D2A7E"/>
    <w:rsid w:val="002D2EF5"/>
    <w:rsid w:val="002D63BC"/>
    <w:rsid w:val="002D6A99"/>
    <w:rsid w:val="002D6F33"/>
    <w:rsid w:val="002E27C8"/>
    <w:rsid w:val="002E47BC"/>
    <w:rsid w:val="002E53C6"/>
    <w:rsid w:val="002E54F1"/>
    <w:rsid w:val="002E6B92"/>
    <w:rsid w:val="002F0687"/>
    <w:rsid w:val="002F1C0A"/>
    <w:rsid w:val="002F1C0E"/>
    <w:rsid w:val="002F1E64"/>
    <w:rsid w:val="002F257A"/>
    <w:rsid w:val="002F285F"/>
    <w:rsid w:val="002F5224"/>
    <w:rsid w:val="002F71B1"/>
    <w:rsid w:val="002F7ABC"/>
    <w:rsid w:val="00301B16"/>
    <w:rsid w:val="003047CE"/>
    <w:rsid w:val="00304E7F"/>
    <w:rsid w:val="00310D8B"/>
    <w:rsid w:val="0031458A"/>
    <w:rsid w:val="00314865"/>
    <w:rsid w:val="00314EBD"/>
    <w:rsid w:val="00316840"/>
    <w:rsid w:val="00320905"/>
    <w:rsid w:val="00326887"/>
    <w:rsid w:val="00327817"/>
    <w:rsid w:val="003279A8"/>
    <w:rsid w:val="003302FF"/>
    <w:rsid w:val="0033034E"/>
    <w:rsid w:val="00330852"/>
    <w:rsid w:val="00332036"/>
    <w:rsid w:val="00332B6B"/>
    <w:rsid w:val="00335268"/>
    <w:rsid w:val="00335273"/>
    <w:rsid w:val="00337018"/>
    <w:rsid w:val="00337315"/>
    <w:rsid w:val="00340E9C"/>
    <w:rsid w:val="003413C6"/>
    <w:rsid w:val="003415A0"/>
    <w:rsid w:val="00342DD3"/>
    <w:rsid w:val="00343C68"/>
    <w:rsid w:val="0034514F"/>
    <w:rsid w:val="0034596F"/>
    <w:rsid w:val="0034753B"/>
    <w:rsid w:val="00352999"/>
    <w:rsid w:val="003530DA"/>
    <w:rsid w:val="003534B5"/>
    <w:rsid w:val="0035427F"/>
    <w:rsid w:val="0035592C"/>
    <w:rsid w:val="003575CE"/>
    <w:rsid w:val="00361002"/>
    <w:rsid w:val="003610A2"/>
    <w:rsid w:val="00365F97"/>
    <w:rsid w:val="00367E5D"/>
    <w:rsid w:val="00370F35"/>
    <w:rsid w:val="00371C8B"/>
    <w:rsid w:val="00372846"/>
    <w:rsid w:val="00373858"/>
    <w:rsid w:val="00373CD5"/>
    <w:rsid w:val="00374F2A"/>
    <w:rsid w:val="00375ACF"/>
    <w:rsid w:val="00375BF0"/>
    <w:rsid w:val="00375D7D"/>
    <w:rsid w:val="0037721A"/>
    <w:rsid w:val="0038071A"/>
    <w:rsid w:val="003823B0"/>
    <w:rsid w:val="003833B0"/>
    <w:rsid w:val="00383D01"/>
    <w:rsid w:val="00385E7F"/>
    <w:rsid w:val="003861FF"/>
    <w:rsid w:val="0038665A"/>
    <w:rsid w:val="00387777"/>
    <w:rsid w:val="00387942"/>
    <w:rsid w:val="00387E7F"/>
    <w:rsid w:val="00391815"/>
    <w:rsid w:val="00392609"/>
    <w:rsid w:val="0039324F"/>
    <w:rsid w:val="00396483"/>
    <w:rsid w:val="003975D0"/>
    <w:rsid w:val="003A0334"/>
    <w:rsid w:val="003A0CE5"/>
    <w:rsid w:val="003A3D11"/>
    <w:rsid w:val="003B0B33"/>
    <w:rsid w:val="003B2771"/>
    <w:rsid w:val="003B3201"/>
    <w:rsid w:val="003B3484"/>
    <w:rsid w:val="003B62FF"/>
    <w:rsid w:val="003C188A"/>
    <w:rsid w:val="003C202C"/>
    <w:rsid w:val="003C2548"/>
    <w:rsid w:val="003C316B"/>
    <w:rsid w:val="003C3B88"/>
    <w:rsid w:val="003C3D13"/>
    <w:rsid w:val="003C43EB"/>
    <w:rsid w:val="003C53CE"/>
    <w:rsid w:val="003C57B0"/>
    <w:rsid w:val="003C7165"/>
    <w:rsid w:val="003D044E"/>
    <w:rsid w:val="003D0885"/>
    <w:rsid w:val="003D18F7"/>
    <w:rsid w:val="003D23DD"/>
    <w:rsid w:val="003D2CFC"/>
    <w:rsid w:val="003D433E"/>
    <w:rsid w:val="003D49DF"/>
    <w:rsid w:val="003D4F5D"/>
    <w:rsid w:val="003D6202"/>
    <w:rsid w:val="003D744B"/>
    <w:rsid w:val="003D7C4C"/>
    <w:rsid w:val="003E01C9"/>
    <w:rsid w:val="003E21CA"/>
    <w:rsid w:val="003E53EF"/>
    <w:rsid w:val="003F27BF"/>
    <w:rsid w:val="003F370B"/>
    <w:rsid w:val="003F41C6"/>
    <w:rsid w:val="003F44C1"/>
    <w:rsid w:val="003F5D37"/>
    <w:rsid w:val="003F6B30"/>
    <w:rsid w:val="0040062C"/>
    <w:rsid w:val="00402870"/>
    <w:rsid w:val="00402A86"/>
    <w:rsid w:val="00403819"/>
    <w:rsid w:val="00405F36"/>
    <w:rsid w:val="004061B1"/>
    <w:rsid w:val="00406747"/>
    <w:rsid w:val="00406E6D"/>
    <w:rsid w:val="00407310"/>
    <w:rsid w:val="00407A70"/>
    <w:rsid w:val="00410564"/>
    <w:rsid w:val="00410B76"/>
    <w:rsid w:val="00410BBC"/>
    <w:rsid w:val="00412776"/>
    <w:rsid w:val="00412C47"/>
    <w:rsid w:val="00417B8A"/>
    <w:rsid w:val="00420D04"/>
    <w:rsid w:val="0042279B"/>
    <w:rsid w:val="0042285F"/>
    <w:rsid w:val="00425184"/>
    <w:rsid w:val="00426066"/>
    <w:rsid w:val="00426D95"/>
    <w:rsid w:val="00426DC1"/>
    <w:rsid w:val="0043003B"/>
    <w:rsid w:val="004303E8"/>
    <w:rsid w:val="004304CD"/>
    <w:rsid w:val="00433DBF"/>
    <w:rsid w:val="004362B0"/>
    <w:rsid w:val="00437CB6"/>
    <w:rsid w:val="00440BAE"/>
    <w:rsid w:val="0044214A"/>
    <w:rsid w:val="004430A9"/>
    <w:rsid w:val="00445385"/>
    <w:rsid w:val="00445834"/>
    <w:rsid w:val="00447C35"/>
    <w:rsid w:val="004527A6"/>
    <w:rsid w:val="0045332A"/>
    <w:rsid w:val="0045432D"/>
    <w:rsid w:val="004550A2"/>
    <w:rsid w:val="00457309"/>
    <w:rsid w:val="00457D79"/>
    <w:rsid w:val="00464CC9"/>
    <w:rsid w:val="004663B8"/>
    <w:rsid w:val="0046665A"/>
    <w:rsid w:val="0046686B"/>
    <w:rsid w:val="00466D65"/>
    <w:rsid w:val="0046703D"/>
    <w:rsid w:val="00467FA8"/>
    <w:rsid w:val="0047028E"/>
    <w:rsid w:val="0047084F"/>
    <w:rsid w:val="00470FED"/>
    <w:rsid w:val="004713E0"/>
    <w:rsid w:val="0047151D"/>
    <w:rsid w:val="004736AA"/>
    <w:rsid w:val="004738CD"/>
    <w:rsid w:val="00475201"/>
    <w:rsid w:val="00475D79"/>
    <w:rsid w:val="0047760E"/>
    <w:rsid w:val="00480418"/>
    <w:rsid w:val="0048185B"/>
    <w:rsid w:val="00481E39"/>
    <w:rsid w:val="00482FFB"/>
    <w:rsid w:val="00483853"/>
    <w:rsid w:val="00483FAE"/>
    <w:rsid w:val="00484906"/>
    <w:rsid w:val="004867A4"/>
    <w:rsid w:val="00486B23"/>
    <w:rsid w:val="004873BD"/>
    <w:rsid w:val="00487935"/>
    <w:rsid w:val="004900B8"/>
    <w:rsid w:val="00490110"/>
    <w:rsid w:val="004910BF"/>
    <w:rsid w:val="00491AC8"/>
    <w:rsid w:val="004928D5"/>
    <w:rsid w:val="00493958"/>
    <w:rsid w:val="00493DF8"/>
    <w:rsid w:val="004944A7"/>
    <w:rsid w:val="004951BC"/>
    <w:rsid w:val="00495EF8"/>
    <w:rsid w:val="00496414"/>
    <w:rsid w:val="00497570"/>
    <w:rsid w:val="00497998"/>
    <w:rsid w:val="004A0D12"/>
    <w:rsid w:val="004A1069"/>
    <w:rsid w:val="004A2022"/>
    <w:rsid w:val="004A3CC9"/>
    <w:rsid w:val="004A4223"/>
    <w:rsid w:val="004A43B9"/>
    <w:rsid w:val="004A5841"/>
    <w:rsid w:val="004A5B9A"/>
    <w:rsid w:val="004A6B80"/>
    <w:rsid w:val="004A6E81"/>
    <w:rsid w:val="004A7FE8"/>
    <w:rsid w:val="004B0B28"/>
    <w:rsid w:val="004B25EA"/>
    <w:rsid w:val="004B3986"/>
    <w:rsid w:val="004B4376"/>
    <w:rsid w:val="004B4BD6"/>
    <w:rsid w:val="004B74F8"/>
    <w:rsid w:val="004B7C0E"/>
    <w:rsid w:val="004C0132"/>
    <w:rsid w:val="004C31E6"/>
    <w:rsid w:val="004C4224"/>
    <w:rsid w:val="004C5C9C"/>
    <w:rsid w:val="004C6288"/>
    <w:rsid w:val="004D0671"/>
    <w:rsid w:val="004D19F5"/>
    <w:rsid w:val="004D1EAB"/>
    <w:rsid w:val="004D23CF"/>
    <w:rsid w:val="004D6223"/>
    <w:rsid w:val="004D7918"/>
    <w:rsid w:val="004E06B6"/>
    <w:rsid w:val="004E1A2B"/>
    <w:rsid w:val="004E1B65"/>
    <w:rsid w:val="004E1D93"/>
    <w:rsid w:val="004E4C8F"/>
    <w:rsid w:val="004E6D50"/>
    <w:rsid w:val="004E7051"/>
    <w:rsid w:val="004E75BE"/>
    <w:rsid w:val="004E7967"/>
    <w:rsid w:val="004F046B"/>
    <w:rsid w:val="004F0B2F"/>
    <w:rsid w:val="004F19B8"/>
    <w:rsid w:val="004F2366"/>
    <w:rsid w:val="004F2AFD"/>
    <w:rsid w:val="004F2DC5"/>
    <w:rsid w:val="004F5A09"/>
    <w:rsid w:val="004F5CE6"/>
    <w:rsid w:val="004F5EFC"/>
    <w:rsid w:val="004F6D22"/>
    <w:rsid w:val="004F6DBE"/>
    <w:rsid w:val="004F714C"/>
    <w:rsid w:val="004F73D4"/>
    <w:rsid w:val="00500A5C"/>
    <w:rsid w:val="005026CC"/>
    <w:rsid w:val="00503AD1"/>
    <w:rsid w:val="005041F7"/>
    <w:rsid w:val="0050449A"/>
    <w:rsid w:val="00505700"/>
    <w:rsid w:val="00505E81"/>
    <w:rsid w:val="005078AA"/>
    <w:rsid w:val="005100D1"/>
    <w:rsid w:val="00513720"/>
    <w:rsid w:val="0051607A"/>
    <w:rsid w:val="005205F4"/>
    <w:rsid w:val="00521967"/>
    <w:rsid w:val="00524378"/>
    <w:rsid w:val="005269B7"/>
    <w:rsid w:val="005269D3"/>
    <w:rsid w:val="00527152"/>
    <w:rsid w:val="00530F70"/>
    <w:rsid w:val="005315EA"/>
    <w:rsid w:val="00532FD5"/>
    <w:rsid w:val="00533107"/>
    <w:rsid w:val="00534E9F"/>
    <w:rsid w:val="0053506A"/>
    <w:rsid w:val="0053512A"/>
    <w:rsid w:val="00535508"/>
    <w:rsid w:val="00535D23"/>
    <w:rsid w:val="00536B13"/>
    <w:rsid w:val="005370BB"/>
    <w:rsid w:val="00540B35"/>
    <w:rsid w:val="005413B8"/>
    <w:rsid w:val="00541FFE"/>
    <w:rsid w:val="00544F1F"/>
    <w:rsid w:val="00545752"/>
    <w:rsid w:val="00545DDF"/>
    <w:rsid w:val="00545F38"/>
    <w:rsid w:val="0054634E"/>
    <w:rsid w:val="00547123"/>
    <w:rsid w:val="005514BE"/>
    <w:rsid w:val="005517D0"/>
    <w:rsid w:val="0055424F"/>
    <w:rsid w:val="00554428"/>
    <w:rsid w:val="005558ED"/>
    <w:rsid w:val="00557377"/>
    <w:rsid w:val="00560495"/>
    <w:rsid w:val="00560599"/>
    <w:rsid w:val="00562F8A"/>
    <w:rsid w:val="00563721"/>
    <w:rsid w:val="00565776"/>
    <w:rsid w:val="00566033"/>
    <w:rsid w:val="00566508"/>
    <w:rsid w:val="00566C4E"/>
    <w:rsid w:val="00567BF4"/>
    <w:rsid w:val="00570ACF"/>
    <w:rsid w:val="005727A5"/>
    <w:rsid w:val="00573535"/>
    <w:rsid w:val="00573C2D"/>
    <w:rsid w:val="00575BB7"/>
    <w:rsid w:val="00575F88"/>
    <w:rsid w:val="0057794D"/>
    <w:rsid w:val="00581831"/>
    <w:rsid w:val="0058253D"/>
    <w:rsid w:val="00582DC9"/>
    <w:rsid w:val="00585250"/>
    <w:rsid w:val="005859C8"/>
    <w:rsid w:val="00587796"/>
    <w:rsid w:val="005940DB"/>
    <w:rsid w:val="00594AC5"/>
    <w:rsid w:val="005953F2"/>
    <w:rsid w:val="00596618"/>
    <w:rsid w:val="00597ABF"/>
    <w:rsid w:val="005A2AAC"/>
    <w:rsid w:val="005A3C50"/>
    <w:rsid w:val="005A4293"/>
    <w:rsid w:val="005A61AB"/>
    <w:rsid w:val="005A687B"/>
    <w:rsid w:val="005B0E04"/>
    <w:rsid w:val="005B1272"/>
    <w:rsid w:val="005B2781"/>
    <w:rsid w:val="005B6872"/>
    <w:rsid w:val="005B6B09"/>
    <w:rsid w:val="005B75E6"/>
    <w:rsid w:val="005C0164"/>
    <w:rsid w:val="005C0751"/>
    <w:rsid w:val="005C4B4F"/>
    <w:rsid w:val="005C4DE0"/>
    <w:rsid w:val="005C5B41"/>
    <w:rsid w:val="005C61D6"/>
    <w:rsid w:val="005D315F"/>
    <w:rsid w:val="005E139A"/>
    <w:rsid w:val="005E243E"/>
    <w:rsid w:val="005E2D06"/>
    <w:rsid w:val="005E41A6"/>
    <w:rsid w:val="005E4CC6"/>
    <w:rsid w:val="005E5D9F"/>
    <w:rsid w:val="005E6921"/>
    <w:rsid w:val="005F082A"/>
    <w:rsid w:val="005F1B29"/>
    <w:rsid w:val="005F3BCE"/>
    <w:rsid w:val="005F5087"/>
    <w:rsid w:val="005F69A9"/>
    <w:rsid w:val="00600502"/>
    <w:rsid w:val="00603FEE"/>
    <w:rsid w:val="006042ED"/>
    <w:rsid w:val="00604711"/>
    <w:rsid w:val="00605458"/>
    <w:rsid w:val="0060605E"/>
    <w:rsid w:val="006064E9"/>
    <w:rsid w:val="00606AB0"/>
    <w:rsid w:val="00607FAE"/>
    <w:rsid w:val="006104C8"/>
    <w:rsid w:val="0061064A"/>
    <w:rsid w:val="006139EC"/>
    <w:rsid w:val="00613AAE"/>
    <w:rsid w:val="00613CC2"/>
    <w:rsid w:val="00615BC9"/>
    <w:rsid w:val="00615CB4"/>
    <w:rsid w:val="0061712B"/>
    <w:rsid w:val="006177AE"/>
    <w:rsid w:val="00620C18"/>
    <w:rsid w:val="00621065"/>
    <w:rsid w:val="0062106A"/>
    <w:rsid w:val="00621A4A"/>
    <w:rsid w:val="0062213F"/>
    <w:rsid w:val="00624E22"/>
    <w:rsid w:val="006308E7"/>
    <w:rsid w:val="00631D47"/>
    <w:rsid w:val="006330D9"/>
    <w:rsid w:val="006339F5"/>
    <w:rsid w:val="0063551B"/>
    <w:rsid w:val="00635523"/>
    <w:rsid w:val="00635F82"/>
    <w:rsid w:val="00636B6E"/>
    <w:rsid w:val="0063763A"/>
    <w:rsid w:val="00637894"/>
    <w:rsid w:val="00640620"/>
    <w:rsid w:val="00641D3B"/>
    <w:rsid w:val="00644080"/>
    <w:rsid w:val="00646942"/>
    <w:rsid w:val="00647786"/>
    <w:rsid w:val="006519AF"/>
    <w:rsid w:val="00652A9D"/>
    <w:rsid w:val="00653F69"/>
    <w:rsid w:val="006549A6"/>
    <w:rsid w:val="00655BF6"/>
    <w:rsid w:val="0065603B"/>
    <w:rsid w:val="0066058B"/>
    <w:rsid w:val="006618F7"/>
    <w:rsid w:val="00662222"/>
    <w:rsid w:val="00662414"/>
    <w:rsid w:val="00662C04"/>
    <w:rsid w:val="00663755"/>
    <w:rsid w:val="00664A69"/>
    <w:rsid w:val="00665959"/>
    <w:rsid w:val="00666380"/>
    <w:rsid w:val="00666745"/>
    <w:rsid w:val="00666DED"/>
    <w:rsid w:val="006674D7"/>
    <w:rsid w:val="0067275F"/>
    <w:rsid w:val="00674246"/>
    <w:rsid w:val="00674A82"/>
    <w:rsid w:val="00674D0B"/>
    <w:rsid w:val="006754B7"/>
    <w:rsid w:val="00675B7D"/>
    <w:rsid w:val="00676C69"/>
    <w:rsid w:val="00680F03"/>
    <w:rsid w:val="0068122B"/>
    <w:rsid w:val="00681236"/>
    <w:rsid w:val="006826BB"/>
    <w:rsid w:val="006829E5"/>
    <w:rsid w:val="006830C9"/>
    <w:rsid w:val="0068364A"/>
    <w:rsid w:val="006842CA"/>
    <w:rsid w:val="0068507C"/>
    <w:rsid w:val="0068525B"/>
    <w:rsid w:val="00685D4F"/>
    <w:rsid w:val="00685DD6"/>
    <w:rsid w:val="006871D2"/>
    <w:rsid w:val="00690A88"/>
    <w:rsid w:val="00691D49"/>
    <w:rsid w:val="006922C8"/>
    <w:rsid w:val="00692D3B"/>
    <w:rsid w:val="00693229"/>
    <w:rsid w:val="006951FD"/>
    <w:rsid w:val="00695BB1"/>
    <w:rsid w:val="006964AF"/>
    <w:rsid w:val="006A17BE"/>
    <w:rsid w:val="006A3E64"/>
    <w:rsid w:val="006A4512"/>
    <w:rsid w:val="006A4D47"/>
    <w:rsid w:val="006A56E4"/>
    <w:rsid w:val="006B029D"/>
    <w:rsid w:val="006B2D41"/>
    <w:rsid w:val="006B5811"/>
    <w:rsid w:val="006B6D8D"/>
    <w:rsid w:val="006C1643"/>
    <w:rsid w:val="006C287C"/>
    <w:rsid w:val="006C3C15"/>
    <w:rsid w:val="006C4479"/>
    <w:rsid w:val="006C4A02"/>
    <w:rsid w:val="006C7D4F"/>
    <w:rsid w:val="006C7F10"/>
    <w:rsid w:val="006D017C"/>
    <w:rsid w:val="006D12B4"/>
    <w:rsid w:val="006D4F41"/>
    <w:rsid w:val="006D6A44"/>
    <w:rsid w:val="006D7A33"/>
    <w:rsid w:val="006E280A"/>
    <w:rsid w:val="006E4BEC"/>
    <w:rsid w:val="006E6792"/>
    <w:rsid w:val="006E75E2"/>
    <w:rsid w:val="006F01B5"/>
    <w:rsid w:val="006F06FC"/>
    <w:rsid w:val="006F0A9A"/>
    <w:rsid w:val="006F4AD5"/>
    <w:rsid w:val="006F4CA7"/>
    <w:rsid w:val="006F5527"/>
    <w:rsid w:val="006F6211"/>
    <w:rsid w:val="00700F4D"/>
    <w:rsid w:val="00701034"/>
    <w:rsid w:val="00703D62"/>
    <w:rsid w:val="007041A0"/>
    <w:rsid w:val="007046F7"/>
    <w:rsid w:val="00707559"/>
    <w:rsid w:val="007076DF"/>
    <w:rsid w:val="00710701"/>
    <w:rsid w:val="007119FE"/>
    <w:rsid w:val="00712602"/>
    <w:rsid w:val="007144F6"/>
    <w:rsid w:val="00716311"/>
    <w:rsid w:val="0071750E"/>
    <w:rsid w:val="007216E3"/>
    <w:rsid w:val="00723A6D"/>
    <w:rsid w:val="00725672"/>
    <w:rsid w:val="00725A40"/>
    <w:rsid w:val="007269AB"/>
    <w:rsid w:val="00731691"/>
    <w:rsid w:val="00732F74"/>
    <w:rsid w:val="007332F9"/>
    <w:rsid w:val="0073386C"/>
    <w:rsid w:val="00734ED0"/>
    <w:rsid w:val="0073511D"/>
    <w:rsid w:val="00736085"/>
    <w:rsid w:val="00736171"/>
    <w:rsid w:val="00736C8E"/>
    <w:rsid w:val="007405DC"/>
    <w:rsid w:val="00741394"/>
    <w:rsid w:val="007418D9"/>
    <w:rsid w:val="00742173"/>
    <w:rsid w:val="00742415"/>
    <w:rsid w:val="007426DA"/>
    <w:rsid w:val="00743593"/>
    <w:rsid w:val="00743C00"/>
    <w:rsid w:val="00743CDA"/>
    <w:rsid w:val="007441D4"/>
    <w:rsid w:val="00744252"/>
    <w:rsid w:val="00746FD8"/>
    <w:rsid w:val="00750FE0"/>
    <w:rsid w:val="00751E26"/>
    <w:rsid w:val="0075449A"/>
    <w:rsid w:val="007548E4"/>
    <w:rsid w:val="0075548A"/>
    <w:rsid w:val="00757335"/>
    <w:rsid w:val="00760360"/>
    <w:rsid w:val="007607FC"/>
    <w:rsid w:val="007613E1"/>
    <w:rsid w:val="00761522"/>
    <w:rsid w:val="0076179E"/>
    <w:rsid w:val="00762462"/>
    <w:rsid w:val="00762E9C"/>
    <w:rsid w:val="00764F3A"/>
    <w:rsid w:val="00770689"/>
    <w:rsid w:val="00772951"/>
    <w:rsid w:val="00774B00"/>
    <w:rsid w:val="007752C1"/>
    <w:rsid w:val="0077623A"/>
    <w:rsid w:val="00776A88"/>
    <w:rsid w:val="007771AD"/>
    <w:rsid w:val="007818E5"/>
    <w:rsid w:val="0078397D"/>
    <w:rsid w:val="00784103"/>
    <w:rsid w:val="00784C0B"/>
    <w:rsid w:val="00784F13"/>
    <w:rsid w:val="007856B0"/>
    <w:rsid w:val="00786AC7"/>
    <w:rsid w:val="00787A9E"/>
    <w:rsid w:val="007910B2"/>
    <w:rsid w:val="007964A2"/>
    <w:rsid w:val="007970F7"/>
    <w:rsid w:val="007A0496"/>
    <w:rsid w:val="007A1654"/>
    <w:rsid w:val="007A2054"/>
    <w:rsid w:val="007A2D2F"/>
    <w:rsid w:val="007A6CDF"/>
    <w:rsid w:val="007A6F27"/>
    <w:rsid w:val="007A7979"/>
    <w:rsid w:val="007A7D3B"/>
    <w:rsid w:val="007B0321"/>
    <w:rsid w:val="007B183D"/>
    <w:rsid w:val="007B191B"/>
    <w:rsid w:val="007B1D69"/>
    <w:rsid w:val="007B41D3"/>
    <w:rsid w:val="007B714B"/>
    <w:rsid w:val="007C165F"/>
    <w:rsid w:val="007C1DCB"/>
    <w:rsid w:val="007C29FD"/>
    <w:rsid w:val="007C542D"/>
    <w:rsid w:val="007D1343"/>
    <w:rsid w:val="007D2377"/>
    <w:rsid w:val="007D2D9B"/>
    <w:rsid w:val="007D3342"/>
    <w:rsid w:val="007D38E8"/>
    <w:rsid w:val="007D733B"/>
    <w:rsid w:val="007E22C2"/>
    <w:rsid w:val="007E29BA"/>
    <w:rsid w:val="007E2C4D"/>
    <w:rsid w:val="007E2DB9"/>
    <w:rsid w:val="007E3EC6"/>
    <w:rsid w:val="007E3EFB"/>
    <w:rsid w:val="007E4D02"/>
    <w:rsid w:val="007E4D0D"/>
    <w:rsid w:val="007E5495"/>
    <w:rsid w:val="007E5EA9"/>
    <w:rsid w:val="007E6CE7"/>
    <w:rsid w:val="007F1C4A"/>
    <w:rsid w:val="007F3673"/>
    <w:rsid w:val="007F3B3E"/>
    <w:rsid w:val="007F507E"/>
    <w:rsid w:val="007F63B6"/>
    <w:rsid w:val="007F7080"/>
    <w:rsid w:val="007F79B4"/>
    <w:rsid w:val="00800341"/>
    <w:rsid w:val="00800885"/>
    <w:rsid w:val="00800E2F"/>
    <w:rsid w:val="00801427"/>
    <w:rsid w:val="0080162F"/>
    <w:rsid w:val="0080204A"/>
    <w:rsid w:val="008022A8"/>
    <w:rsid w:val="0080286D"/>
    <w:rsid w:val="00806897"/>
    <w:rsid w:val="0080747A"/>
    <w:rsid w:val="00811627"/>
    <w:rsid w:val="008117B6"/>
    <w:rsid w:val="00813F99"/>
    <w:rsid w:val="00814CA3"/>
    <w:rsid w:val="00817E9E"/>
    <w:rsid w:val="0082142D"/>
    <w:rsid w:val="00821BD6"/>
    <w:rsid w:val="00823FD7"/>
    <w:rsid w:val="00824824"/>
    <w:rsid w:val="008274F3"/>
    <w:rsid w:val="0082792B"/>
    <w:rsid w:val="008303A2"/>
    <w:rsid w:val="00831997"/>
    <w:rsid w:val="00831E3F"/>
    <w:rsid w:val="00831F99"/>
    <w:rsid w:val="00833913"/>
    <w:rsid w:val="00835A94"/>
    <w:rsid w:val="00836835"/>
    <w:rsid w:val="00836FB4"/>
    <w:rsid w:val="00837B67"/>
    <w:rsid w:val="00837BEB"/>
    <w:rsid w:val="00837EFC"/>
    <w:rsid w:val="0084055A"/>
    <w:rsid w:val="00841F1C"/>
    <w:rsid w:val="00842BCE"/>
    <w:rsid w:val="00846556"/>
    <w:rsid w:val="00846760"/>
    <w:rsid w:val="008478EF"/>
    <w:rsid w:val="00850449"/>
    <w:rsid w:val="00851C18"/>
    <w:rsid w:val="0085254B"/>
    <w:rsid w:val="00852D9B"/>
    <w:rsid w:val="0085673F"/>
    <w:rsid w:val="00856B05"/>
    <w:rsid w:val="00861FE3"/>
    <w:rsid w:val="008620B1"/>
    <w:rsid w:val="00863EF0"/>
    <w:rsid w:val="00864956"/>
    <w:rsid w:val="00864F1C"/>
    <w:rsid w:val="0087200B"/>
    <w:rsid w:val="00872803"/>
    <w:rsid w:val="00872BA2"/>
    <w:rsid w:val="0087384F"/>
    <w:rsid w:val="0087775F"/>
    <w:rsid w:val="00877E32"/>
    <w:rsid w:val="0088063C"/>
    <w:rsid w:val="00880FC4"/>
    <w:rsid w:val="00881039"/>
    <w:rsid w:val="00883AAA"/>
    <w:rsid w:val="00883B46"/>
    <w:rsid w:val="0089009B"/>
    <w:rsid w:val="00890980"/>
    <w:rsid w:val="00890CBC"/>
    <w:rsid w:val="00892EBC"/>
    <w:rsid w:val="00894E39"/>
    <w:rsid w:val="00895418"/>
    <w:rsid w:val="008957D9"/>
    <w:rsid w:val="0089788C"/>
    <w:rsid w:val="00897AF8"/>
    <w:rsid w:val="008A05DC"/>
    <w:rsid w:val="008A202D"/>
    <w:rsid w:val="008A2536"/>
    <w:rsid w:val="008A4157"/>
    <w:rsid w:val="008A5FCC"/>
    <w:rsid w:val="008A7B4B"/>
    <w:rsid w:val="008B4846"/>
    <w:rsid w:val="008B5689"/>
    <w:rsid w:val="008B5DBC"/>
    <w:rsid w:val="008B749E"/>
    <w:rsid w:val="008C09B5"/>
    <w:rsid w:val="008C1171"/>
    <w:rsid w:val="008C17BA"/>
    <w:rsid w:val="008C1F20"/>
    <w:rsid w:val="008C2D17"/>
    <w:rsid w:val="008C3CC2"/>
    <w:rsid w:val="008C3E75"/>
    <w:rsid w:val="008C5F38"/>
    <w:rsid w:val="008C6B0E"/>
    <w:rsid w:val="008C6FC8"/>
    <w:rsid w:val="008C7870"/>
    <w:rsid w:val="008D3756"/>
    <w:rsid w:val="008D4971"/>
    <w:rsid w:val="008D77FD"/>
    <w:rsid w:val="008E16CE"/>
    <w:rsid w:val="008E1E77"/>
    <w:rsid w:val="008E350D"/>
    <w:rsid w:val="008E6A92"/>
    <w:rsid w:val="008F1D37"/>
    <w:rsid w:val="008F2A32"/>
    <w:rsid w:val="008F40AF"/>
    <w:rsid w:val="008F4BDD"/>
    <w:rsid w:val="008F7897"/>
    <w:rsid w:val="00900302"/>
    <w:rsid w:val="0090296E"/>
    <w:rsid w:val="00902E31"/>
    <w:rsid w:val="0090379A"/>
    <w:rsid w:val="00906C03"/>
    <w:rsid w:val="00911149"/>
    <w:rsid w:val="00911636"/>
    <w:rsid w:val="0091354B"/>
    <w:rsid w:val="00913E49"/>
    <w:rsid w:val="00913ED2"/>
    <w:rsid w:val="009147FF"/>
    <w:rsid w:val="00915805"/>
    <w:rsid w:val="00916358"/>
    <w:rsid w:val="009204BB"/>
    <w:rsid w:val="009225DE"/>
    <w:rsid w:val="00922AFC"/>
    <w:rsid w:val="009237A5"/>
    <w:rsid w:val="00925605"/>
    <w:rsid w:val="009301DE"/>
    <w:rsid w:val="00934718"/>
    <w:rsid w:val="009370E2"/>
    <w:rsid w:val="009379AA"/>
    <w:rsid w:val="009404BA"/>
    <w:rsid w:val="00940535"/>
    <w:rsid w:val="009407A8"/>
    <w:rsid w:val="0094395B"/>
    <w:rsid w:val="00945F19"/>
    <w:rsid w:val="009468A2"/>
    <w:rsid w:val="00950233"/>
    <w:rsid w:val="00950841"/>
    <w:rsid w:val="00952407"/>
    <w:rsid w:val="00952DBF"/>
    <w:rsid w:val="00953B35"/>
    <w:rsid w:val="00954414"/>
    <w:rsid w:val="00954A83"/>
    <w:rsid w:val="00956763"/>
    <w:rsid w:val="00957BCF"/>
    <w:rsid w:val="00960CDB"/>
    <w:rsid w:val="009625F6"/>
    <w:rsid w:val="009627F9"/>
    <w:rsid w:val="00964270"/>
    <w:rsid w:val="009658D6"/>
    <w:rsid w:val="009671E4"/>
    <w:rsid w:val="009676D8"/>
    <w:rsid w:val="00967CC8"/>
    <w:rsid w:val="00967EC4"/>
    <w:rsid w:val="00975F96"/>
    <w:rsid w:val="00980A8A"/>
    <w:rsid w:val="0098324A"/>
    <w:rsid w:val="00985FFB"/>
    <w:rsid w:val="009869ED"/>
    <w:rsid w:val="00987CAC"/>
    <w:rsid w:val="00990CFC"/>
    <w:rsid w:val="00993516"/>
    <w:rsid w:val="00995DD7"/>
    <w:rsid w:val="00995E0E"/>
    <w:rsid w:val="00996052"/>
    <w:rsid w:val="009960C9"/>
    <w:rsid w:val="00996C55"/>
    <w:rsid w:val="00997DA9"/>
    <w:rsid w:val="009A2905"/>
    <w:rsid w:val="009A38CE"/>
    <w:rsid w:val="009A38D1"/>
    <w:rsid w:val="009A491C"/>
    <w:rsid w:val="009A5463"/>
    <w:rsid w:val="009A5B58"/>
    <w:rsid w:val="009A5E1D"/>
    <w:rsid w:val="009A649B"/>
    <w:rsid w:val="009A6EB1"/>
    <w:rsid w:val="009A72B6"/>
    <w:rsid w:val="009A77F0"/>
    <w:rsid w:val="009B3E5B"/>
    <w:rsid w:val="009B4294"/>
    <w:rsid w:val="009B430C"/>
    <w:rsid w:val="009B5295"/>
    <w:rsid w:val="009B60BD"/>
    <w:rsid w:val="009B6D4C"/>
    <w:rsid w:val="009B70F4"/>
    <w:rsid w:val="009B7374"/>
    <w:rsid w:val="009C0727"/>
    <w:rsid w:val="009C0F2C"/>
    <w:rsid w:val="009C1206"/>
    <w:rsid w:val="009C1EF7"/>
    <w:rsid w:val="009C2556"/>
    <w:rsid w:val="009C6C52"/>
    <w:rsid w:val="009D0718"/>
    <w:rsid w:val="009D162F"/>
    <w:rsid w:val="009D1776"/>
    <w:rsid w:val="009D5976"/>
    <w:rsid w:val="009D5A80"/>
    <w:rsid w:val="009D79AE"/>
    <w:rsid w:val="009E0053"/>
    <w:rsid w:val="009E03D1"/>
    <w:rsid w:val="009E040A"/>
    <w:rsid w:val="009E1576"/>
    <w:rsid w:val="009E2345"/>
    <w:rsid w:val="009E2D6E"/>
    <w:rsid w:val="009E312B"/>
    <w:rsid w:val="009E40AA"/>
    <w:rsid w:val="009E4E40"/>
    <w:rsid w:val="009E710F"/>
    <w:rsid w:val="009F206C"/>
    <w:rsid w:val="009F4D89"/>
    <w:rsid w:val="009F6A97"/>
    <w:rsid w:val="00A00283"/>
    <w:rsid w:val="00A008E4"/>
    <w:rsid w:val="00A00B15"/>
    <w:rsid w:val="00A00B50"/>
    <w:rsid w:val="00A00E20"/>
    <w:rsid w:val="00A01841"/>
    <w:rsid w:val="00A0253A"/>
    <w:rsid w:val="00A02A94"/>
    <w:rsid w:val="00A03293"/>
    <w:rsid w:val="00A03ADC"/>
    <w:rsid w:val="00A1000D"/>
    <w:rsid w:val="00A10193"/>
    <w:rsid w:val="00A10AC7"/>
    <w:rsid w:val="00A10DF8"/>
    <w:rsid w:val="00A111CB"/>
    <w:rsid w:val="00A11201"/>
    <w:rsid w:val="00A11DD4"/>
    <w:rsid w:val="00A126F1"/>
    <w:rsid w:val="00A12A9B"/>
    <w:rsid w:val="00A14055"/>
    <w:rsid w:val="00A14E15"/>
    <w:rsid w:val="00A15690"/>
    <w:rsid w:val="00A17E16"/>
    <w:rsid w:val="00A22D41"/>
    <w:rsid w:val="00A23BB2"/>
    <w:rsid w:val="00A24540"/>
    <w:rsid w:val="00A258B6"/>
    <w:rsid w:val="00A27388"/>
    <w:rsid w:val="00A300BF"/>
    <w:rsid w:val="00A30328"/>
    <w:rsid w:val="00A3255E"/>
    <w:rsid w:val="00A3267D"/>
    <w:rsid w:val="00A331C8"/>
    <w:rsid w:val="00A37794"/>
    <w:rsid w:val="00A43E28"/>
    <w:rsid w:val="00A44451"/>
    <w:rsid w:val="00A46428"/>
    <w:rsid w:val="00A46BDC"/>
    <w:rsid w:val="00A500E9"/>
    <w:rsid w:val="00A5105C"/>
    <w:rsid w:val="00A513DF"/>
    <w:rsid w:val="00A52415"/>
    <w:rsid w:val="00A5321A"/>
    <w:rsid w:val="00A57B01"/>
    <w:rsid w:val="00A601CF"/>
    <w:rsid w:val="00A60B2E"/>
    <w:rsid w:val="00A61566"/>
    <w:rsid w:val="00A6188E"/>
    <w:rsid w:val="00A62E69"/>
    <w:rsid w:val="00A634F8"/>
    <w:rsid w:val="00A67499"/>
    <w:rsid w:val="00A716CD"/>
    <w:rsid w:val="00A744D1"/>
    <w:rsid w:val="00A745E3"/>
    <w:rsid w:val="00A76173"/>
    <w:rsid w:val="00A762E1"/>
    <w:rsid w:val="00A77AE4"/>
    <w:rsid w:val="00A806F4"/>
    <w:rsid w:val="00A81FA6"/>
    <w:rsid w:val="00A84E31"/>
    <w:rsid w:val="00A8697D"/>
    <w:rsid w:val="00A86A28"/>
    <w:rsid w:val="00A873DD"/>
    <w:rsid w:val="00A9059D"/>
    <w:rsid w:val="00A90983"/>
    <w:rsid w:val="00A91C91"/>
    <w:rsid w:val="00A925A8"/>
    <w:rsid w:val="00A92A39"/>
    <w:rsid w:val="00A930DA"/>
    <w:rsid w:val="00A943AF"/>
    <w:rsid w:val="00A96B58"/>
    <w:rsid w:val="00AA0175"/>
    <w:rsid w:val="00AA0A83"/>
    <w:rsid w:val="00AA25E4"/>
    <w:rsid w:val="00AA3112"/>
    <w:rsid w:val="00AA33FB"/>
    <w:rsid w:val="00AA388E"/>
    <w:rsid w:val="00AA3B8A"/>
    <w:rsid w:val="00AA4C9D"/>
    <w:rsid w:val="00AA525C"/>
    <w:rsid w:val="00AA6162"/>
    <w:rsid w:val="00AA733A"/>
    <w:rsid w:val="00AA78DC"/>
    <w:rsid w:val="00AA7F1A"/>
    <w:rsid w:val="00AB10AA"/>
    <w:rsid w:val="00AB25F9"/>
    <w:rsid w:val="00AB2F51"/>
    <w:rsid w:val="00AB2FDC"/>
    <w:rsid w:val="00AB4394"/>
    <w:rsid w:val="00AB54EE"/>
    <w:rsid w:val="00AB6229"/>
    <w:rsid w:val="00AB67C0"/>
    <w:rsid w:val="00AC009E"/>
    <w:rsid w:val="00AC1689"/>
    <w:rsid w:val="00AC1FDD"/>
    <w:rsid w:val="00AC4CA0"/>
    <w:rsid w:val="00AC4D72"/>
    <w:rsid w:val="00AC4F4B"/>
    <w:rsid w:val="00AC53F6"/>
    <w:rsid w:val="00AC71A6"/>
    <w:rsid w:val="00AC7C80"/>
    <w:rsid w:val="00AC7D35"/>
    <w:rsid w:val="00AD15B2"/>
    <w:rsid w:val="00AD24FE"/>
    <w:rsid w:val="00AD2536"/>
    <w:rsid w:val="00AD362B"/>
    <w:rsid w:val="00AD4B24"/>
    <w:rsid w:val="00AD6D51"/>
    <w:rsid w:val="00AE1B54"/>
    <w:rsid w:val="00AE2FF1"/>
    <w:rsid w:val="00AE36A3"/>
    <w:rsid w:val="00AE3C57"/>
    <w:rsid w:val="00AE515D"/>
    <w:rsid w:val="00AE64C1"/>
    <w:rsid w:val="00AE6B2A"/>
    <w:rsid w:val="00AF198F"/>
    <w:rsid w:val="00AF3041"/>
    <w:rsid w:val="00AF3BBC"/>
    <w:rsid w:val="00AF48CD"/>
    <w:rsid w:val="00AF5E69"/>
    <w:rsid w:val="00AF5FAD"/>
    <w:rsid w:val="00AF6022"/>
    <w:rsid w:val="00AF7EC8"/>
    <w:rsid w:val="00B015A7"/>
    <w:rsid w:val="00B01F89"/>
    <w:rsid w:val="00B038CC"/>
    <w:rsid w:val="00B051B8"/>
    <w:rsid w:val="00B053D9"/>
    <w:rsid w:val="00B06556"/>
    <w:rsid w:val="00B06B04"/>
    <w:rsid w:val="00B06B85"/>
    <w:rsid w:val="00B07150"/>
    <w:rsid w:val="00B11F31"/>
    <w:rsid w:val="00B12AB1"/>
    <w:rsid w:val="00B12C14"/>
    <w:rsid w:val="00B14090"/>
    <w:rsid w:val="00B15932"/>
    <w:rsid w:val="00B161CF"/>
    <w:rsid w:val="00B16C7B"/>
    <w:rsid w:val="00B16F92"/>
    <w:rsid w:val="00B21E7A"/>
    <w:rsid w:val="00B21EA3"/>
    <w:rsid w:val="00B2296E"/>
    <w:rsid w:val="00B328E5"/>
    <w:rsid w:val="00B331CF"/>
    <w:rsid w:val="00B3388D"/>
    <w:rsid w:val="00B34168"/>
    <w:rsid w:val="00B345D9"/>
    <w:rsid w:val="00B34DF8"/>
    <w:rsid w:val="00B37B14"/>
    <w:rsid w:val="00B43D0A"/>
    <w:rsid w:val="00B43EF1"/>
    <w:rsid w:val="00B44303"/>
    <w:rsid w:val="00B445BB"/>
    <w:rsid w:val="00B47091"/>
    <w:rsid w:val="00B47D07"/>
    <w:rsid w:val="00B5144B"/>
    <w:rsid w:val="00B5170B"/>
    <w:rsid w:val="00B52EE1"/>
    <w:rsid w:val="00B53992"/>
    <w:rsid w:val="00B53D6E"/>
    <w:rsid w:val="00B54EA4"/>
    <w:rsid w:val="00B60CE1"/>
    <w:rsid w:val="00B64706"/>
    <w:rsid w:val="00B679D3"/>
    <w:rsid w:val="00B67FEA"/>
    <w:rsid w:val="00B708AD"/>
    <w:rsid w:val="00B710D2"/>
    <w:rsid w:val="00B7113C"/>
    <w:rsid w:val="00B712CC"/>
    <w:rsid w:val="00B723DF"/>
    <w:rsid w:val="00B72D64"/>
    <w:rsid w:val="00B731DE"/>
    <w:rsid w:val="00B734C3"/>
    <w:rsid w:val="00B73EB2"/>
    <w:rsid w:val="00B74252"/>
    <w:rsid w:val="00B742BF"/>
    <w:rsid w:val="00B74AC4"/>
    <w:rsid w:val="00B7514D"/>
    <w:rsid w:val="00B7627A"/>
    <w:rsid w:val="00B7678B"/>
    <w:rsid w:val="00B77533"/>
    <w:rsid w:val="00B77999"/>
    <w:rsid w:val="00B77B05"/>
    <w:rsid w:val="00B81154"/>
    <w:rsid w:val="00B85149"/>
    <w:rsid w:val="00B85A12"/>
    <w:rsid w:val="00B86498"/>
    <w:rsid w:val="00B90481"/>
    <w:rsid w:val="00B9063F"/>
    <w:rsid w:val="00B92975"/>
    <w:rsid w:val="00B945D4"/>
    <w:rsid w:val="00B94BAD"/>
    <w:rsid w:val="00B97A58"/>
    <w:rsid w:val="00BA1325"/>
    <w:rsid w:val="00BA48FC"/>
    <w:rsid w:val="00BA5870"/>
    <w:rsid w:val="00BA679F"/>
    <w:rsid w:val="00BB0399"/>
    <w:rsid w:val="00BB0AAC"/>
    <w:rsid w:val="00BB0CBB"/>
    <w:rsid w:val="00BB0EFB"/>
    <w:rsid w:val="00BB19C4"/>
    <w:rsid w:val="00BB3223"/>
    <w:rsid w:val="00BB3BC1"/>
    <w:rsid w:val="00BB4344"/>
    <w:rsid w:val="00BB4A7B"/>
    <w:rsid w:val="00BB5D61"/>
    <w:rsid w:val="00BC1307"/>
    <w:rsid w:val="00BC2B27"/>
    <w:rsid w:val="00BC3B27"/>
    <w:rsid w:val="00BC4C9B"/>
    <w:rsid w:val="00BC609B"/>
    <w:rsid w:val="00BC7910"/>
    <w:rsid w:val="00BC7BEA"/>
    <w:rsid w:val="00BD0BD5"/>
    <w:rsid w:val="00BD209D"/>
    <w:rsid w:val="00BD6641"/>
    <w:rsid w:val="00BE4117"/>
    <w:rsid w:val="00BE467F"/>
    <w:rsid w:val="00BE4DAD"/>
    <w:rsid w:val="00BE5E4B"/>
    <w:rsid w:val="00BE6C2B"/>
    <w:rsid w:val="00BE716C"/>
    <w:rsid w:val="00BE76C8"/>
    <w:rsid w:val="00BE7990"/>
    <w:rsid w:val="00BF1AB9"/>
    <w:rsid w:val="00BF29E1"/>
    <w:rsid w:val="00BF2F12"/>
    <w:rsid w:val="00BF30AB"/>
    <w:rsid w:val="00BF37A1"/>
    <w:rsid w:val="00BF39E5"/>
    <w:rsid w:val="00BF3A0E"/>
    <w:rsid w:val="00BF3A82"/>
    <w:rsid w:val="00BF47F6"/>
    <w:rsid w:val="00BF4C9A"/>
    <w:rsid w:val="00BF58CF"/>
    <w:rsid w:val="00BF695F"/>
    <w:rsid w:val="00C0311B"/>
    <w:rsid w:val="00C0339F"/>
    <w:rsid w:val="00C038FE"/>
    <w:rsid w:val="00C0411C"/>
    <w:rsid w:val="00C057FE"/>
    <w:rsid w:val="00C07331"/>
    <w:rsid w:val="00C10955"/>
    <w:rsid w:val="00C11B85"/>
    <w:rsid w:val="00C13C70"/>
    <w:rsid w:val="00C149BA"/>
    <w:rsid w:val="00C22BC5"/>
    <w:rsid w:val="00C22CD6"/>
    <w:rsid w:val="00C23063"/>
    <w:rsid w:val="00C23DAA"/>
    <w:rsid w:val="00C24103"/>
    <w:rsid w:val="00C25539"/>
    <w:rsid w:val="00C267D7"/>
    <w:rsid w:val="00C31877"/>
    <w:rsid w:val="00C31885"/>
    <w:rsid w:val="00C3387C"/>
    <w:rsid w:val="00C34436"/>
    <w:rsid w:val="00C347A8"/>
    <w:rsid w:val="00C3617C"/>
    <w:rsid w:val="00C4200F"/>
    <w:rsid w:val="00C4222C"/>
    <w:rsid w:val="00C42806"/>
    <w:rsid w:val="00C42BB6"/>
    <w:rsid w:val="00C42DFC"/>
    <w:rsid w:val="00C430F8"/>
    <w:rsid w:val="00C43515"/>
    <w:rsid w:val="00C46BC0"/>
    <w:rsid w:val="00C53B91"/>
    <w:rsid w:val="00C53EBB"/>
    <w:rsid w:val="00C5519E"/>
    <w:rsid w:val="00C5610C"/>
    <w:rsid w:val="00C57088"/>
    <w:rsid w:val="00C60694"/>
    <w:rsid w:val="00C6189C"/>
    <w:rsid w:val="00C61B15"/>
    <w:rsid w:val="00C620D3"/>
    <w:rsid w:val="00C62687"/>
    <w:rsid w:val="00C64195"/>
    <w:rsid w:val="00C64773"/>
    <w:rsid w:val="00C71379"/>
    <w:rsid w:val="00C71913"/>
    <w:rsid w:val="00C73712"/>
    <w:rsid w:val="00C73A21"/>
    <w:rsid w:val="00C76728"/>
    <w:rsid w:val="00C76F72"/>
    <w:rsid w:val="00C77A75"/>
    <w:rsid w:val="00C80771"/>
    <w:rsid w:val="00C82A5E"/>
    <w:rsid w:val="00C836EC"/>
    <w:rsid w:val="00C8413F"/>
    <w:rsid w:val="00C84368"/>
    <w:rsid w:val="00C84427"/>
    <w:rsid w:val="00C844F7"/>
    <w:rsid w:val="00C84D0E"/>
    <w:rsid w:val="00C859C7"/>
    <w:rsid w:val="00C8680A"/>
    <w:rsid w:val="00C87B56"/>
    <w:rsid w:val="00C87D7F"/>
    <w:rsid w:val="00C91002"/>
    <w:rsid w:val="00C91424"/>
    <w:rsid w:val="00C915E2"/>
    <w:rsid w:val="00C93462"/>
    <w:rsid w:val="00C94C5F"/>
    <w:rsid w:val="00C97041"/>
    <w:rsid w:val="00C97042"/>
    <w:rsid w:val="00C9794E"/>
    <w:rsid w:val="00C979F3"/>
    <w:rsid w:val="00CA06CE"/>
    <w:rsid w:val="00CA0EED"/>
    <w:rsid w:val="00CA0F8C"/>
    <w:rsid w:val="00CA1224"/>
    <w:rsid w:val="00CA2794"/>
    <w:rsid w:val="00CB0616"/>
    <w:rsid w:val="00CB1364"/>
    <w:rsid w:val="00CB3215"/>
    <w:rsid w:val="00CB38A0"/>
    <w:rsid w:val="00CB38AF"/>
    <w:rsid w:val="00CB630A"/>
    <w:rsid w:val="00CB65EF"/>
    <w:rsid w:val="00CB6DBB"/>
    <w:rsid w:val="00CB72F5"/>
    <w:rsid w:val="00CC012F"/>
    <w:rsid w:val="00CC03E3"/>
    <w:rsid w:val="00CC0D0A"/>
    <w:rsid w:val="00CC1B7D"/>
    <w:rsid w:val="00CC1EF1"/>
    <w:rsid w:val="00CC3D8E"/>
    <w:rsid w:val="00CC41DA"/>
    <w:rsid w:val="00CC503C"/>
    <w:rsid w:val="00CC5AB4"/>
    <w:rsid w:val="00CC5F28"/>
    <w:rsid w:val="00CC6C4E"/>
    <w:rsid w:val="00CC6EA3"/>
    <w:rsid w:val="00CD49EC"/>
    <w:rsid w:val="00CE08AA"/>
    <w:rsid w:val="00CE313B"/>
    <w:rsid w:val="00CE4610"/>
    <w:rsid w:val="00CE475C"/>
    <w:rsid w:val="00CE6EF6"/>
    <w:rsid w:val="00CE7AEB"/>
    <w:rsid w:val="00CE7E3D"/>
    <w:rsid w:val="00CF0D1F"/>
    <w:rsid w:val="00CF0DC4"/>
    <w:rsid w:val="00CF0ECB"/>
    <w:rsid w:val="00CF1D5A"/>
    <w:rsid w:val="00CF3C7B"/>
    <w:rsid w:val="00CF4E4D"/>
    <w:rsid w:val="00CF7317"/>
    <w:rsid w:val="00D023A7"/>
    <w:rsid w:val="00D0254C"/>
    <w:rsid w:val="00D02A61"/>
    <w:rsid w:val="00D02D91"/>
    <w:rsid w:val="00D038F3"/>
    <w:rsid w:val="00D03E94"/>
    <w:rsid w:val="00D0438E"/>
    <w:rsid w:val="00D06225"/>
    <w:rsid w:val="00D075C8"/>
    <w:rsid w:val="00D10279"/>
    <w:rsid w:val="00D113C0"/>
    <w:rsid w:val="00D11965"/>
    <w:rsid w:val="00D126B7"/>
    <w:rsid w:val="00D134E0"/>
    <w:rsid w:val="00D13636"/>
    <w:rsid w:val="00D14F5B"/>
    <w:rsid w:val="00D17713"/>
    <w:rsid w:val="00D17CB6"/>
    <w:rsid w:val="00D20356"/>
    <w:rsid w:val="00D206DD"/>
    <w:rsid w:val="00D20FFB"/>
    <w:rsid w:val="00D2478F"/>
    <w:rsid w:val="00D260F8"/>
    <w:rsid w:val="00D26D78"/>
    <w:rsid w:val="00D3203E"/>
    <w:rsid w:val="00D3214A"/>
    <w:rsid w:val="00D32665"/>
    <w:rsid w:val="00D32E6E"/>
    <w:rsid w:val="00D33037"/>
    <w:rsid w:val="00D3377E"/>
    <w:rsid w:val="00D33E15"/>
    <w:rsid w:val="00D350D0"/>
    <w:rsid w:val="00D37530"/>
    <w:rsid w:val="00D41699"/>
    <w:rsid w:val="00D440F6"/>
    <w:rsid w:val="00D445FA"/>
    <w:rsid w:val="00D4503A"/>
    <w:rsid w:val="00D4520B"/>
    <w:rsid w:val="00D4733E"/>
    <w:rsid w:val="00D4777B"/>
    <w:rsid w:val="00D50DBD"/>
    <w:rsid w:val="00D54752"/>
    <w:rsid w:val="00D56B8F"/>
    <w:rsid w:val="00D5791A"/>
    <w:rsid w:val="00D57FF8"/>
    <w:rsid w:val="00D60BDF"/>
    <w:rsid w:val="00D60DC5"/>
    <w:rsid w:val="00D6151B"/>
    <w:rsid w:val="00D61780"/>
    <w:rsid w:val="00D61D5A"/>
    <w:rsid w:val="00D623EB"/>
    <w:rsid w:val="00D62905"/>
    <w:rsid w:val="00D637FE"/>
    <w:rsid w:val="00D63F04"/>
    <w:rsid w:val="00D65A6E"/>
    <w:rsid w:val="00D66D1C"/>
    <w:rsid w:val="00D72133"/>
    <w:rsid w:val="00D7221D"/>
    <w:rsid w:val="00D7237B"/>
    <w:rsid w:val="00D7363A"/>
    <w:rsid w:val="00D73FB7"/>
    <w:rsid w:val="00D73FB9"/>
    <w:rsid w:val="00D75FCF"/>
    <w:rsid w:val="00D76B16"/>
    <w:rsid w:val="00D76B66"/>
    <w:rsid w:val="00D773D0"/>
    <w:rsid w:val="00D77DC0"/>
    <w:rsid w:val="00D80073"/>
    <w:rsid w:val="00D80EB6"/>
    <w:rsid w:val="00D80FD9"/>
    <w:rsid w:val="00D81A8E"/>
    <w:rsid w:val="00D8329D"/>
    <w:rsid w:val="00D83408"/>
    <w:rsid w:val="00D83715"/>
    <w:rsid w:val="00D84668"/>
    <w:rsid w:val="00D84A3A"/>
    <w:rsid w:val="00D863CC"/>
    <w:rsid w:val="00D87B9A"/>
    <w:rsid w:val="00D87BD3"/>
    <w:rsid w:val="00D90D24"/>
    <w:rsid w:val="00D90EBF"/>
    <w:rsid w:val="00D916A9"/>
    <w:rsid w:val="00D94144"/>
    <w:rsid w:val="00D956BD"/>
    <w:rsid w:val="00D9611D"/>
    <w:rsid w:val="00D97463"/>
    <w:rsid w:val="00D9773D"/>
    <w:rsid w:val="00D97C6C"/>
    <w:rsid w:val="00D97D3F"/>
    <w:rsid w:val="00DA09EB"/>
    <w:rsid w:val="00DA22AF"/>
    <w:rsid w:val="00DA2D2A"/>
    <w:rsid w:val="00DA4B88"/>
    <w:rsid w:val="00DA78B5"/>
    <w:rsid w:val="00DA7EEA"/>
    <w:rsid w:val="00DB304D"/>
    <w:rsid w:val="00DB3AAA"/>
    <w:rsid w:val="00DB439A"/>
    <w:rsid w:val="00DC04AB"/>
    <w:rsid w:val="00DC1AE7"/>
    <w:rsid w:val="00DC28FF"/>
    <w:rsid w:val="00DC2D48"/>
    <w:rsid w:val="00DC3253"/>
    <w:rsid w:val="00DC41C7"/>
    <w:rsid w:val="00DC5381"/>
    <w:rsid w:val="00DC5FA6"/>
    <w:rsid w:val="00DC631F"/>
    <w:rsid w:val="00DC6760"/>
    <w:rsid w:val="00DD30F7"/>
    <w:rsid w:val="00DD388E"/>
    <w:rsid w:val="00DD4D3C"/>
    <w:rsid w:val="00DD4EBF"/>
    <w:rsid w:val="00DD60C4"/>
    <w:rsid w:val="00DD736C"/>
    <w:rsid w:val="00DE2EE4"/>
    <w:rsid w:val="00DE5657"/>
    <w:rsid w:val="00DF0316"/>
    <w:rsid w:val="00DF0E5F"/>
    <w:rsid w:val="00DF11D0"/>
    <w:rsid w:val="00DF13A6"/>
    <w:rsid w:val="00DF13E5"/>
    <w:rsid w:val="00DF1972"/>
    <w:rsid w:val="00DF519C"/>
    <w:rsid w:val="00DF57DB"/>
    <w:rsid w:val="00DF5EDC"/>
    <w:rsid w:val="00DF665C"/>
    <w:rsid w:val="00E00339"/>
    <w:rsid w:val="00E005AF"/>
    <w:rsid w:val="00E014FE"/>
    <w:rsid w:val="00E025F4"/>
    <w:rsid w:val="00E04238"/>
    <w:rsid w:val="00E05D27"/>
    <w:rsid w:val="00E0766F"/>
    <w:rsid w:val="00E076E5"/>
    <w:rsid w:val="00E077E1"/>
    <w:rsid w:val="00E10F45"/>
    <w:rsid w:val="00E12E0B"/>
    <w:rsid w:val="00E1539A"/>
    <w:rsid w:val="00E16ECF"/>
    <w:rsid w:val="00E20692"/>
    <w:rsid w:val="00E206EA"/>
    <w:rsid w:val="00E21972"/>
    <w:rsid w:val="00E224CF"/>
    <w:rsid w:val="00E230B4"/>
    <w:rsid w:val="00E24645"/>
    <w:rsid w:val="00E24CCA"/>
    <w:rsid w:val="00E254A0"/>
    <w:rsid w:val="00E25680"/>
    <w:rsid w:val="00E2702D"/>
    <w:rsid w:val="00E2781A"/>
    <w:rsid w:val="00E30182"/>
    <w:rsid w:val="00E3229A"/>
    <w:rsid w:val="00E33AF6"/>
    <w:rsid w:val="00E36364"/>
    <w:rsid w:val="00E3647C"/>
    <w:rsid w:val="00E36A70"/>
    <w:rsid w:val="00E41451"/>
    <w:rsid w:val="00E415B8"/>
    <w:rsid w:val="00E42787"/>
    <w:rsid w:val="00E427EE"/>
    <w:rsid w:val="00E4577B"/>
    <w:rsid w:val="00E45817"/>
    <w:rsid w:val="00E45BFB"/>
    <w:rsid w:val="00E46F93"/>
    <w:rsid w:val="00E50D6A"/>
    <w:rsid w:val="00E513D0"/>
    <w:rsid w:val="00E6068D"/>
    <w:rsid w:val="00E61C32"/>
    <w:rsid w:val="00E67B6F"/>
    <w:rsid w:val="00E704F7"/>
    <w:rsid w:val="00E7076F"/>
    <w:rsid w:val="00E70C45"/>
    <w:rsid w:val="00E73382"/>
    <w:rsid w:val="00E7433B"/>
    <w:rsid w:val="00E75ABE"/>
    <w:rsid w:val="00E7646B"/>
    <w:rsid w:val="00E76542"/>
    <w:rsid w:val="00E76FF1"/>
    <w:rsid w:val="00E77000"/>
    <w:rsid w:val="00E77777"/>
    <w:rsid w:val="00E81560"/>
    <w:rsid w:val="00E83789"/>
    <w:rsid w:val="00E83838"/>
    <w:rsid w:val="00E83A19"/>
    <w:rsid w:val="00E850BA"/>
    <w:rsid w:val="00E8562C"/>
    <w:rsid w:val="00E858A9"/>
    <w:rsid w:val="00E86556"/>
    <w:rsid w:val="00E876CB"/>
    <w:rsid w:val="00E900A3"/>
    <w:rsid w:val="00E91310"/>
    <w:rsid w:val="00E9144E"/>
    <w:rsid w:val="00E92FA6"/>
    <w:rsid w:val="00E9477E"/>
    <w:rsid w:val="00E94EC3"/>
    <w:rsid w:val="00E9694D"/>
    <w:rsid w:val="00EA1AF6"/>
    <w:rsid w:val="00EA1CFB"/>
    <w:rsid w:val="00EA2EEB"/>
    <w:rsid w:val="00EA50EC"/>
    <w:rsid w:val="00EA5D5D"/>
    <w:rsid w:val="00EA692F"/>
    <w:rsid w:val="00EA766E"/>
    <w:rsid w:val="00EB37A8"/>
    <w:rsid w:val="00EB40B0"/>
    <w:rsid w:val="00EB4443"/>
    <w:rsid w:val="00EB74BC"/>
    <w:rsid w:val="00EC16F8"/>
    <w:rsid w:val="00EC336E"/>
    <w:rsid w:val="00ED2C08"/>
    <w:rsid w:val="00ED3A64"/>
    <w:rsid w:val="00ED4194"/>
    <w:rsid w:val="00ED560D"/>
    <w:rsid w:val="00ED605B"/>
    <w:rsid w:val="00ED6260"/>
    <w:rsid w:val="00ED6B98"/>
    <w:rsid w:val="00ED6C94"/>
    <w:rsid w:val="00ED7F1C"/>
    <w:rsid w:val="00EE1040"/>
    <w:rsid w:val="00EE4797"/>
    <w:rsid w:val="00EE5B40"/>
    <w:rsid w:val="00EE5D08"/>
    <w:rsid w:val="00EE7685"/>
    <w:rsid w:val="00EF0BF1"/>
    <w:rsid w:val="00EF0EA0"/>
    <w:rsid w:val="00EF35D0"/>
    <w:rsid w:val="00EF3CF4"/>
    <w:rsid w:val="00EF4C89"/>
    <w:rsid w:val="00EF5F9F"/>
    <w:rsid w:val="00EF64BD"/>
    <w:rsid w:val="00F0242A"/>
    <w:rsid w:val="00F05050"/>
    <w:rsid w:val="00F053EF"/>
    <w:rsid w:val="00F0676E"/>
    <w:rsid w:val="00F10BC5"/>
    <w:rsid w:val="00F12FA6"/>
    <w:rsid w:val="00F1327E"/>
    <w:rsid w:val="00F141DF"/>
    <w:rsid w:val="00F15307"/>
    <w:rsid w:val="00F16041"/>
    <w:rsid w:val="00F16F37"/>
    <w:rsid w:val="00F17A7A"/>
    <w:rsid w:val="00F20245"/>
    <w:rsid w:val="00F216B1"/>
    <w:rsid w:val="00F23A2A"/>
    <w:rsid w:val="00F23E20"/>
    <w:rsid w:val="00F23F90"/>
    <w:rsid w:val="00F24F70"/>
    <w:rsid w:val="00F25611"/>
    <w:rsid w:val="00F276A4"/>
    <w:rsid w:val="00F30A87"/>
    <w:rsid w:val="00F31DA3"/>
    <w:rsid w:val="00F32F11"/>
    <w:rsid w:val="00F331FC"/>
    <w:rsid w:val="00F3371D"/>
    <w:rsid w:val="00F35CBE"/>
    <w:rsid w:val="00F374B9"/>
    <w:rsid w:val="00F406A9"/>
    <w:rsid w:val="00F40823"/>
    <w:rsid w:val="00F40BF4"/>
    <w:rsid w:val="00F41942"/>
    <w:rsid w:val="00F4261F"/>
    <w:rsid w:val="00F43B0B"/>
    <w:rsid w:val="00F43BA6"/>
    <w:rsid w:val="00F508B0"/>
    <w:rsid w:val="00F51C02"/>
    <w:rsid w:val="00F5227C"/>
    <w:rsid w:val="00F53937"/>
    <w:rsid w:val="00F54C78"/>
    <w:rsid w:val="00F555DD"/>
    <w:rsid w:val="00F55D28"/>
    <w:rsid w:val="00F5610C"/>
    <w:rsid w:val="00F566C7"/>
    <w:rsid w:val="00F57850"/>
    <w:rsid w:val="00F626E0"/>
    <w:rsid w:val="00F64195"/>
    <w:rsid w:val="00F646A4"/>
    <w:rsid w:val="00F65C61"/>
    <w:rsid w:val="00F65D33"/>
    <w:rsid w:val="00F6667B"/>
    <w:rsid w:val="00F675A0"/>
    <w:rsid w:val="00F7027C"/>
    <w:rsid w:val="00F70333"/>
    <w:rsid w:val="00F72892"/>
    <w:rsid w:val="00F729B4"/>
    <w:rsid w:val="00F73106"/>
    <w:rsid w:val="00F73F33"/>
    <w:rsid w:val="00F7494E"/>
    <w:rsid w:val="00F74B06"/>
    <w:rsid w:val="00F75C80"/>
    <w:rsid w:val="00F80AFA"/>
    <w:rsid w:val="00F8155F"/>
    <w:rsid w:val="00F81BA9"/>
    <w:rsid w:val="00F81E24"/>
    <w:rsid w:val="00F82D92"/>
    <w:rsid w:val="00F85FA6"/>
    <w:rsid w:val="00F860A4"/>
    <w:rsid w:val="00F86357"/>
    <w:rsid w:val="00F90FBA"/>
    <w:rsid w:val="00F93C02"/>
    <w:rsid w:val="00F955C4"/>
    <w:rsid w:val="00F95855"/>
    <w:rsid w:val="00F95C7C"/>
    <w:rsid w:val="00F96297"/>
    <w:rsid w:val="00FA106A"/>
    <w:rsid w:val="00FA13BE"/>
    <w:rsid w:val="00FA1A86"/>
    <w:rsid w:val="00FA1B4B"/>
    <w:rsid w:val="00FA3174"/>
    <w:rsid w:val="00FA384A"/>
    <w:rsid w:val="00FA4229"/>
    <w:rsid w:val="00FA433D"/>
    <w:rsid w:val="00FA4DCD"/>
    <w:rsid w:val="00FA65D1"/>
    <w:rsid w:val="00FA6845"/>
    <w:rsid w:val="00FA6CA0"/>
    <w:rsid w:val="00FA701F"/>
    <w:rsid w:val="00FA78E7"/>
    <w:rsid w:val="00FB01B3"/>
    <w:rsid w:val="00FB4CE4"/>
    <w:rsid w:val="00FB5013"/>
    <w:rsid w:val="00FB507A"/>
    <w:rsid w:val="00FB6A28"/>
    <w:rsid w:val="00FB76CD"/>
    <w:rsid w:val="00FC662C"/>
    <w:rsid w:val="00FC6851"/>
    <w:rsid w:val="00FC7394"/>
    <w:rsid w:val="00FD2F99"/>
    <w:rsid w:val="00FD3B61"/>
    <w:rsid w:val="00FD5E0B"/>
    <w:rsid w:val="00FD79B7"/>
    <w:rsid w:val="00FE15EB"/>
    <w:rsid w:val="00FE4B51"/>
    <w:rsid w:val="00FE4E3B"/>
    <w:rsid w:val="00FE551A"/>
    <w:rsid w:val="00FE5772"/>
    <w:rsid w:val="00FE752E"/>
    <w:rsid w:val="00FE7DFE"/>
    <w:rsid w:val="00FF06F1"/>
    <w:rsid w:val="00FF2C7A"/>
    <w:rsid w:val="00FF330B"/>
    <w:rsid w:val="00FF4869"/>
    <w:rsid w:val="00FF7510"/>
    <w:rsid w:val="00FF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18ACD"/>
  <w15:docId w15:val="{46804143-F042-4640-B650-B2CC126C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8A9"/>
    <w:pPr>
      <w:spacing w:after="0" w:line="240" w:lineRule="auto"/>
    </w:pPr>
    <w:rPr>
      <w:rFonts w:ascii="Calibri" w:hAnsi="Calibri"/>
    </w:rPr>
  </w:style>
  <w:style w:type="paragraph" w:styleId="Heading1">
    <w:name w:val="heading 1"/>
    <w:next w:val="BodyText"/>
    <w:link w:val="Heading1Char"/>
    <w:uiPriority w:val="1"/>
    <w:qFormat/>
    <w:rsid w:val="00E858A9"/>
    <w:pPr>
      <w:keepNext/>
      <w:keepLines/>
      <w:tabs>
        <w:tab w:val="left" w:pos="3345"/>
      </w:tabs>
      <w:spacing w:before="240" w:after="120" w:line="268" w:lineRule="auto"/>
      <w:outlineLvl w:val="0"/>
    </w:pPr>
    <w:rPr>
      <w:rFonts w:ascii="Calibri" w:eastAsiaTheme="majorEastAsia" w:hAnsi="Calibri" w:cstheme="majorBidi"/>
      <w:b/>
      <w:color w:val="003865"/>
      <w:sz w:val="40"/>
      <w:szCs w:val="40"/>
    </w:rPr>
  </w:style>
  <w:style w:type="paragraph" w:styleId="Heading2">
    <w:name w:val="heading 2"/>
    <w:next w:val="BodyText"/>
    <w:link w:val="Heading2Char"/>
    <w:uiPriority w:val="1"/>
    <w:unhideWhenUsed/>
    <w:qFormat/>
    <w:rsid w:val="000341DE"/>
    <w:pPr>
      <w:keepNext/>
      <w:keepLines/>
      <w:pBdr>
        <w:bottom w:val="single" w:sz="4" w:space="1" w:color="auto"/>
      </w:pBdr>
      <w:tabs>
        <w:tab w:val="left" w:pos="2400"/>
      </w:tabs>
      <w:spacing w:before="240" w:after="120" w:line="269" w:lineRule="auto"/>
      <w:outlineLvl w:val="1"/>
    </w:pPr>
    <w:rPr>
      <w:rFonts w:eastAsiaTheme="majorEastAsia" w:cstheme="majorBidi"/>
      <w:b/>
      <w:bCs/>
      <w:color w:val="003865"/>
      <w:sz w:val="32"/>
      <w:szCs w:val="32"/>
    </w:rPr>
  </w:style>
  <w:style w:type="paragraph" w:styleId="Heading3">
    <w:name w:val="heading 3"/>
    <w:next w:val="BodyText"/>
    <w:link w:val="Heading3Char"/>
    <w:uiPriority w:val="1"/>
    <w:unhideWhenUsed/>
    <w:qFormat/>
    <w:rsid w:val="00E858A9"/>
    <w:pPr>
      <w:keepNext/>
      <w:tabs>
        <w:tab w:val="left" w:pos="735"/>
      </w:tabs>
      <w:spacing w:before="240" w:after="120" w:line="268" w:lineRule="auto"/>
      <w:outlineLvl w:val="2"/>
    </w:pPr>
    <w:rPr>
      <w:rFonts w:eastAsiaTheme="majorEastAsia" w:cs="Arial"/>
      <w:b/>
      <w:color w:val="003865"/>
      <w:sz w:val="24"/>
      <w:szCs w:val="24"/>
    </w:rPr>
  </w:style>
  <w:style w:type="paragraph" w:styleId="Heading4">
    <w:name w:val="heading 4"/>
    <w:basedOn w:val="Normal"/>
    <w:next w:val="Normal"/>
    <w:link w:val="Heading4Char"/>
    <w:uiPriority w:val="9"/>
    <w:unhideWhenUsed/>
    <w:qFormat/>
    <w:rsid w:val="00F64195"/>
    <w:pPr>
      <w:keepNext/>
      <w:keepLines/>
      <w:spacing w:before="4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unhideWhenUsed/>
    <w:qFormat/>
    <w:rsid w:val="007C165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165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165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16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16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rsid w:val="00E91310"/>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iangles">
    <w:name w:val="1Triangles"/>
    <w:rsid w:val="00E91310"/>
    <w:pPr>
      <w:widowControl w:val="0"/>
      <w:tabs>
        <w:tab w:val="left" w:pos="720"/>
      </w:tabs>
      <w:autoSpaceDE w:val="0"/>
      <w:autoSpaceDN w:val="0"/>
      <w:adjustRightInd w:val="0"/>
      <w:ind w:left="720" w:hanging="720"/>
      <w:jc w:val="both"/>
    </w:pPr>
    <w:rPr>
      <w:sz w:val="24"/>
      <w:szCs w:val="24"/>
    </w:rPr>
  </w:style>
  <w:style w:type="paragraph" w:customStyle="1" w:styleId="2Triangles">
    <w:name w:val="2Triangles"/>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Triangles">
    <w:name w:val="3Triangles"/>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Triangles">
    <w:name w:val="4Triangles"/>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Triangles">
    <w:name w:val="5Triangles"/>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Triangles">
    <w:name w:val="6Triangles"/>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iangles">
    <w:name w:val="7Triangles"/>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iangles">
    <w:name w:val="8Triangles"/>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
    <w:name w:val="_"/>
    <w:rsid w:val="00E91310"/>
    <w:pPr>
      <w:widowControl w:val="0"/>
      <w:autoSpaceDE w:val="0"/>
      <w:autoSpaceDN w:val="0"/>
      <w:adjustRightInd w:val="0"/>
      <w:ind w:left="-1080"/>
    </w:pPr>
    <w:rPr>
      <w:sz w:val="24"/>
      <w:szCs w:val="24"/>
    </w:rPr>
  </w:style>
  <w:style w:type="character" w:customStyle="1" w:styleId="DefaultPara">
    <w:name w:val="Default Para"/>
    <w:rsid w:val="00E91310"/>
  </w:style>
  <w:style w:type="character" w:customStyle="1" w:styleId="SYSHYPERTEXT">
    <w:name w:val="SYS_HYPERTEXT"/>
    <w:rsid w:val="00E91310"/>
    <w:rPr>
      <w:color w:val="0000FF"/>
    </w:rPr>
  </w:style>
  <w:style w:type="paragraph" w:styleId="Header">
    <w:name w:val="header"/>
    <w:basedOn w:val="Normal"/>
    <w:rsid w:val="00E91310"/>
    <w:pPr>
      <w:tabs>
        <w:tab w:val="center" w:pos="4320"/>
        <w:tab w:val="right" w:pos="8640"/>
      </w:tabs>
    </w:pPr>
  </w:style>
  <w:style w:type="character" w:styleId="PageNumber">
    <w:name w:val="page number"/>
    <w:basedOn w:val="DefaultParagraphFont"/>
    <w:rsid w:val="00E91310"/>
  </w:style>
  <w:style w:type="paragraph" w:styleId="BodyText">
    <w:name w:val="Body Text"/>
    <w:link w:val="BodyTextChar"/>
    <w:unhideWhenUsed/>
    <w:qFormat/>
    <w:rsid w:val="00E858A9"/>
    <w:pPr>
      <w:spacing w:before="200" w:after="200" w:line="268" w:lineRule="auto"/>
    </w:pPr>
  </w:style>
  <w:style w:type="paragraph" w:styleId="Caption">
    <w:name w:val="caption"/>
    <w:basedOn w:val="Normal"/>
    <w:next w:val="Normal"/>
    <w:uiPriority w:val="35"/>
    <w:semiHidden/>
    <w:unhideWhenUsed/>
    <w:qFormat/>
    <w:rsid w:val="007C165F"/>
    <w:pPr>
      <w:spacing w:after="200"/>
    </w:pPr>
    <w:rPr>
      <w:i/>
      <w:iCs/>
      <w:color w:val="1F497D" w:themeColor="text2"/>
      <w:sz w:val="18"/>
      <w:szCs w:val="18"/>
    </w:rPr>
  </w:style>
  <w:style w:type="paragraph" w:styleId="BodyText2">
    <w:name w:val="Body Text 2"/>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odyText3">
    <w:name w:val="Body Text 3"/>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styleId="Hyperlink">
    <w:name w:val="Hyperlink"/>
    <w:rsid w:val="00E91310"/>
    <w:rPr>
      <w:color w:val="0000FF"/>
      <w:u w:val="single"/>
    </w:rPr>
  </w:style>
  <w:style w:type="character" w:styleId="FollowedHyperlink">
    <w:name w:val="FollowedHyperlink"/>
    <w:rsid w:val="00E91310"/>
    <w:rPr>
      <w:color w:val="800080"/>
      <w:u w:val="single"/>
    </w:rPr>
  </w:style>
  <w:style w:type="paragraph" w:styleId="Footer">
    <w:name w:val="footer"/>
    <w:basedOn w:val="Normal"/>
    <w:link w:val="FooterChar"/>
    <w:uiPriority w:val="99"/>
    <w:rsid w:val="00E91310"/>
    <w:pPr>
      <w:tabs>
        <w:tab w:val="center" w:pos="4320"/>
        <w:tab w:val="right" w:pos="8640"/>
      </w:tabs>
    </w:pPr>
  </w:style>
  <w:style w:type="paragraph" w:customStyle="1" w:styleId="Default">
    <w:name w:val="Default"/>
    <w:rsid w:val="0080088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5605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4C89"/>
    <w:rPr>
      <w:rFonts w:ascii="Tahoma" w:hAnsi="Tahoma" w:cs="Tahoma"/>
      <w:sz w:val="16"/>
      <w:szCs w:val="16"/>
    </w:rPr>
  </w:style>
  <w:style w:type="paragraph" w:styleId="ListParagraph">
    <w:name w:val="List Paragraph"/>
    <w:basedOn w:val="Normal"/>
    <w:qFormat/>
    <w:rsid w:val="007C165F"/>
    <w:pPr>
      <w:ind w:left="720"/>
      <w:contextualSpacing/>
    </w:pPr>
  </w:style>
  <w:style w:type="paragraph" w:styleId="ListBullet">
    <w:name w:val="List Bullet"/>
    <w:basedOn w:val="Normal"/>
    <w:rsid w:val="00C4222C"/>
    <w:pPr>
      <w:numPr>
        <w:numId w:val="1"/>
      </w:numPr>
      <w:spacing w:after="120"/>
    </w:pPr>
  </w:style>
  <w:style w:type="character" w:customStyle="1" w:styleId="BodyTextChar">
    <w:name w:val="Body Text Char"/>
    <w:basedOn w:val="DefaultParagraphFont"/>
    <w:link w:val="BodyText"/>
    <w:rsid w:val="00E858A9"/>
  </w:style>
  <w:style w:type="paragraph" w:customStyle="1" w:styleId="StyleListBulletAfter12pt">
    <w:name w:val="Style List Bullet + After:  12 pt"/>
    <w:basedOn w:val="ListBullet"/>
    <w:rsid w:val="00C4222C"/>
  </w:style>
  <w:style w:type="character" w:styleId="Strong">
    <w:name w:val="Strong"/>
    <w:basedOn w:val="DefaultParagraphFont"/>
    <w:uiPriority w:val="22"/>
    <w:qFormat/>
    <w:rsid w:val="007C165F"/>
    <w:rPr>
      <w:b/>
      <w:bCs/>
    </w:rPr>
  </w:style>
  <w:style w:type="character" w:styleId="Emphasis">
    <w:name w:val="Emphasis"/>
    <w:basedOn w:val="DefaultParagraphFont"/>
    <w:uiPriority w:val="20"/>
    <w:qFormat/>
    <w:rsid w:val="007C165F"/>
    <w:rPr>
      <w:i/>
      <w:iCs/>
    </w:rPr>
  </w:style>
  <w:style w:type="paragraph" w:styleId="Revision">
    <w:name w:val="Revision"/>
    <w:hidden/>
    <w:uiPriority w:val="99"/>
    <w:semiHidden/>
    <w:rsid w:val="00895418"/>
  </w:style>
  <w:style w:type="paragraph" w:styleId="NoSpacing">
    <w:name w:val="No Spacing"/>
    <w:uiPriority w:val="1"/>
    <w:qFormat/>
    <w:rsid w:val="007C165F"/>
    <w:pPr>
      <w:spacing w:after="0" w:line="240" w:lineRule="auto"/>
    </w:pPr>
    <w:rPr>
      <w:rFonts w:ascii="Calibri" w:hAnsi="Calibri"/>
    </w:rPr>
  </w:style>
  <w:style w:type="character" w:customStyle="1" w:styleId="Heading1Char">
    <w:name w:val="Heading 1 Char"/>
    <w:basedOn w:val="DefaultParagraphFont"/>
    <w:link w:val="Heading1"/>
    <w:uiPriority w:val="1"/>
    <w:rsid w:val="00E858A9"/>
    <w:rPr>
      <w:rFonts w:ascii="Calibri" w:eastAsiaTheme="majorEastAsia" w:hAnsi="Calibri" w:cstheme="majorBidi"/>
      <w:b/>
      <w:color w:val="003865"/>
      <w:sz w:val="40"/>
      <w:szCs w:val="40"/>
    </w:rPr>
  </w:style>
  <w:style w:type="character" w:customStyle="1" w:styleId="Heading2Char">
    <w:name w:val="Heading 2 Char"/>
    <w:basedOn w:val="DefaultParagraphFont"/>
    <w:link w:val="Heading2"/>
    <w:uiPriority w:val="1"/>
    <w:rsid w:val="000341DE"/>
    <w:rPr>
      <w:rFonts w:eastAsiaTheme="majorEastAsia" w:cstheme="majorBidi"/>
      <w:b/>
      <w:bCs/>
      <w:color w:val="003865"/>
      <w:sz w:val="32"/>
      <w:szCs w:val="32"/>
    </w:rPr>
  </w:style>
  <w:style w:type="character" w:customStyle="1" w:styleId="Heading3Char">
    <w:name w:val="Heading 3 Char"/>
    <w:basedOn w:val="DefaultParagraphFont"/>
    <w:link w:val="Heading3"/>
    <w:uiPriority w:val="1"/>
    <w:rsid w:val="00E858A9"/>
    <w:rPr>
      <w:rFonts w:eastAsiaTheme="majorEastAsia" w:cs="Arial"/>
      <w:b/>
      <w:color w:val="003865"/>
      <w:sz w:val="24"/>
      <w:szCs w:val="24"/>
    </w:rPr>
  </w:style>
  <w:style w:type="character" w:customStyle="1" w:styleId="Heading4Char">
    <w:name w:val="Heading 4 Char"/>
    <w:basedOn w:val="DefaultParagraphFont"/>
    <w:link w:val="Heading4"/>
    <w:uiPriority w:val="9"/>
    <w:rsid w:val="00F64195"/>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7C165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C165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C165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C16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165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C16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65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C165F"/>
    <w:rPr>
      <w:rFonts w:eastAsiaTheme="minorEastAsia"/>
      <w:color w:val="5A5A5A" w:themeColor="text1" w:themeTint="A5"/>
      <w:spacing w:val="15"/>
    </w:rPr>
  </w:style>
  <w:style w:type="paragraph" w:styleId="Quote">
    <w:name w:val="Quote"/>
    <w:basedOn w:val="Normal"/>
    <w:next w:val="Normal"/>
    <w:link w:val="QuoteChar"/>
    <w:uiPriority w:val="29"/>
    <w:qFormat/>
    <w:rsid w:val="007C16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165F"/>
    <w:rPr>
      <w:rFonts w:ascii="Calibri" w:hAnsi="Calibri"/>
      <w:i/>
      <w:iCs/>
      <w:color w:val="404040" w:themeColor="text1" w:themeTint="BF"/>
    </w:rPr>
  </w:style>
  <w:style w:type="paragraph" w:styleId="IntenseQuote">
    <w:name w:val="Intense Quote"/>
    <w:basedOn w:val="Normal"/>
    <w:next w:val="Normal"/>
    <w:link w:val="IntenseQuoteChar"/>
    <w:uiPriority w:val="30"/>
    <w:qFormat/>
    <w:rsid w:val="007C16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165F"/>
    <w:rPr>
      <w:rFonts w:ascii="Calibri" w:hAnsi="Calibri"/>
      <w:i/>
      <w:iCs/>
      <w:color w:val="4F81BD" w:themeColor="accent1"/>
    </w:rPr>
  </w:style>
  <w:style w:type="character" w:styleId="SubtleEmphasis">
    <w:name w:val="Subtle Emphasis"/>
    <w:basedOn w:val="DefaultParagraphFont"/>
    <w:uiPriority w:val="19"/>
    <w:qFormat/>
    <w:rsid w:val="007C165F"/>
    <w:rPr>
      <w:i/>
      <w:iCs/>
      <w:color w:val="404040" w:themeColor="text1" w:themeTint="BF"/>
    </w:rPr>
  </w:style>
  <w:style w:type="character" w:styleId="IntenseEmphasis">
    <w:name w:val="Intense Emphasis"/>
    <w:basedOn w:val="DefaultParagraphFont"/>
    <w:uiPriority w:val="21"/>
    <w:qFormat/>
    <w:rsid w:val="007C165F"/>
    <w:rPr>
      <w:i/>
      <w:iCs/>
      <w:color w:val="4F81BD" w:themeColor="accent1"/>
    </w:rPr>
  </w:style>
  <w:style w:type="character" w:styleId="SubtleReference">
    <w:name w:val="Subtle Reference"/>
    <w:basedOn w:val="DefaultParagraphFont"/>
    <w:uiPriority w:val="31"/>
    <w:qFormat/>
    <w:rsid w:val="007C165F"/>
    <w:rPr>
      <w:smallCaps/>
      <w:color w:val="5A5A5A" w:themeColor="text1" w:themeTint="A5"/>
    </w:rPr>
  </w:style>
  <w:style w:type="character" w:styleId="IntenseReference">
    <w:name w:val="Intense Reference"/>
    <w:basedOn w:val="DefaultParagraphFont"/>
    <w:uiPriority w:val="32"/>
    <w:qFormat/>
    <w:rsid w:val="007C165F"/>
    <w:rPr>
      <w:b/>
      <w:bCs/>
      <w:smallCaps/>
      <w:color w:val="4F81BD" w:themeColor="accent1"/>
      <w:spacing w:val="5"/>
    </w:rPr>
  </w:style>
  <w:style w:type="character" w:styleId="BookTitle">
    <w:name w:val="Book Title"/>
    <w:basedOn w:val="DefaultParagraphFont"/>
    <w:uiPriority w:val="33"/>
    <w:qFormat/>
    <w:rsid w:val="007C165F"/>
    <w:rPr>
      <w:b/>
      <w:bCs/>
      <w:i/>
      <w:iCs/>
      <w:spacing w:val="5"/>
    </w:rPr>
  </w:style>
  <w:style w:type="paragraph" w:styleId="TOCHeading">
    <w:name w:val="TOC Heading"/>
    <w:basedOn w:val="Heading1"/>
    <w:next w:val="Normal"/>
    <w:uiPriority w:val="39"/>
    <w:semiHidden/>
    <w:unhideWhenUsed/>
    <w:qFormat/>
    <w:rsid w:val="007C165F"/>
    <w:pPr>
      <w:tabs>
        <w:tab w:val="clear" w:pos="3345"/>
      </w:tabs>
      <w:spacing w:after="0" w:line="240" w:lineRule="auto"/>
      <w:outlineLvl w:val="9"/>
    </w:pPr>
    <w:rPr>
      <w:rFonts w:asciiTheme="majorHAnsi" w:hAnsiTheme="majorHAnsi"/>
      <w:b w:val="0"/>
      <w:color w:val="365F91" w:themeColor="accent1" w:themeShade="BF"/>
      <w:sz w:val="32"/>
      <w:szCs w:val="32"/>
    </w:rPr>
  </w:style>
  <w:style w:type="character" w:customStyle="1" w:styleId="FooterChar">
    <w:name w:val="Footer Char"/>
    <w:basedOn w:val="DefaultParagraphFont"/>
    <w:link w:val="Footer"/>
    <w:uiPriority w:val="99"/>
    <w:rsid w:val="001B6B06"/>
  </w:style>
  <w:style w:type="character" w:styleId="CommentReference">
    <w:name w:val="annotation reference"/>
    <w:basedOn w:val="DefaultParagraphFont"/>
    <w:semiHidden/>
    <w:unhideWhenUsed/>
    <w:rsid w:val="00D63F04"/>
    <w:rPr>
      <w:sz w:val="16"/>
      <w:szCs w:val="16"/>
    </w:rPr>
  </w:style>
  <w:style w:type="paragraph" w:styleId="CommentText">
    <w:name w:val="annotation text"/>
    <w:basedOn w:val="Normal"/>
    <w:link w:val="CommentTextChar"/>
    <w:semiHidden/>
    <w:unhideWhenUsed/>
    <w:rsid w:val="00D63F04"/>
    <w:rPr>
      <w:sz w:val="20"/>
      <w:szCs w:val="20"/>
    </w:rPr>
  </w:style>
  <w:style w:type="character" w:customStyle="1" w:styleId="CommentTextChar">
    <w:name w:val="Comment Text Char"/>
    <w:basedOn w:val="DefaultParagraphFont"/>
    <w:link w:val="CommentText"/>
    <w:semiHidden/>
    <w:rsid w:val="00D63F04"/>
    <w:rPr>
      <w:sz w:val="20"/>
      <w:szCs w:val="20"/>
    </w:rPr>
  </w:style>
  <w:style w:type="paragraph" w:styleId="CommentSubject">
    <w:name w:val="annotation subject"/>
    <w:basedOn w:val="CommentText"/>
    <w:next w:val="CommentText"/>
    <w:link w:val="CommentSubjectChar"/>
    <w:semiHidden/>
    <w:unhideWhenUsed/>
    <w:rsid w:val="00D63F04"/>
    <w:rPr>
      <w:b/>
      <w:bCs/>
    </w:rPr>
  </w:style>
  <w:style w:type="character" w:customStyle="1" w:styleId="CommentSubjectChar">
    <w:name w:val="Comment Subject Char"/>
    <w:basedOn w:val="CommentTextChar"/>
    <w:link w:val="CommentSubject"/>
    <w:semiHidden/>
    <w:rsid w:val="00D63F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572">
      <w:bodyDiv w:val="1"/>
      <w:marLeft w:val="60"/>
      <w:marRight w:val="60"/>
      <w:marTop w:val="60"/>
      <w:marBottom w:val="15"/>
      <w:divBdr>
        <w:top w:val="none" w:sz="0" w:space="0" w:color="auto"/>
        <w:left w:val="none" w:sz="0" w:space="0" w:color="auto"/>
        <w:bottom w:val="none" w:sz="0" w:space="0" w:color="auto"/>
        <w:right w:val="none" w:sz="0" w:space="0" w:color="auto"/>
      </w:divBdr>
      <w:divsChild>
        <w:div w:id="130952323">
          <w:marLeft w:val="0"/>
          <w:marRight w:val="0"/>
          <w:marTop w:val="0"/>
          <w:marBottom w:val="0"/>
          <w:divBdr>
            <w:top w:val="none" w:sz="0" w:space="0" w:color="auto"/>
            <w:left w:val="none" w:sz="0" w:space="0" w:color="auto"/>
            <w:bottom w:val="none" w:sz="0" w:space="0" w:color="auto"/>
            <w:right w:val="none" w:sz="0" w:space="0" w:color="auto"/>
          </w:divBdr>
        </w:div>
        <w:div w:id="135029660">
          <w:marLeft w:val="0"/>
          <w:marRight w:val="0"/>
          <w:marTop w:val="0"/>
          <w:marBottom w:val="0"/>
          <w:divBdr>
            <w:top w:val="none" w:sz="0" w:space="0" w:color="auto"/>
            <w:left w:val="none" w:sz="0" w:space="0" w:color="auto"/>
            <w:bottom w:val="none" w:sz="0" w:space="0" w:color="auto"/>
            <w:right w:val="none" w:sz="0" w:space="0" w:color="auto"/>
          </w:divBdr>
        </w:div>
        <w:div w:id="140199586">
          <w:marLeft w:val="0"/>
          <w:marRight w:val="0"/>
          <w:marTop w:val="0"/>
          <w:marBottom w:val="0"/>
          <w:divBdr>
            <w:top w:val="none" w:sz="0" w:space="0" w:color="auto"/>
            <w:left w:val="none" w:sz="0" w:space="0" w:color="auto"/>
            <w:bottom w:val="none" w:sz="0" w:space="0" w:color="auto"/>
            <w:right w:val="none" w:sz="0" w:space="0" w:color="auto"/>
          </w:divBdr>
        </w:div>
        <w:div w:id="165025019">
          <w:marLeft w:val="0"/>
          <w:marRight w:val="0"/>
          <w:marTop w:val="0"/>
          <w:marBottom w:val="0"/>
          <w:divBdr>
            <w:top w:val="none" w:sz="0" w:space="0" w:color="auto"/>
            <w:left w:val="none" w:sz="0" w:space="0" w:color="auto"/>
            <w:bottom w:val="none" w:sz="0" w:space="0" w:color="auto"/>
            <w:right w:val="none" w:sz="0" w:space="0" w:color="auto"/>
          </w:divBdr>
        </w:div>
        <w:div w:id="233275361">
          <w:marLeft w:val="0"/>
          <w:marRight w:val="0"/>
          <w:marTop w:val="0"/>
          <w:marBottom w:val="0"/>
          <w:divBdr>
            <w:top w:val="none" w:sz="0" w:space="0" w:color="auto"/>
            <w:left w:val="none" w:sz="0" w:space="0" w:color="auto"/>
            <w:bottom w:val="none" w:sz="0" w:space="0" w:color="auto"/>
            <w:right w:val="none" w:sz="0" w:space="0" w:color="auto"/>
          </w:divBdr>
        </w:div>
        <w:div w:id="236519906">
          <w:marLeft w:val="0"/>
          <w:marRight w:val="0"/>
          <w:marTop w:val="0"/>
          <w:marBottom w:val="0"/>
          <w:divBdr>
            <w:top w:val="none" w:sz="0" w:space="0" w:color="auto"/>
            <w:left w:val="none" w:sz="0" w:space="0" w:color="auto"/>
            <w:bottom w:val="none" w:sz="0" w:space="0" w:color="auto"/>
            <w:right w:val="none" w:sz="0" w:space="0" w:color="auto"/>
          </w:divBdr>
        </w:div>
        <w:div w:id="274560804">
          <w:marLeft w:val="0"/>
          <w:marRight w:val="0"/>
          <w:marTop w:val="0"/>
          <w:marBottom w:val="0"/>
          <w:divBdr>
            <w:top w:val="none" w:sz="0" w:space="0" w:color="auto"/>
            <w:left w:val="none" w:sz="0" w:space="0" w:color="auto"/>
            <w:bottom w:val="none" w:sz="0" w:space="0" w:color="auto"/>
            <w:right w:val="none" w:sz="0" w:space="0" w:color="auto"/>
          </w:divBdr>
        </w:div>
        <w:div w:id="331493830">
          <w:marLeft w:val="0"/>
          <w:marRight w:val="0"/>
          <w:marTop w:val="0"/>
          <w:marBottom w:val="0"/>
          <w:divBdr>
            <w:top w:val="none" w:sz="0" w:space="0" w:color="auto"/>
            <w:left w:val="none" w:sz="0" w:space="0" w:color="auto"/>
            <w:bottom w:val="none" w:sz="0" w:space="0" w:color="auto"/>
            <w:right w:val="none" w:sz="0" w:space="0" w:color="auto"/>
          </w:divBdr>
        </w:div>
        <w:div w:id="444538856">
          <w:marLeft w:val="0"/>
          <w:marRight w:val="0"/>
          <w:marTop w:val="0"/>
          <w:marBottom w:val="0"/>
          <w:divBdr>
            <w:top w:val="none" w:sz="0" w:space="0" w:color="auto"/>
            <w:left w:val="none" w:sz="0" w:space="0" w:color="auto"/>
            <w:bottom w:val="none" w:sz="0" w:space="0" w:color="auto"/>
            <w:right w:val="none" w:sz="0" w:space="0" w:color="auto"/>
          </w:divBdr>
        </w:div>
        <w:div w:id="513375455">
          <w:marLeft w:val="0"/>
          <w:marRight w:val="0"/>
          <w:marTop w:val="0"/>
          <w:marBottom w:val="0"/>
          <w:divBdr>
            <w:top w:val="none" w:sz="0" w:space="0" w:color="auto"/>
            <w:left w:val="none" w:sz="0" w:space="0" w:color="auto"/>
            <w:bottom w:val="none" w:sz="0" w:space="0" w:color="auto"/>
            <w:right w:val="none" w:sz="0" w:space="0" w:color="auto"/>
          </w:divBdr>
        </w:div>
        <w:div w:id="514464967">
          <w:marLeft w:val="0"/>
          <w:marRight w:val="0"/>
          <w:marTop w:val="0"/>
          <w:marBottom w:val="0"/>
          <w:divBdr>
            <w:top w:val="none" w:sz="0" w:space="0" w:color="auto"/>
            <w:left w:val="none" w:sz="0" w:space="0" w:color="auto"/>
            <w:bottom w:val="none" w:sz="0" w:space="0" w:color="auto"/>
            <w:right w:val="none" w:sz="0" w:space="0" w:color="auto"/>
          </w:divBdr>
        </w:div>
        <w:div w:id="522091692">
          <w:marLeft w:val="0"/>
          <w:marRight w:val="0"/>
          <w:marTop w:val="0"/>
          <w:marBottom w:val="0"/>
          <w:divBdr>
            <w:top w:val="none" w:sz="0" w:space="0" w:color="auto"/>
            <w:left w:val="none" w:sz="0" w:space="0" w:color="auto"/>
            <w:bottom w:val="none" w:sz="0" w:space="0" w:color="auto"/>
            <w:right w:val="none" w:sz="0" w:space="0" w:color="auto"/>
          </w:divBdr>
        </w:div>
        <w:div w:id="549847490">
          <w:marLeft w:val="0"/>
          <w:marRight w:val="0"/>
          <w:marTop w:val="0"/>
          <w:marBottom w:val="0"/>
          <w:divBdr>
            <w:top w:val="none" w:sz="0" w:space="0" w:color="auto"/>
            <w:left w:val="none" w:sz="0" w:space="0" w:color="auto"/>
            <w:bottom w:val="none" w:sz="0" w:space="0" w:color="auto"/>
            <w:right w:val="none" w:sz="0" w:space="0" w:color="auto"/>
          </w:divBdr>
        </w:div>
        <w:div w:id="571158826">
          <w:marLeft w:val="0"/>
          <w:marRight w:val="0"/>
          <w:marTop w:val="0"/>
          <w:marBottom w:val="0"/>
          <w:divBdr>
            <w:top w:val="none" w:sz="0" w:space="0" w:color="auto"/>
            <w:left w:val="none" w:sz="0" w:space="0" w:color="auto"/>
            <w:bottom w:val="none" w:sz="0" w:space="0" w:color="auto"/>
            <w:right w:val="none" w:sz="0" w:space="0" w:color="auto"/>
          </w:divBdr>
        </w:div>
        <w:div w:id="734858534">
          <w:marLeft w:val="0"/>
          <w:marRight w:val="0"/>
          <w:marTop w:val="0"/>
          <w:marBottom w:val="0"/>
          <w:divBdr>
            <w:top w:val="none" w:sz="0" w:space="0" w:color="auto"/>
            <w:left w:val="none" w:sz="0" w:space="0" w:color="auto"/>
            <w:bottom w:val="none" w:sz="0" w:space="0" w:color="auto"/>
            <w:right w:val="none" w:sz="0" w:space="0" w:color="auto"/>
          </w:divBdr>
        </w:div>
        <w:div w:id="852917297">
          <w:marLeft w:val="0"/>
          <w:marRight w:val="0"/>
          <w:marTop w:val="0"/>
          <w:marBottom w:val="0"/>
          <w:divBdr>
            <w:top w:val="none" w:sz="0" w:space="0" w:color="auto"/>
            <w:left w:val="none" w:sz="0" w:space="0" w:color="auto"/>
            <w:bottom w:val="none" w:sz="0" w:space="0" w:color="auto"/>
            <w:right w:val="none" w:sz="0" w:space="0" w:color="auto"/>
          </w:divBdr>
        </w:div>
        <w:div w:id="885220769">
          <w:marLeft w:val="0"/>
          <w:marRight w:val="0"/>
          <w:marTop w:val="0"/>
          <w:marBottom w:val="0"/>
          <w:divBdr>
            <w:top w:val="none" w:sz="0" w:space="0" w:color="auto"/>
            <w:left w:val="none" w:sz="0" w:space="0" w:color="auto"/>
            <w:bottom w:val="none" w:sz="0" w:space="0" w:color="auto"/>
            <w:right w:val="none" w:sz="0" w:space="0" w:color="auto"/>
          </w:divBdr>
        </w:div>
        <w:div w:id="921719138">
          <w:marLeft w:val="0"/>
          <w:marRight w:val="0"/>
          <w:marTop w:val="0"/>
          <w:marBottom w:val="0"/>
          <w:divBdr>
            <w:top w:val="none" w:sz="0" w:space="0" w:color="auto"/>
            <w:left w:val="none" w:sz="0" w:space="0" w:color="auto"/>
            <w:bottom w:val="none" w:sz="0" w:space="0" w:color="auto"/>
            <w:right w:val="none" w:sz="0" w:space="0" w:color="auto"/>
          </w:divBdr>
        </w:div>
        <w:div w:id="1124808185">
          <w:marLeft w:val="0"/>
          <w:marRight w:val="0"/>
          <w:marTop w:val="0"/>
          <w:marBottom w:val="0"/>
          <w:divBdr>
            <w:top w:val="none" w:sz="0" w:space="0" w:color="auto"/>
            <w:left w:val="none" w:sz="0" w:space="0" w:color="auto"/>
            <w:bottom w:val="none" w:sz="0" w:space="0" w:color="auto"/>
            <w:right w:val="none" w:sz="0" w:space="0" w:color="auto"/>
          </w:divBdr>
        </w:div>
        <w:div w:id="1298149345">
          <w:marLeft w:val="0"/>
          <w:marRight w:val="0"/>
          <w:marTop w:val="0"/>
          <w:marBottom w:val="0"/>
          <w:divBdr>
            <w:top w:val="none" w:sz="0" w:space="0" w:color="auto"/>
            <w:left w:val="none" w:sz="0" w:space="0" w:color="auto"/>
            <w:bottom w:val="none" w:sz="0" w:space="0" w:color="auto"/>
            <w:right w:val="none" w:sz="0" w:space="0" w:color="auto"/>
          </w:divBdr>
        </w:div>
        <w:div w:id="1319269194">
          <w:marLeft w:val="0"/>
          <w:marRight w:val="0"/>
          <w:marTop w:val="0"/>
          <w:marBottom w:val="0"/>
          <w:divBdr>
            <w:top w:val="none" w:sz="0" w:space="0" w:color="auto"/>
            <w:left w:val="none" w:sz="0" w:space="0" w:color="auto"/>
            <w:bottom w:val="none" w:sz="0" w:space="0" w:color="auto"/>
            <w:right w:val="none" w:sz="0" w:space="0" w:color="auto"/>
          </w:divBdr>
        </w:div>
        <w:div w:id="1368215720">
          <w:marLeft w:val="0"/>
          <w:marRight w:val="0"/>
          <w:marTop w:val="0"/>
          <w:marBottom w:val="0"/>
          <w:divBdr>
            <w:top w:val="none" w:sz="0" w:space="0" w:color="auto"/>
            <w:left w:val="none" w:sz="0" w:space="0" w:color="auto"/>
            <w:bottom w:val="none" w:sz="0" w:space="0" w:color="auto"/>
            <w:right w:val="none" w:sz="0" w:space="0" w:color="auto"/>
          </w:divBdr>
        </w:div>
        <w:div w:id="1411851049">
          <w:marLeft w:val="0"/>
          <w:marRight w:val="0"/>
          <w:marTop w:val="0"/>
          <w:marBottom w:val="0"/>
          <w:divBdr>
            <w:top w:val="none" w:sz="0" w:space="0" w:color="auto"/>
            <w:left w:val="none" w:sz="0" w:space="0" w:color="auto"/>
            <w:bottom w:val="none" w:sz="0" w:space="0" w:color="auto"/>
            <w:right w:val="none" w:sz="0" w:space="0" w:color="auto"/>
          </w:divBdr>
        </w:div>
        <w:div w:id="1519932120">
          <w:marLeft w:val="0"/>
          <w:marRight w:val="0"/>
          <w:marTop w:val="0"/>
          <w:marBottom w:val="0"/>
          <w:divBdr>
            <w:top w:val="none" w:sz="0" w:space="0" w:color="auto"/>
            <w:left w:val="none" w:sz="0" w:space="0" w:color="auto"/>
            <w:bottom w:val="none" w:sz="0" w:space="0" w:color="auto"/>
            <w:right w:val="none" w:sz="0" w:space="0" w:color="auto"/>
          </w:divBdr>
        </w:div>
        <w:div w:id="1557472255">
          <w:marLeft w:val="0"/>
          <w:marRight w:val="0"/>
          <w:marTop w:val="0"/>
          <w:marBottom w:val="0"/>
          <w:divBdr>
            <w:top w:val="none" w:sz="0" w:space="0" w:color="auto"/>
            <w:left w:val="none" w:sz="0" w:space="0" w:color="auto"/>
            <w:bottom w:val="none" w:sz="0" w:space="0" w:color="auto"/>
            <w:right w:val="none" w:sz="0" w:space="0" w:color="auto"/>
          </w:divBdr>
        </w:div>
        <w:div w:id="1582105048">
          <w:marLeft w:val="0"/>
          <w:marRight w:val="0"/>
          <w:marTop w:val="0"/>
          <w:marBottom w:val="0"/>
          <w:divBdr>
            <w:top w:val="none" w:sz="0" w:space="0" w:color="auto"/>
            <w:left w:val="none" w:sz="0" w:space="0" w:color="auto"/>
            <w:bottom w:val="none" w:sz="0" w:space="0" w:color="auto"/>
            <w:right w:val="none" w:sz="0" w:space="0" w:color="auto"/>
          </w:divBdr>
        </w:div>
        <w:div w:id="1710063345">
          <w:marLeft w:val="0"/>
          <w:marRight w:val="0"/>
          <w:marTop w:val="0"/>
          <w:marBottom w:val="0"/>
          <w:divBdr>
            <w:top w:val="none" w:sz="0" w:space="0" w:color="auto"/>
            <w:left w:val="none" w:sz="0" w:space="0" w:color="auto"/>
            <w:bottom w:val="none" w:sz="0" w:space="0" w:color="auto"/>
            <w:right w:val="none" w:sz="0" w:space="0" w:color="auto"/>
          </w:divBdr>
        </w:div>
        <w:div w:id="1752772614">
          <w:marLeft w:val="0"/>
          <w:marRight w:val="0"/>
          <w:marTop w:val="0"/>
          <w:marBottom w:val="0"/>
          <w:divBdr>
            <w:top w:val="none" w:sz="0" w:space="0" w:color="auto"/>
            <w:left w:val="none" w:sz="0" w:space="0" w:color="auto"/>
            <w:bottom w:val="none" w:sz="0" w:space="0" w:color="auto"/>
            <w:right w:val="none" w:sz="0" w:space="0" w:color="auto"/>
          </w:divBdr>
        </w:div>
        <w:div w:id="1813214408">
          <w:marLeft w:val="0"/>
          <w:marRight w:val="0"/>
          <w:marTop w:val="0"/>
          <w:marBottom w:val="0"/>
          <w:divBdr>
            <w:top w:val="none" w:sz="0" w:space="0" w:color="auto"/>
            <w:left w:val="none" w:sz="0" w:space="0" w:color="auto"/>
            <w:bottom w:val="none" w:sz="0" w:space="0" w:color="auto"/>
            <w:right w:val="none" w:sz="0" w:space="0" w:color="auto"/>
          </w:divBdr>
        </w:div>
        <w:div w:id="1819223066">
          <w:marLeft w:val="0"/>
          <w:marRight w:val="0"/>
          <w:marTop w:val="0"/>
          <w:marBottom w:val="0"/>
          <w:divBdr>
            <w:top w:val="none" w:sz="0" w:space="0" w:color="auto"/>
            <w:left w:val="none" w:sz="0" w:space="0" w:color="auto"/>
            <w:bottom w:val="none" w:sz="0" w:space="0" w:color="auto"/>
            <w:right w:val="none" w:sz="0" w:space="0" w:color="auto"/>
          </w:divBdr>
        </w:div>
        <w:div w:id="1850943744">
          <w:marLeft w:val="0"/>
          <w:marRight w:val="0"/>
          <w:marTop w:val="0"/>
          <w:marBottom w:val="0"/>
          <w:divBdr>
            <w:top w:val="none" w:sz="0" w:space="0" w:color="auto"/>
            <w:left w:val="none" w:sz="0" w:space="0" w:color="auto"/>
            <w:bottom w:val="none" w:sz="0" w:space="0" w:color="auto"/>
            <w:right w:val="none" w:sz="0" w:space="0" w:color="auto"/>
          </w:divBdr>
        </w:div>
        <w:div w:id="1886482137">
          <w:marLeft w:val="0"/>
          <w:marRight w:val="0"/>
          <w:marTop w:val="0"/>
          <w:marBottom w:val="0"/>
          <w:divBdr>
            <w:top w:val="none" w:sz="0" w:space="0" w:color="auto"/>
            <w:left w:val="none" w:sz="0" w:space="0" w:color="auto"/>
            <w:bottom w:val="none" w:sz="0" w:space="0" w:color="auto"/>
            <w:right w:val="none" w:sz="0" w:space="0" w:color="auto"/>
          </w:divBdr>
        </w:div>
        <w:div w:id="1978029152">
          <w:marLeft w:val="0"/>
          <w:marRight w:val="0"/>
          <w:marTop w:val="0"/>
          <w:marBottom w:val="0"/>
          <w:divBdr>
            <w:top w:val="none" w:sz="0" w:space="0" w:color="auto"/>
            <w:left w:val="none" w:sz="0" w:space="0" w:color="auto"/>
            <w:bottom w:val="none" w:sz="0" w:space="0" w:color="auto"/>
            <w:right w:val="none" w:sz="0" w:space="0" w:color="auto"/>
          </w:divBdr>
        </w:div>
        <w:div w:id="2045397593">
          <w:marLeft w:val="0"/>
          <w:marRight w:val="0"/>
          <w:marTop w:val="0"/>
          <w:marBottom w:val="0"/>
          <w:divBdr>
            <w:top w:val="none" w:sz="0" w:space="0" w:color="auto"/>
            <w:left w:val="none" w:sz="0" w:space="0" w:color="auto"/>
            <w:bottom w:val="none" w:sz="0" w:space="0" w:color="auto"/>
            <w:right w:val="none" w:sz="0" w:space="0" w:color="auto"/>
          </w:divBdr>
        </w:div>
      </w:divsChild>
    </w:div>
    <w:div w:id="148258125">
      <w:bodyDiv w:val="1"/>
      <w:marLeft w:val="0"/>
      <w:marRight w:val="0"/>
      <w:marTop w:val="0"/>
      <w:marBottom w:val="0"/>
      <w:divBdr>
        <w:top w:val="none" w:sz="0" w:space="0" w:color="auto"/>
        <w:left w:val="none" w:sz="0" w:space="0" w:color="auto"/>
        <w:bottom w:val="none" w:sz="0" w:space="0" w:color="auto"/>
        <w:right w:val="none" w:sz="0" w:space="0" w:color="auto"/>
      </w:divBdr>
    </w:div>
    <w:div w:id="507446586">
      <w:bodyDiv w:val="1"/>
      <w:marLeft w:val="0"/>
      <w:marRight w:val="0"/>
      <w:marTop w:val="0"/>
      <w:marBottom w:val="0"/>
      <w:divBdr>
        <w:top w:val="none" w:sz="0" w:space="0" w:color="auto"/>
        <w:left w:val="none" w:sz="0" w:space="0" w:color="auto"/>
        <w:bottom w:val="none" w:sz="0" w:space="0" w:color="auto"/>
        <w:right w:val="none" w:sz="0" w:space="0" w:color="auto"/>
      </w:divBdr>
    </w:div>
    <w:div w:id="556091595">
      <w:bodyDiv w:val="1"/>
      <w:marLeft w:val="0"/>
      <w:marRight w:val="0"/>
      <w:marTop w:val="0"/>
      <w:marBottom w:val="0"/>
      <w:divBdr>
        <w:top w:val="none" w:sz="0" w:space="0" w:color="auto"/>
        <w:left w:val="none" w:sz="0" w:space="0" w:color="auto"/>
        <w:bottom w:val="none" w:sz="0" w:space="0" w:color="auto"/>
        <w:right w:val="none" w:sz="0" w:space="0" w:color="auto"/>
      </w:divBdr>
    </w:div>
    <w:div w:id="569192947">
      <w:bodyDiv w:val="1"/>
      <w:marLeft w:val="0"/>
      <w:marRight w:val="0"/>
      <w:marTop w:val="0"/>
      <w:marBottom w:val="0"/>
      <w:divBdr>
        <w:top w:val="none" w:sz="0" w:space="0" w:color="auto"/>
        <w:left w:val="none" w:sz="0" w:space="0" w:color="auto"/>
        <w:bottom w:val="none" w:sz="0" w:space="0" w:color="auto"/>
        <w:right w:val="none" w:sz="0" w:space="0" w:color="auto"/>
      </w:divBdr>
    </w:div>
    <w:div w:id="617833075">
      <w:bodyDiv w:val="1"/>
      <w:marLeft w:val="0"/>
      <w:marRight w:val="0"/>
      <w:marTop w:val="0"/>
      <w:marBottom w:val="0"/>
      <w:divBdr>
        <w:top w:val="none" w:sz="0" w:space="0" w:color="auto"/>
        <w:left w:val="none" w:sz="0" w:space="0" w:color="auto"/>
        <w:bottom w:val="none" w:sz="0" w:space="0" w:color="auto"/>
        <w:right w:val="none" w:sz="0" w:space="0" w:color="auto"/>
      </w:divBdr>
    </w:div>
    <w:div w:id="735205552">
      <w:bodyDiv w:val="1"/>
      <w:marLeft w:val="0"/>
      <w:marRight w:val="0"/>
      <w:marTop w:val="0"/>
      <w:marBottom w:val="0"/>
      <w:divBdr>
        <w:top w:val="none" w:sz="0" w:space="0" w:color="auto"/>
        <w:left w:val="none" w:sz="0" w:space="0" w:color="auto"/>
        <w:bottom w:val="none" w:sz="0" w:space="0" w:color="auto"/>
        <w:right w:val="none" w:sz="0" w:space="0" w:color="auto"/>
      </w:divBdr>
    </w:div>
    <w:div w:id="799149858">
      <w:bodyDiv w:val="1"/>
      <w:marLeft w:val="0"/>
      <w:marRight w:val="0"/>
      <w:marTop w:val="0"/>
      <w:marBottom w:val="0"/>
      <w:divBdr>
        <w:top w:val="none" w:sz="0" w:space="0" w:color="auto"/>
        <w:left w:val="none" w:sz="0" w:space="0" w:color="auto"/>
        <w:bottom w:val="none" w:sz="0" w:space="0" w:color="auto"/>
        <w:right w:val="none" w:sz="0" w:space="0" w:color="auto"/>
      </w:divBdr>
    </w:div>
    <w:div w:id="846596447">
      <w:bodyDiv w:val="1"/>
      <w:marLeft w:val="0"/>
      <w:marRight w:val="0"/>
      <w:marTop w:val="0"/>
      <w:marBottom w:val="0"/>
      <w:divBdr>
        <w:top w:val="none" w:sz="0" w:space="0" w:color="auto"/>
        <w:left w:val="none" w:sz="0" w:space="0" w:color="auto"/>
        <w:bottom w:val="none" w:sz="0" w:space="0" w:color="auto"/>
        <w:right w:val="none" w:sz="0" w:space="0" w:color="auto"/>
      </w:divBdr>
    </w:div>
    <w:div w:id="1491678343">
      <w:bodyDiv w:val="1"/>
      <w:marLeft w:val="60"/>
      <w:marRight w:val="60"/>
      <w:marTop w:val="60"/>
      <w:marBottom w:val="15"/>
      <w:divBdr>
        <w:top w:val="none" w:sz="0" w:space="0" w:color="auto"/>
        <w:left w:val="none" w:sz="0" w:space="0" w:color="auto"/>
        <w:bottom w:val="none" w:sz="0" w:space="0" w:color="auto"/>
        <w:right w:val="none" w:sz="0" w:space="0" w:color="auto"/>
      </w:divBdr>
      <w:divsChild>
        <w:div w:id="6180454">
          <w:marLeft w:val="0"/>
          <w:marRight w:val="0"/>
          <w:marTop w:val="0"/>
          <w:marBottom w:val="0"/>
          <w:divBdr>
            <w:top w:val="none" w:sz="0" w:space="0" w:color="auto"/>
            <w:left w:val="none" w:sz="0" w:space="0" w:color="auto"/>
            <w:bottom w:val="none" w:sz="0" w:space="0" w:color="auto"/>
            <w:right w:val="none" w:sz="0" w:space="0" w:color="auto"/>
          </w:divBdr>
        </w:div>
        <w:div w:id="48652241">
          <w:marLeft w:val="0"/>
          <w:marRight w:val="0"/>
          <w:marTop w:val="0"/>
          <w:marBottom w:val="0"/>
          <w:divBdr>
            <w:top w:val="none" w:sz="0" w:space="0" w:color="auto"/>
            <w:left w:val="none" w:sz="0" w:space="0" w:color="auto"/>
            <w:bottom w:val="none" w:sz="0" w:space="0" w:color="auto"/>
            <w:right w:val="none" w:sz="0" w:space="0" w:color="auto"/>
          </w:divBdr>
        </w:div>
        <w:div w:id="75983683">
          <w:marLeft w:val="0"/>
          <w:marRight w:val="0"/>
          <w:marTop w:val="0"/>
          <w:marBottom w:val="0"/>
          <w:divBdr>
            <w:top w:val="none" w:sz="0" w:space="0" w:color="auto"/>
            <w:left w:val="none" w:sz="0" w:space="0" w:color="auto"/>
            <w:bottom w:val="none" w:sz="0" w:space="0" w:color="auto"/>
            <w:right w:val="none" w:sz="0" w:space="0" w:color="auto"/>
          </w:divBdr>
        </w:div>
        <w:div w:id="264308144">
          <w:marLeft w:val="0"/>
          <w:marRight w:val="0"/>
          <w:marTop w:val="0"/>
          <w:marBottom w:val="0"/>
          <w:divBdr>
            <w:top w:val="none" w:sz="0" w:space="0" w:color="auto"/>
            <w:left w:val="none" w:sz="0" w:space="0" w:color="auto"/>
            <w:bottom w:val="none" w:sz="0" w:space="0" w:color="auto"/>
            <w:right w:val="none" w:sz="0" w:space="0" w:color="auto"/>
          </w:divBdr>
        </w:div>
        <w:div w:id="320622269">
          <w:marLeft w:val="0"/>
          <w:marRight w:val="0"/>
          <w:marTop w:val="0"/>
          <w:marBottom w:val="0"/>
          <w:divBdr>
            <w:top w:val="none" w:sz="0" w:space="0" w:color="auto"/>
            <w:left w:val="none" w:sz="0" w:space="0" w:color="auto"/>
            <w:bottom w:val="none" w:sz="0" w:space="0" w:color="auto"/>
            <w:right w:val="none" w:sz="0" w:space="0" w:color="auto"/>
          </w:divBdr>
        </w:div>
        <w:div w:id="379676130">
          <w:marLeft w:val="0"/>
          <w:marRight w:val="0"/>
          <w:marTop w:val="0"/>
          <w:marBottom w:val="0"/>
          <w:divBdr>
            <w:top w:val="none" w:sz="0" w:space="0" w:color="auto"/>
            <w:left w:val="none" w:sz="0" w:space="0" w:color="auto"/>
            <w:bottom w:val="none" w:sz="0" w:space="0" w:color="auto"/>
            <w:right w:val="none" w:sz="0" w:space="0" w:color="auto"/>
          </w:divBdr>
        </w:div>
        <w:div w:id="433013661">
          <w:marLeft w:val="0"/>
          <w:marRight w:val="0"/>
          <w:marTop w:val="0"/>
          <w:marBottom w:val="0"/>
          <w:divBdr>
            <w:top w:val="none" w:sz="0" w:space="0" w:color="auto"/>
            <w:left w:val="none" w:sz="0" w:space="0" w:color="auto"/>
            <w:bottom w:val="none" w:sz="0" w:space="0" w:color="auto"/>
            <w:right w:val="none" w:sz="0" w:space="0" w:color="auto"/>
          </w:divBdr>
        </w:div>
        <w:div w:id="491798577">
          <w:marLeft w:val="0"/>
          <w:marRight w:val="0"/>
          <w:marTop w:val="0"/>
          <w:marBottom w:val="0"/>
          <w:divBdr>
            <w:top w:val="none" w:sz="0" w:space="0" w:color="auto"/>
            <w:left w:val="none" w:sz="0" w:space="0" w:color="auto"/>
            <w:bottom w:val="none" w:sz="0" w:space="0" w:color="auto"/>
            <w:right w:val="none" w:sz="0" w:space="0" w:color="auto"/>
          </w:divBdr>
        </w:div>
        <w:div w:id="533082959">
          <w:marLeft w:val="0"/>
          <w:marRight w:val="0"/>
          <w:marTop w:val="0"/>
          <w:marBottom w:val="0"/>
          <w:divBdr>
            <w:top w:val="none" w:sz="0" w:space="0" w:color="auto"/>
            <w:left w:val="none" w:sz="0" w:space="0" w:color="auto"/>
            <w:bottom w:val="none" w:sz="0" w:space="0" w:color="auto"/>
            <w:right w:val="none" w:sz="0" w:space="0" w:color="auto"/>
          </w:divBdr>
        </w:div>
        <w:div w:id="549615924">
          <w:marLeft w:val="0"/>
          <w:marRight w:val="0"/>
          <w:marTop w:val="0"/>
          <w:marBottom w:val="0"/>
          <w:divBdr>
            <w:top w:val="none" w:sz="0" w:space="0" w:color="auto"/>
            <w:left w:val="none" w:sz="0" w:space="0" w:color="auto"/>
            <w:bottom w:val="none" w:sz="0" w:space="0" w:color="auto"/>
            <w:right w:val="none" w:sz="0" w:space="0" w:color="auto"/>
          </w:divBdr>
        </w:div>
        <w:div w:id="693576273">
          <w:marLeft w:val="0"/>
          <w:marRight w:val="0"/>
          <w:marTop w:val="0"/>
          <w:marBottom w:val="0"/>
          <w:divBdr>
            <w:top w:val="none" w:sz="0" w:space="0" w:color="auto"/>
            <w:left w:val="none" w:sz="0" w:space="0" w:color="auto"/>
            <w:bottom w:val="none" w:sz="0" w:space="0" w:color="auto"/>
            <w:right w:val="none" w:sz="0" w:space="0" w:color="auto"/>
          </w:divBdr>
        </w:div>
        <w:div w:id="733507878">
          <w:marLeft w:val="0"/>
          <w:marRight w:val="0"/>
          <w:marTop w:val="0"/>
          <w:marBottom w:val="0"/>
          <w:divBdr>
            <w:top w:val="none" w:sz="0" w:space="0" w:color="auto"/>
            <w:left w:val="none" w:sz="0" w:space="0" w:color="auto"/>
            <w:bottom w:val="none" w:sz="0" w:space="0" w:color="auto"/>
            <w:right w:val="none" w:sz="0" w:space="0" w:color="auto"/>
          </w:divBdr>
        </w:div>
        <w:div w:id="738329561">
          <w:marLeft w:val="0"/>
          <w:marRight w:val="0"/>
          <w:marTop w:val="0"/>
          <w:marBottom w:val="0"/>
          <w:divBdr>
            <w:top w:val="none" w:sz="0" w:space="0" w:color="auto"/>
            <w:left w:val="none" w:sz="0" w:space="0" w:color="auto"/>
            <w:bottom w:val="none" w:sz="0" w:space="0" w:color="auto"/>
            <w:right w:val="none" w:sz="0" w:space="0" w:color="auto"/>
          </w:divBdr>
        </w:div>
        <w:div w:id="766539687">
          <w:marLeft w:val="0"/>
          <w:marRight w:val="0"/>
          <w:marTop w:val="0"/>
          <w:marBottom w:val="0"/>
          <w:divBdr>
            <w:top w:val="none" w:sz="0" w:space="0" w:color="auto"/>
            <w:left w:val="none" w:sz="0" w:space="0" w:color="auto"/>
            <w:bottom w:val="none" w:sz="0" w:space="0" w:color="auto"/>
            <w:right w:val="none" w:sz="0" w:space="0" w:color="auto"/>
          </w:divBdr>
        </w:div>
        <w:div w:id="814761948">
          <w:marLeft w:val="0"/>
          <w:marRight w:val="0"/>
          <w:marTop w:val="0"/>
          <w:marBottom w:val="0"/>
          <w:divBdr>
            <w:top w:val="none" w:sz="0" w:space="0" w:color="auto"/>
            <w:left w:val="none" w:sz="0" w:space="0" w:color="auto"/>
            <w:bottom w:val="none" w:sz="0" w:space="0" w:color="auto"/>
            <w:right w:val="none" w:sz="0" w:space="0" w:color="auto"/>
          </w:divBdr>
        </w:div>
        <w:div w:id="897323485">
          <w:marLeft w:val="0"/>
          <w:marRight w:val="0"/>
          <w:marTop w:val="0"/>
          <w:marBottom w:val="0"/>
          <w:divBdr>
            <w:top w:val="none" w:sz="0" w:space="0" w:color="auto"/>
            <w:left w:val="none" w:sz="0" w:space="0" w:color="auto"/>
            <w:bottom w:val="none" w:sz="0" w:space="0" w:color="auto"/>
            <w:right w:val="none" w:sz="0" w:space="0" w:color="auto"/>
          </w:divBdr>
        </w:div>
        <w:div w:id="956451479">
          <w:marLeft w:val="0"/>
          <w:marRight w:val="0"/>
          <w:marTop w:val="0"/>
          <w:marBottom w:val="0"/>
          <w:divBdr>
            <w:top w:val="none" w:sz="0" w:space="0" w:color="auto"/>
            <w:left w:val="none" w:sz="0" w:space="0" w:color="auto"/>
            <w:bottom w:val="none" w:sz="0" w:space="0" w:color="auto"/>
            <w:right w:val="none" w:sz="0" w:space="0" w:color="auto"/>
          </w:divBdr>
        </w:div>
        <w:div w:id="1027292865">
          <w:marLeft w:val="0"/>
          <w:marRight w:val="0"/>
          <w:marTop w:val="0"/>
          <w:marBottom w:val="0"/>
          <w:divBdr>
            <w:top w:val="none" w:sz="0" w:space="0" w:color="auto"/>
            <w:left w:val="none" w:sz="0" w:space="0" w:color="auto"/>
            <w:bottom w:val="none" w:sz="0" w:space="0" w:color="auto"/>
            <w:right w:val="none" w:sz="0" w:space="0" w:color="auto"/>
          </w:divBdr>
        </w:div>
        <w:div w:id="1049381007">
          <w:marLeft w:val="0"/>
          <w:marRight w:val="0"/>
          <w:marTop w:val="0"/>
          <w:marBottom w:val="0"/>
          <w:divBdr>
            <w:top w:val="none" w:sz="0" w:space="0" w:color="auto"/>
            <w:left w:val="none" w:sz="0" w:space="0" w:color="auto"/>
            <w:bottom w:val="none" w:sz="0" w:space="0" w:color="auto"/>
            <w:right w:val="none" w:sz="0" w:space="0" w:color="auto"/>
          </w:divBdr>
        </w:div>
        <w:div w:id="1226143700">
          <w:marLeft w:val="0"/>
          <w:marRight w:val="0"/>
          <w:marTop w:val="0"/>
          <w:marBottom w:val="0"/>
          <w:divBdr>
            <w:top w:val="none" w:sz="0" w:space="0" w:color="auto"/>
            <w:left w:val="none" w:sz="0" w:space="0" w:color="auto"/>
            <w:bottom w:val="none" w:sz="0" w:space="0" w:color="auto"/>
            <w:right w:val="none" w:sz="0" w:space="0" w:color="auto"/>
          </w:divBdr>
        </w:div>
        <w:div w:id="1273366763">
          <w:marLeft w:val="0"/>
          <w:marRight w:val="0"/>
          <w:marTop w:val="0"/>
          <w:marBottom w:val="0"/>
          <w:divBdr>
            <w:top w:val="none" w:sz="0" w:space="0" w:color="auto"/>
            <w:left w:val="none" w:sz="0" w:space="0" w:color="auto"/>
            <w:bottom w:val="none" w:sz="0" w:space="0" w:color="auto"/>
            <w:right w:val="none" w:sz="0" w:space="0" w:color="auto"/>
          </w:divBdr>
        </w:div>
        <w:div w:id="1293752070">
          <w:marLeft w:val="0"/>
          <w:marRight w:val="0"/>
          <w:marTop w:val="0"/>
          <w:marBottom w:val="0"/>
          <w:divBdr>
            <w:top w:val="none" w:sz="0" w:space="0" w:color="auto"/>
            <w:left w:val="none" w:sz="0" w:space="0" w:color="auto"/>
            <w:bottom w:val="none" w:sz="0" w:space="0" w:color="auto"/>
            <w:right w:val="none" w:sz="0" w:space="0" w:color="auto"/>
          </w:divBdr>
        </w:div>
        <w:div w:id="1295713079">
          <w:marLeft w:val="0"/>
          <w:marRight w:val="0"/>
          <w:marTop w:val="0"/>
          <w:marBottom w:val="0"/>
          <w:divBdr>
            <w:top w:val="none" w:sz="0" w:space="0" w:color="auto"/>
            <w:left w:val="none" w:sz="0" w:space="0" w:color="auto"/>
            <w:bottom w:val="none" w:sz="0" w:space="0" w:color="auto"/>
            <w:right w:val="none" w:sz="0" w:space="0" w:color="auto"/>
          </w:divBdr>
        </w:div>
        <w:div w:id="1302806349">
          <w:marLeft w:val="0"/>
          <w:marRight w:val="0"/>
          <w:marTop w:val="0"/>
          <w:marBottom w:val="0"/>
          <w:divBdr>
            <w:top w:val="none" w:sz="0" w:space="0" w:color="auto"/>
            <w:left w:val="none" w:sz="0" w:space="0" w:color="auto"/>
            <w:bottom w:val="none" w:sz="0" w:space="0" w:color="auto"/>
            <w:right w:val="none" w:sz="0" w:space="0" w:color="auto"/>
          </w:divBdr>
        </w:div>
        <w:div w:id="1509902587">
          <w:marLeft w:val="0"/>
          <w:marRight w:val="0"/>
          <w:marTop w:val="0"/>
          <w:marBottom w:val="0"/>
          <w:divBdr>
            <w:top w:val="none" w:sz="0" w:space="0" w:color="auto"/>
            <w:left w:val="none" w:sz="0" w:space="0" w:color="auto"/>
            <w:bottom w:val="none" w:sz="0" w:space="0" w:color="auto"/>
            <w:right w:val="none" w:sz="0" w:space="0" w:color="auto"/>
          </w:divBdr>
        </w:div>
        <w:div w:id="1553730171">
          <w:marLeft w:val="0"/>
          <w:marRight w:val="0"/>
          <w:marTop w:val="0"/>
          <w:marBottom w:val="0"/>
          <w:divBdr>
            <w:top w:val="none" w:sz="0" w:space="0" w:color="auto"/>
            <w:left w:val="none" w:sz="0" w:space="0" w:color="auto"/>
            <w:bottom w:val="none" w:sz="0" w:space="0" w:color="auto"/>
            <w:right w:val="none" w:sz="0" w:space="0" w:color="auto"/>
          </w:divBdr>
        </w:div>
        <w:div w:id="1627736823">
          <w:marLeft w:val="0"/>
          <w:marRight w:val="0"/>
          <w:marTop w:val="0"/>
          <w:marBottom w:val="0"/>
          <w:divBdr>
            <w:top w:val="none" w:sz="0" w:space="0" w:color="auto"/>
            <w:left w:val="none" w:sz="0" w:space="0" w:color="auto"/>
            <w:bottom w:val="none" w:sz="0" w:space="0" w:color="auto"/>
            <w:right w:val="none" w:sz="0" w:space="0" w:color="auto"/>
          </w:divBdr>
        </w:div>
        <w:div w:id="1653365614">
          <w:marLeft w:val="0"/>
          <w:marRight w:val="0"/>
          <w:marTop w:val="0"/>
          <w:marBottom w:val="0"/>
          <w:divBdr>
            <w:top w:val="none" w:sz="0" w:space="0" w:color="auto"/>
            <w:left w:val="none" w:sz="0" w:space="0" w:color="auto"/>
            <w:bottom w:val="none" w:sz="0" w:space="0" w:color="auto"/>
            <w:right w:val="none" w:sz="0" w:space="0" w:color="auto"/>
          </w:divBdr>
        </w:div>
        <w:div w:id="1741712463">
          <w:marLeft w:val="0"/>
          <w:marRight w:val="0"/>
          <w:marTop w:val="0"/>
          <w:marBottom w:val="0"/>
          <w:divBdr>
            <w:top w:val="none" w:sz="0" w:space="0" w:color="auto"/>
            <w:left w:val="none" w:sz="0" w:space="0" w:color="auto"/>
            <w:bottom w:val="none" w:sz="0" w:space="0" w:color="auto"/>
            <w:right w:val="none" w:sz="0" w:space="0" w:color="auto"/>
          </w:divBdr>
        </w:div>
        <w:div w:id="1887374909">
          <w:marLeft w:val="0"/>
          <w:marRight w:val="0"/>
          <w:marTop w:val="0"/>
          <w:marBottom w:val="0"/>
          <w:divBdr>
            <w:top w:val="none" w:sz="0" w:space="0" w:color="auto"/>
            <w:left w:val="none" w:sz="0" w:space="0" w:color="auto"/>
            <w:bottom w:val="none" w:sz="0" w:space="0" w:color="auto"/>
            <w:right w:val="none" w:sz="0" w:space="0" w:color="auto"/>
          </w:divBdr>
        </w:div>
        <w:div w:id="1951157452">
          <w:marLeft w:val="0"/>
          <w:marRight w:val="0"/>
          <w:marTop w:val="0"/>
          <w:marBottom w:val="0"/>
          <w:divBdr>
            <w:top w:val="none" w:sz="0" w:space="0" w:color="auto"/>
            <w:left w:val="none" w:sz="0" w:space="0" w:color="auto"/>
            <w:bottom w:val="none" w:sz="0" w:space="0" w:color="auto"/>
            <w:right w:val="none" w:sz="0" w:space="0" w:color="auto"/>
          </w:divBdr>
        </w:div>
        <w:div w:id="2075657967">
          <w:marLeft w:val="0"/>
          <w:marRight w:val="0"/>
          <w:marTop w:val="0"/>
          <w:marBottom w:val="0"/>
          <w:divBdr>
            <w:top w:val="none" w:sz="0" w:space="0" w:color="auto"/>
            <w:left w:val="none" w:sz="0" w:space="0" w:color="auto"/>
            <w:bottom w:val="none" w:sz="0" w:space="0" w:color="auto"/>
            <w:right w:val="none" w:sz="0" w:space="0" w:color="auto"/>
          </w:divBdr>
        </w:div>
        <w:div w:id="2090153335">
          <w:marLeft w:val="0"/>
          <w:marRight w:val="0"/>
          <w:marTop w:val="0"/>
          <w:marBottom w:val="0"/>
          <w:divBdr>
            <w:top w:val="none" w:sz="0" w:space="0" w:color="auto"/>
            <w:left w:val="none" w:sz="0" w:space="0" w:color="auto"/>
            <w:bottom w:val="none" w:sz="0" w:space="0" w:color="auto"/>
            <w:right w:val="none" w:sz="0" w:space="0" w:color="auto"/>
          </w:divBdr>
        </w:div>
        <w:div w:id="2134706714">
          <w:marLeft w:val="0"/>
          <w:marRight w:val="0"/>
          <w:marTop w:val="0"/>
          <w:marBottom w:val="0"/>
          <w:divBdr>
            <w:top w:val="none" w:sz="0" w:space="0" w:color="auto"/>
            <w:left w:val="none" w:sz="0" w:space="0" w:color="auto"/>
            <w:bottom w:val="none" w:sz="0" w:space="0" w:color="auto"/>
            <w:right w:val="none" w:sz="0" w:space="0" w:color="auto"/>
          </w:divBdr>
        </w:div>
      </w:divsChild>
    </w:div>
    <w:div w:id="1580869024">
      <w:bodyDiv w:val="1"/>
      <w:marLeft w:val="0"/>
      <w:marRight w:val="0"/>
      <w:marTop w:val="0"/>
      <w:marBottom w:val="0"/>
      <w:divBdr>
        <w:top w:val="none" w:sz="0" w:space="0" w:color="auto"/>
        <w:left w:val="none" w:sz="0" w:space="0" w:color="auto"/>
        <w:bottom w:val="none" w:sz="0" w:space="0" w:color="auto"/>
        <w:right w:val="none" w:sz="0" w:space="0" w:color="auto"/>
      </w:divBdr>
    </w:div>
    <w:div w:id="1581252783">
      <w:bodyDiv w:val="1"/>
      <w:marLeft w:val="0"/>
      <w:marRight w:val="0"/>
      <w:marTop w:val="0"/>
      <w:marBottom w:val="0"/>
      <w:divBdr>
        <w:top w:val="none" w:sz="0" w:space="0" w:color="auto"/>
        <w:left w:val="none" w:sz="0" w:space="0" w:color="auto"/>
        <w:bottom w:val="none" w:sz="0" w:space="0" w:color="auto"/>
        <w:right w:val="none" w:sz="0" w:space="0" w:color="auto"/>
      </w:divBdr>
    </w:div>
    <w:div w:id="1588879076">
      <w:bodyDiv w:val="1"/>
      <w:marLeft w:val="0"/>
      <w:marRight w:val="0"/>
      <w:marTop w:val="0"/>
      <w:marBottom w:val="0"/>
      <w:divBdr>
        <w:top w:val="none" w:sz="0" w:space="0" w:color="auto"/>
        <w:left w:val="none" w:sz="0" w:space="0" w:color="auto"/>
        <w:bottom w:val="none" w:sz="0" w:space="0" w:color="auto"/>
        <w:right w:val="none" w:sz="0" w:space="0" w:color="auto"/>
      </w:divBdr>
    </w:div>
    <w:div w:id="1724938557">
      <w:bodyDiv w:val="1"/>
      <w:marLeft w:val="0"/>
      <w:marRight w:val="0"/>
      <w:marTop w:val="0"/>
      <w:marBottom w:val="0"/>
      <w:divBdr>
        <w:top w:val="none" w:sz="0" w:space="0" w:color="auto"/>
        <w:left w:val="none" w:sz="0" w:space="0" w:color="auto"/>
        <w:bottom w:val="none" w:sz="0" w:space="0" w:color="auto"/>
        <w:right w:val="none" w:sz="0" w:space="0" w:color="auto"/>
      </w:divBdr>
    </w:div>
    <w:div w:id="1726292582">
      <w:bodyDiv w:val="1"/>
      <w:marLeft w:val="0"/>
      <w:marRight w:val="0"/>
      <w:marTop w:val="0"/>
      <w:marBottom w:val="0"/>
      <w:divBdr>
        <w:top w:val="none" w:sz="0" w:space="0" w:color="auto"/>
        <w:left w:val="none" w:sz="0" w:space="0" w:color="auto"/>
        <w:bottom w:val="none" w:sz="0" w:space="0" w:color="auto"/>
        <w:right w:val="none" w:sz="0" w:space="0" w:color="auto"/>
      </w:divBdr>
    </w:div>
    <w:div w:id="1728409520">
      <w:bodyDiv w:val="1"/>
      <w:marLeft w:val="0"/>
      <w:marRight w:val="0"/>
      <w:marTop w:val="0"/>
      <w:marBottom w:val="0"/>
      <w:divBdr>
        <w:top w:val="none" w:sz="0" w:space="0" w:color="auto"/>
        <w:left w:val="none" w:sz="0" w:space="0" w:color="auto"/>
        <w:bottom w:val="none" w:sz="0" w:space="0" w:color="auto"/>
        <w:right w:val="none" w:sz="0" w:space="0" w:color="auto"/>
      </w:divBdr>
    </w:div>
    <w:div w:id="198142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mn.gov/deed/data/export-stats/"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1433002692845212"/>
          <c:y val="7.7848123714265444E-2"/>
          <c:w val="0.60311787949583218"/>
          <c:h val="0.77849258204426564"/>
        </c:manualLayout>
      </c:layout>
      <c:pieChart>
        <c:varyColors val="1"/>
        <c:ser>
          <c:idx val="0"/>
          <c:order val="0"/>
          <c:tx>
            <c:strRef>
              <c:f>Sheet1!$B$1</c:f>
              <c:strCache>
                <c:ptCount val="1"/>
                <c:pt idx="0">
                  <c:v>MN 2025-Q3</c:v>
                </c:pt>
              </c:strCache>
            </c:strRef>
          </c:tx>
          <c:spPr>
            <a:ln w="9525">
              <a:solidFill>
                <a:schemeClr val="tx1">
                  <a:lumMod val="65000"/>
                  <a:lumOff val="35000"/>
                </a:schemeClr>
              </a:solidFill>
            </a:ln>
          </c:spPr>
          <c:dPt>
            <c:idx val="0"/>
            <c:bubble3D val="0"/>
            <c:spPr>
              <a:solidFill>
                <a:srgbClr val="003865"/>
              </a:solidFill>
              <a:ln w="9525">
                <a:solidFill>
                  <a:schemeClr val="tx1">
                    <a:lumMod val="65000"/>
                    <a:lumOff val="35000"/>
                  </a:schemeClr>
                </a:solidFill>
              </a:ln>
              <a:effectLst/>
            </c:spPr>
            <c:extLst>
              <c:ext xmlns:c16="http://schemas.microsoft.com/office/drawing/2014/chart" uri="{C3380CC4-5D6E-409C-BE32-E72D297353CC}">
                <c16:uniqueId val="{00000001-B63D-430A-B006-CBF57C87BB3A}"/>
              </c:ext>
            </c:extLst>
          </c:dPt>
          <c:dPt>
            <c:idx val="1"/>
            <c:bubble3D val="0"/>
            <c:spPr>
              <a:solidFill>
                <a:srgbClr val="78BE21"/>
              </a:solidFill>
              <a:ln w="9525">
                <a:solidFill>
                  <a:schemeClr val="tx1">
                    <a:lumMod val="65000"/>
                    <a:lumOff val="35000"/>
                  </a:schemeClr>
                </a:solidFill>
              </a:ln>
              <a:effectLst/>
            </c:spPr>
            <c:extLst>
              <c:ext xmlns:c16="http://schemas.microsoft.com/office/drawing/2014/chart" uri="{C3380CC4-5D6E-409C-BE32-E72D297353CC}">
                <c16:uniqueId val="{00000003-B63D-430A-B006-CBF57C87BB3A}"/>
              </c:ext>
            </c:extLst>
          </c:dPt>
          <c:dPt>
            <c:idx val="2"/>
            <c:bubble3D val="0"/>
            <c:spPr>
              <a:solidFill>
                <a:srgbClr val="008EAA"/>
              </a:solidFill>
              <a:ln w="9525">
                <a:solidFill>
                  <a:schemeClr val="tx1">
                    <a:lumMod val="65000"/>
                    <a:lumOff val="35000"/>
                  </a:schemeClr>
                </a:solidFill>
              </a:ln>
              <a:effectLst/>
            </c:spPr>
            <c:extLst>
              <c:ext xmlns:c16="http://schemas.microsoft.com/office/drawing/2014/chart" uri="{C3380CC4-5D6E-409C-BE32-E72D297353CC}">
                <c16:uniqueId val="{00000005-B63D-430A-B006-CBF57C87BB3A}"/>
              </c:ext>
            </c:extLst>
          </c:dPt>
          <c:dPt>
            <c:idx val="3"/>
            <c:bubble3D val="0"/>
            <c:spPr>
              <a:solidFill>
                <a:srgbClr val="8D3F2B"/>
              </a:solidFill>
              <a:ln w="9525">
                <a:solidFill>
                  <a:schemeClr val="tx1">
                    <a:lumMod val="65000"/>
                    <a:lumOff val="35000"/>
                  </a:schemeClr>
                </a:solidFill>
              </a:ln>
              <a:effectLst/>
            </c:spPr>
            <c:extLst>
              <c:ext xmlns:c16="http://schemas.microsoft.com/office/drawing/2014/chart" uri="{C3380CC4-5D6E-409C-BE32-E72D297353CC}">
                <c16:uniqueId val="{00000007-B63D-430A-B006-CBF57C87BB3A}"/>
              </c:ext>
            </c:extLst>
          </c:dPt>
          <c:dPt>
            <c:idx val="4"/>
            <c:bubble3D val="0"/>
            <c:spPr>
              <a:solidFill>
                <a:srgbClr val="948193"/>
              </a:solidFill>
              <a:ln w="9525">
                <a:solidFill>
                  <a:srgbClr val="7030A0"/>
                </a:solidFill>
              </a:ln>
              <a:effectLst/>
            </c:spPr>
            <c:extLst>
              <c:ext xmlns:c16="http://schemas.microsoft.com/office/drawing/2014/chart" uri="{C3380CC4-5D6E-409C-BE32-E72D297353CC}">
                <c16:uniqueId val="{00000009-B63D-430A-B006-CBF57C87BB3A}"/>
              </c:ext>
            </c:extLst>
          </c:dPt>
          <c:dPt>
            <c:idx val="5"/>
            <c:bubble3D val="0"/>
            <c:spPr>
              <a:solidFill>
                <a:srgbClr val="FFC845"/>
              </a:solidFill>
              <a:ln w="9525">
                <a:solidFill>
                  <a:schemeClr val="tx1">
                    <a:lumMod val="65000"/>
                    <a:lumOff val="35000"/>
                  </a:schemeClr>
                </a:solidFill>
              </a:ln>
              <a:effectLst/>
            </c:spPr>
            <c:extLst>
              <c:ext xmlns:c16="http://schemas.microsoft.com/office/drawing/2014/chart" uri="{C3380CC4-5D6E-409C-BE32-E72D297353CC}">
                <c16:uniqueId val="{0000000B-B63D-430A-B006-CBF57C87BB3A}"/>
              </c:ext>
            </c:extLst>
          </c:dPt>
          <c:dPt>
            <c:idx val="6"/>
            <c:bubble3D val="0"/>
            <c:spPr>
              <a:solidFill>
                <a:srgbClr val="9BCBEB"/>
              </a:solidFill>
              <a:ln w="9525">
                <a:solidFill>
                  <a:schemeClr val="tx1">
                    <a:lumMod val="65000"/>
                    <a:lumOff val="35000"/>
                  </a:schemeClr>
                </a:solidFill>
              </a:ln>
              <a:effectLst/>
            </c:spPr>
            <c:extLst>
              <c:ext xmlns:c16="http://schemas.microsoft.com/office/drawing/2014/chart" uri="{C3380CC4-5D6E-409C-BE32-E72D297353CC}">
                <c16:uniqueId val="{0000000D-B63D-430A-B006-CBF57C87BB3A}"/>
              </c:ext>
            </c:extLst>
          </c:dPt>
          <c:dPt>
            <c:idx val="7"/>
            <c:bubble3D val="0"/>
            <c:spPr>
              <a:solidFill>
                <a:srgbClr val="E57200"/>
              </a:solidFill>
              <a:ln w="9525">
                <a:solidFill>
                  <a:schemeClr val="tx1">
                    <a:lumMod val="65000"/>
                    <a:lumOff val="35000"/>
                  </a:schemeClr>
                </a:solidFill>
              </a:ln>
              <a:effectLst/>
            </c:spPr>
            <c:extLst>
              <c:ext xmlns:c16="http://schemas.microsoft.com/office/drawing/2014/chart" uri="{C3380CC4-5D6E-409C-BE32-E72D297353CC}">
                <c16:uniqueId val="{0000000F-B63D-430A-B006-CBF57C87BB3A}"/>
              </c:ext>
            </c:extLst>
          </c:dPt>
          <c:dPt>
            <c:idx val="8"/>
            <c:bubble3D val="0"/>
            <c:spPr>
              <a:solidFill>
                <a:schemeClr val="accent1">
                  <a:tint val="13000"/>
                </a:schemeClr>
              </a:solidFill>
              <a:ln w="9525">
                <a:solidFill>
                  <a:schemeClr val="tx1">
                    <a:lumMod val="65000"/>
                    <a:lumOff val="35000"/>
                  </a:schemeClr>
                </a:solidFill>
              </a:ln>
              <a:effectLst/>
            </c:spPr>
            <c:extLst>
              <c:ext xmlns:c16="http://schemas.microsoft.com/office/drawing/2014/chart" uri="{C3380CC4-5D6E-409C-BE32-E72D297353CC}">
                <c16:uniqueId val="{00000011-B63D-430A-B006-CBF57C87BB3A}"/>
              </c:ext>
            </c:extLst>
          </c:dPt>
          <c:dLbls>
            <c:dLbl>
              <c:idx val="0"/>
              <c:layout>
                <c:manualLayout>
                  <c:x val="1.9076592698639944E-2"/>
                  <c:y val="1.801095515234508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9283771346763471"/>
                      <c:h val="7.9102476320894677E-2"/>
                    </c:manualLayout>
                  </c15:layout>
                </c:ext>
                <c:ext xmlns:c16="http://schemas.microsoft.com/office/drawing/2014/chart" uri="{C3380CC4-5D6E-409C-BE32-E72D297353CC}">
                  <c16:uniqueId val="{00000001-B63D-430A-B006-CBF57C87BB3A}"/>
                </c:ext>
              </c:extLst>
            </c:dLbl>
            <c:dLbl>
              <c:idx val="1"/>
              <c:layout>
                <c:manualLayout>
                  <c:x val="-2.2396461805910706E-2"/>
                  <c:y val="7.444083076571917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546511231550598"/>
                      <c:h val="0.12244779185210543"/>
                    </c:manualLayout>
                  </c15:layout>
                </c:ext>
                <c:ext xmlns:c16="http://schemas.microsoft.com/office/drawing/2014/chart" uri="{C3380CC4-5D6E-409C-BE32-E72D297353CC}">
                  <c16:uniqueId val="{00000003-B63D-430A-B006-CBF57C87BB3A}"/>
                </c:ext>
              </c:extLst>
            </c:dLbl>
            <c:dLbl>
              <c:idx val="2"/>
              <c:layout>
                <c:manualLayout>
                  <c:x val="8.6583495244911771E-3"/>
                  <c:y val="-4.216250142645212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051777618706752"/>
                      <c:h val="0.11352333675681844"/>
                    </c:manualLayout>
                  </c15:layout>
                </c:ext>
                <c:ext xmlns:c16="http://schemas.microsoft.com/office/drawing/2014/chart" uri="{C3380CC4-5D6E-409C-BE32-E72D297353CC}">
                  <c16:uniqueId val="{00000005-B63D-430A-B006-CBF57C87BB3A}"/>
                </c:ext>
              </c:extLst>
            </c:dLbl>
            <c:dLbl>
              <c:idx val="3"/>
              <c:layout>
                <c:manualLayout>
                  <c:x val="-1.9480349047278158E-2"/>
                  <c:y val="-4.53172429533266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0515730988172"/>
                      <c:h val="0.11147609266233026"/>
                    </c:manualLayout>
                  </c15:layout>
                </c:ext>
                <c:ext xmlns:c16="http://schemas.microsoft.com/office/drawing/2014/chart" uri="{C3380CC4-5D6E-409C-BE32-E72D297353CC}">
                  <c16:uniqueId val="{00000007-B63D-430A-B006-CBF57C87BB3A}"/>
                </c:ext>
              </c:extLst>
            </c:dLbl>
            <c:dLbl>
              <c:idx val="4"/>
              <c:layout>
                <c:manualLayout>
                  <c:x val="4.9272590926134154E-2"/>
                  <c:y val="-5.077513408650018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002726931860791"/>
                      <c:h val="9.9968618053178124E-2"/>
                    </c:manualLayout>
                  </c15:layout>
                </c:ext>
                <c:ext xmlns:c16="http://schemas.microsoft.com/office/drawing/2014/chart" uri="{C3380CC4-5D6E-409C-BE32-E72D297353CC}">
                  <c16:uniqueId val="{00000009-B63D-430A-B006-CBF57C87BB3A}"/>
                </c:ext>
              </c:extLst>
            </c:dLbl>
            <c:dLbl>
              <c:idx val="5"/>
              <c:layout>
                <c:manualLayout>
                  <c:x val="-8.9010464601016574E-3"/>
                  <c:y val="1.170518087412986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62082012475714"/>
                      <c:h val="7.6764806573091385E-2"/>
                    </c:manualLayout>
                  </c15:layout>
                </c:ext>
                <c:ext xmlns:c16="http://schemas.microsoft.com/office/drawing/2014/chart" uri="{C3380CC4-5D6E-409C-BE32-E72D297353CC}">
                  <c16:uniqueId val="{0000000B-B63D-430A-B006-CBF57C87BB3A}"/>
                </c:ext>
              </c:extLst>
            </c:dLbl>
            <c:dLbl>
              <c:idx val="6"/>
              <c:layout>
                <c:manualLayout>
                  <c:x val="-9.1288134437740823E-2"/>
                  <c:y val="-5.36488645441059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3834850189180887"/>
                      <c:h val="0.13232169348396666"/>
                    </c:manualLayout>
                  </c15:layout>
                </c:ext>
                <c:ext xmlns:c16="http://schemas.microsoft.com/office/drawing/2014/chart" uri="{C3380CC4-5D6E-409C-BE32-E72D297353CC}">
                  <c16:uniqueId val="{0000000D-B63D-430A-B006-CBF57C87BB3A}"/>
                </c:ext>
              </c:extLst>
            </c:dLbl>
            <c:dLbl>
              <c:idx val="7"/>
              <c:layout>
                <c:manualLayout>
                  <c:x val="-5.1948051948051951E-2"/>
                  <c:y val="-8.695623644870478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616866073558988"/>
                      <c:h val="0.12057971014492752"/>
                    </c:manualLayout>
                  </c15:layout>
                </c:ext>
                <c:ext xmlns:c16="http://schemas.microsoft.com/office/drawing/2014/chart" uri="{C3380CC4-5D6E-409C-BE32-E72D297353CC}">
                  <c16:uniqueId val="{0000000F-B63D-430A-B006-CBF57C87BB3A}"/>
                </c:ext>
              </c:extLst>
            </c:dLbl>
            <c:dLbl>
              <c:idx val="8"/>
              <c:layout>
                <c:manualLayout>
                  <c:x val="2.8112449799196824E-2"/>
                  <c:y val="-2.525252525252525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B63D-430A-B006-CBF57C87BB3A}"/>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Mexico</c:v>
                </c:pt>
                <c:pt idx="1">
                  <c:v>Canada</c:v>
                </c:pt>
                <c:pt idx="2">
                  <c:v>Thailand</c:v>
                </c:pt>
                <c:pt idx="3">
                  <c:v>China</c:v>
                </c:pt>
                <c:pt idx="4">
                  <c:v>U.K.</c:v>
                </c:pt>
                <c:pt idx="5">
                  <c:v>Japan</c:v>
                </c:pt>
                <c:pt idx="6">
                  <c:v>Switzerland</c:v>
                </c:pt>
                <c:pt idx="7">
                  <c:v>Ireland</c:v>
                </c:pt>
                <c:pt idx="8">
                  <c:v>Other</c:v>
                </c:pt>
              </c:strCache>
            </c:strRef>
          </c:cat>
          <c:val>
            <c:numRef>
              <c:f>Sheet1!$B$2:$B$10</c:f>
              <c:numCache>
                <c:formatCode>_("$"* #,##0_);_("$"* \(#,##0\);_("$"* "-"??_);_(@_)</c:formatCode>
                <c:ptCount val="9"/>
                <c:pt idx="0">
                  <c:v>94828527</c:v>
                </c:pt>
                <c:pt idx="1">
                  <c:v>90203851</c:v>
                </c:pt>
                <c:pt idx="2">
                  <c:v>77529675</c:v>
                </c:pt>
                <c:pt idx="3">
                  <c:v>71207691</c:v>
                </c:pt>
                <c:pt idx="4">
                  <c:v>59122399</c:v>
                </c:pt>
                <c:pt idx="5">
                  <c:v>57014077</c:v>
                </c:pt>
                <c:pt idx="6">
                  <c:v>48381686</c:v>
                </c:pt>
                <c:pt idx="7">
                  <c:v>43224717</c:v>
                </c:pt>
                <c:pt idx="8">
                  <c:v>389426893</c:v>
                </c:pt>
              </c:numCache>
            </c:numRef>
          </c:val>
          <c:extLst>
            <c:ext xmlns:c16="http://schemas.microsoft.com/office/drawing/2014/chart" uri="{C3380CC4-5D6E-409C-BE32-E72D297353CC}">
              <c16:uniqueId val="{00000012-B63D-430A-B006-CBF57C87BB3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b6303a1c84475b397e355e2704d62d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f5af848191570b8e68c2657ecdc73046"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E5FB6C44-9FF8-492D-ADB5-283AD1E5C7D9}">
  <ds:schemaRefs>
    <ds:schemaRef ds:uri="http://schemas.openxmlformats.org/officeDocument/2006/bibliography"/>
  </ds:schemaRefs>
</ds:datastoreItem>
</file>

<file path=customXml/itemProps2.xml><?xml version="1.0" encoding="utf-8"?>
<ds:datastoreItem xmlns:ds="http://schemas.openxmlformats.org/officeDocument/2006/customXml" ds:itemID="{5B5FFFEB-8AD3-4930-A4EB-BB943D7ACB0E}"/>
</file>

<file path=customXml/itemProps3.xml><?xml version="1.0" encoding="utf-8"?>
<ds:datastoreItem xmlns:ds="http://schemas.openxmlformats.org/officeDocument/2006/customXml" ds:itemID="{2D5D4C0B-0F9B-4589-831A-A037A1DBD036}"/>
</file>

<file path=customXml/itemProps4.xml><?xml version="1.0" encoding="utf-8"?>
<ds:datastoreItem xmlns:ds="http://schemas.openxmlformats.org/officeDocument/2006/customXml" ds:itemID="{E5FA5CFC-204D-4003-A7BD-24F4479C2036}"/>
</file>

<file path=docProps/app.xml><?xml version="1.0" encoding="utf-8"?>
<Properties xmlns="http://schemas.openxmlformats.org/officeDocument/2006/extended-properties" xmlns:vt="http://schemas.openxmlformats.org/officeDocument/2006/docPropsVTypes">
  <Template>Normal</Template>
  <TotalTime>6332</TotalTime>
  <Pages>2</Pages>
  <Words>709</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Minnesota Quarterly Export Statistics, 3rd Quarter 2025</vt:lpstr>
    </vt:vector>
  </TitlesOfParts>
  <Company>MN DEED</Company>
  <LinksUpToDate>false</LinksUpToDate>
  <CharactersWithSpaces>4764</CharactersWithSpaces>
  <SharedDoc>false</SharedDoc>
  <HLinks>
    <vt:vector size="12" baseType="variant">
      <vt:variant>
        <vt:i4>6488181</vt:i4>
      </vt:variant>
      <vt:variant>
        <vt:i4>9</vt:i4>
      </vt:variant>
      <vt:variant>
        <vt:i4>0</vt:i4>
      </vt:variant>
      <vt:variant>
        <vt:i4>5</vt:i4>
      </vt:variant>
      <vt:variant>
        <vt:lpwstr>http://www.deed.state.mn.us/facts/manufacturing.htm</vt:lpwstr>
      </vt:variant>
      <vt:variant>
        <vt:lpwstr/>
      </vt:variant>
      <vt:variant>
        <vt:i4>3211383</vt:i4>
      </vt:variant>
      <vt:variant>
        <vt:i4>6</vt:i4>
      </vt:variant>
      <vt:variant>
        <vt:i4>0</vt:i4>
      </vt:variant>
      <vt:variant>
        <vt:i4>5</vt:i4>
      </vt:variant>
      <vt:variant>
        <vt:lpwstr>http://www.exportminnesota.com/itradestats.htm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Quarterly Export Statistics, 3rd Quarter 2025</dc:title>
  <dc:subject>Minnesota Quarterly Export Statistics</dc:subject>
  <dc:creator>Economic Analysis Unit (T. Ho-Kim)</dc:creator>
  <dc:description>3rd qtr 2025_x000d_
(publ Jan/Feb 2026)</dc:description>
  <cp:lastModifiedBy>Ho-Kim, Thu-Mai (DEED)</cp:lastModifiedBy>
  <cp:revision>12</cp:revision>
  <cp:lastPrinted>2021-02-10T19:09:00Z</cp:lastPrinted>
  <dcterms:created xsi:type="dcterms:W3CDTF">2025-09-04T20:06:00Z</dcterms:created>
  <dcterms:modified xsi:type="dcterms:W3CDTF">2026-01-21T15:16:00Z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