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A4581" w14:textId="0737EEA6" w:rsidR="001B6E5E" w:rsidRPr="00F40823" w:rsidRDefault="004928D5" w:rsidP="004E75BE">
      <w:pPr>
        <w:tabs>
          <w:tab w:val="left" w:pos="360"/>
          <w:tab w:val="left" w:pos="6660"/>
        </w:tabs>
        <w:spacing w:after="120"/>
        <w:jc w:val="center"/>
      </w:pPr>
      <w:r w:rsidRPr="00F40823">
        <w:rPr>
          <w:noProof/>
        </w:rPr>
        <w:drawing>
          <wp:inline distT="0" distB="0" distL="0" distR="0" wp14:anchorId="07CB0B95" wp14:editId="0F5B66D6">
            <wp:extent cx="6492240" cy="1136015"/>
            <wp:effectExtent l="0" t="0" r="3810" b="6985"/>
            <wp:docPr id="1275608388" name="Picture 1" descr="banner: Minnesota Export Statistics Newsletter, 2nd quarter &#10;Department of Employment and Economic Develop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608388" name="Picture 1" descr="banner: Minnesota Export Statistics Newsletter, 2nd quarter &#10;Department of Employment and Economic Development">
                      <a:extLst>
                        <a:ext uri="{C183D7F6-B498-43B3-948B-1728B52AA6E4}">
                          <adec:decorative xmlns:adec="http://schemas.microsoft.com/office/drawing/2017/decorative" val="0"/>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92240" cy="1136015"/>
                    </a:xfrm>
                    <a:prstGeom prst="rect">
                      <a:avLst/>
                    </a:prstGeom>
                  </pic:spPr>
                </pic:pic>
              </a:graphicData>
            </a:graphic>
          </wp:inline>
        </w:drawing>
      </w:r>
    </w:p>
    <w:p w14:paraId="280C54B8" w14:textId="0585763F" w:rsidR="00D84668" w:rsidRPr="00F40823" w:rsidRDefault="00D84668" w:rsidP="00D84668">
      <w:pPr>
        <w:pStyle w:val="NoSpacing"/>
        <w:jc w:val="center"/>
        <w:rPr>
          <w:rStyle w:val="Emphasis"/>
          <w:b/>
        </w:rPr>
      </w:pPr>
      <w:r w:rsidRPr="00F40823">
        <w:rPr>
          <w:rStyle w:val="Emphasis"/>
          <w:b/>
        </w:rPr>
        <w:t xml:space="preserve">Data on Minnesota Exports for </w:t>
      </w:r>
      <w:r w:rsidR="004928D5" w:rsidRPr="00F40823">
        <w:rPr>
          <w:rStyle w:val="Emphasis"/>
          <w:b/>
        </w:rPr>
        <w:t>Second</w:t>
      </w:r>
      <w:r w:rsidRPr="00F40823">
        <w:rPr>
          <w:rStyle w:val="Emphasis"/>
          <w:b/>
        </w:rPr>
        <w:t xml:space="preserve"> Quarter 202</w:t>
      </w:r>
      <w:r w:rsidR="004E75BE" w:rsidRPr="00F40823">
        <w:rPr>
          <w:rStyle w:val="Emphasis"/>
          <w:b/>
        </w:rPr>
        <w:t>5</w:t>
      </w:r>
      <w:r w:rsidRPr="00F40823">
        <w:rPr>
          <w:rStyle w:val="Emphasis"/>
          <w:b/>
        </w:rPr>
        <w:t xml:space="preserve"> – Published </w:t>
      </w:r>
      <w:r w:rsidR="004928D5" w:rsidRPr="00F40823">
        <w:rPr>
          <w:rStyle w:val="Emphasis"/>
          <w:b/>
        </w:rPr>
        <w:t>September</w:t>
      </w:r>
      <w:r w:rsidR="00E25680" w:rsidRPr="00F40823">
        <w:rPr>
          <w:rStyle w:val="Emphasis"/>
          <w:b/>
        </w:rPr>
        <w:t xml:space="preserve"> </w:t>
      </w:r>
      <w:r w:rsidRPr="00F40823">
        <w:rPr>
          <w:rStyle w:val="Emphasis"/>
          <w:b/>
        </w:rPr>
        <w:t>202</w:t>
      </w:r>
      <w:r w:rsidR="000F06F6" w:rsidRPr="00F40823">
        <w:rPr>
          <w:rStyle w:val="Emphasis"/>
          <w:b/>
        </w:rPr>
        <w:t>5</w:t>
      </w:r>
      <w:r w:rsidR="006042ED" w:rsidRPr="00F40823">
        <w:rPr>
          <w:rStyle w:val="Emphasis"/>
          <w:b/>
        </w:rPr>
        <w:t xml:space="preserve"> </w:t>
      </w:r>
    </w:p>
    <w:p w14:paraId="7C1ADAF3" w14:textId="77777777" w:rsidR="00D84668" w:rsidRPr="00F40823" w:rsidRDefault="00D84668" w:rsidP="00D84668">
      <w:pPr>
        <w:pStyle w:val="NoSpacing"/>
        <w:jc w:val="center"/>
        <w:rPr>
          <w:rStyle w:val="Emphasis"/>
          <w:b/>
          <w:bCs/>
        </w:rPr>
      </w:pPr>
      <w:r w:rsidRPr="00F40823">
        <w:rPr>
          <w:rStyle w:val="Emphasis"/>
          <w:b/>
        </w:rPr>
        <w:t>For More Information</w:t>
      </w:r>
      <w:r w:rsidRPr="00F40823">
        <w:rPr>
          <w:rStyle w:val="Emphasis"/>
        </w:rPr>
        <w:t xml:space="preserve">: </w:t>
      </w:r>
      <w:r w:rsidRPr="00F40823">
        <w:rPr>
          <w:b/>
          <w:bCs/>
          <w:i/>
          <w:iCs/>
        </w:rPr>
        <w:t>Mary Haugen (mary.haugen@state.mn.us)</w:t>
      </w:r>
    </w:p>
    <w:p w14:paraId="18DCA261" w14:textId="29938A58" w:rsidR="00641D3B" w:rsidRPr="00F40823" w:rsidRDefault="00CC5F28" w:rsidP="00C9794E">
      <w:pPr>
        <w:pStyle w:val="Heading1"/>
        <w:rPr>
          <w:rFonts w:asciiTheme="minorHAnsi" w:hAnsiTheme="minorHAnsi"/>
          <w:color w:val="auto"/>
          <w:sz w:val="36"/>
          <w:szCs w:val="28"/>
        </w:rPr>
        <w:sectPr w:rsidR="00641D3B" w:rsidRPr="00F40823" w:rsidSect="00FE15EB">
          <w:headerReference w:type="even" r:id="rId9"/>
          <w:headerReference w:type="default" r:id="rId10"/>
          <w:footerReference w:type="even" r:id="rId11"/>
          <w:footnotePr>
            <w:numRestart w:val="eachSect"/>
          </w:footnotePr>
          <w:endnotePr>
            <w:numFmt w:val="decimal"/>
          </w:endnotePr>
          <w:type w:val="continuous"/>
          <w:pgSz w:w="12240" w:h="15840" w:code="1"/>
          <w:pgMar w:top="864" w:right="1008" w:bottom="864" w:left="1008" w:header="720" w:footer="720" w:gutter="0"/>
          <w:cols w:space="720"/>
          <w:titlePg/>
          <w:docGrid w:linePitch="272"/>
        </w:sectPr>
      </w:pPr>
      <w:r w:rsidRPr="00F40823">
        <w:rPr>
          <w:rFonts w:asciiTheme="minorHAnsi" w:hAnsiTheme="minorHAnsi"/>
          <w:color w:val="auto"/>
          <w:sz w:val="36"/>
          <w:szCs w:val="28"/>
        </w:rPr>
        <w:t xml:space="preserve">Minnesota </w:t>
      </w:r>
      <w:r w:rsidR="00FA433D" w:rsidRPr="00F40823">
        <w:rPr>
          <w:rFonts w:asciiTheme="minorHAnsi" w:hAnsiTheme="minorHAnsi"/>
          <w:color w:val="auto"/>
          <w:sz w:val="36"/>
          <w:szCs w:val="28"/>
        </w:rPr>
        <w:t xml:space="preserve">Exports </w:t>
      </w:r>
      <w:r w:rsidR="004928D5" w:rsidRPr="00F40823">
        <w:rPr>
          <w:rFonts w:asciiTheme="minorHAnsi" w:hAnsiTheme="minorHAnsi"/>
          <w:color w:val="auto"/>
          <w:sz w:val="36"/>
          <w:szCs w:val="28"/>
        </w:rPr>
        <w:t>Slide 19</w:t>
      </w:r>
      <w:r w:rsidR="006042ED" w:rsidRPr="00F40823">
        <w:rPr>
          <w:rFonts w:asciiTheme="minorHAnsi" w:hAnsiTheme="minorHAnsi"/>
          <w:color w:val="auto"/>
          <w:sz w:val="36"/>
          <w:szCs w:val="28"/>
        </w:rPr>
        <w:t>%</w:t>
      </w:r>
      <w:r w:rsidR="00ED7F1C" w:rsidRPr="00F40823">
        <w:rPr>
          <w:rFonts w:asciiTheme="minorHAnsi" w:hAnsiTheme="minorHAnsi"/>
          <w:color w:val="auto"/>
          <w:sz w:val="36"/>
          <w:szCs w:val="28"/>
        </w:rPr>
        <w:t xml:space="preserve"> </w:t>
      </w:r>
      <w:r w:rsidR="000D5EC5" w:rsidRPr="00F40823">
        <w:rPr>
          <w:rFonts w:asciiTheme="minorHAnsi" w:hAnsiTheme="minorHAnsi"/>
          <w:color w:val="auto"/>
          <w:sz w:val="36"/>
          <w:szCs w:val="28"/>
        </w:rPr>
        <w:t>to $</w:t>
      </w:r>
      <w:r w:rsidR="004928D5" w:rsidRPr="00F40823">
        <w:rPr>
          <w:rFonts w:asciiTheme="minorHAnsi" w:hAnsiTheme="minorHAnsi"/>
          <w:color w:val="auto"/>
          <w:sz w:val="36"/>
          <w:szCs w:val="28"/>
        </w:rPr>
        <w:t>5</w:t>
      </w:r>
      <w:r w:rsidR="00BB19C4" w:rsidRPr="00F40823">
        <w:rPr>
          <w:rFonts w:asciiTheme="minorHAnsi" w:hAnsiTheme="minorHAnsi"/>
          <w:color w:val="auto"/>
          <w:sz w:val="36"/>
          <w:szCs w:val="28"/>
        </w:rPr>
        <w:t>.</w:t>
      </w:r>
      <w:r w:rsidR="004928D5" w:rsidRPr="00F40823">
        <w:rPr>
          <w:rFonts w:asciiTheme="minorHAnsi" w:hAnsiTheme="minorHAnsi"/>
          <w:color w:val="auto"/>
          <w:sz w:val="36"/>
          <w:szCs w:val="28"/>
        </w:rPr>
        <w:t>8</w:t>
      </w:r>
      <w:r w:rsidR="000D5EC5" w:rsidRPr="00F40823">
        <w:rPr>
          <w:rFonts w:asciiTheme="minorHAnsi" w:hAnsiTheme="minorHAnsi"/>
          <w:color w:val="auto"/>
          <w:sz w:val="36"/>
          <w:szCs w:val="28"/>
        </w:rPr>
        <w:t xml:space="preserve"> Billion</w:t>
      </w:r>
      <w:r w:rsidR="00ED7F1C" w:rsidRPr="00F40823">
        <w:rPr>
          <w:rFonts w:asciiTheme="minorHAnsi" w:hAnsiTheme="minorHAnsi"/>
          <w:color w:val="auto"/>
          <w:sz w:val="36"/>
          <w:szCs w:val="28"/>
        </w:rPr>
        <w:t xml:space="preserve"> </w:t>
      </w:r>
      <w:r w:rsidRPr="00F40823">
        <w:rPr>
          <w:rFonts w:asciiTheme="minorHAnsi" w:hAnsiTheme="minorHAnsi"/>
          <w:color w:val="auto"/>
          <w:sz w:val="36"/>
          <w:szCs w:val="28"/>
        </w:rPr>
        <w:t xml:space="preserve">in </w:t>
      </w:r>
      <w:r w:rsidR="004928D5" w:rsidRPr="00F40823">
        <w:rPr>
          <w:rFonts w:asciiTheme="minorHAnsi" w:hAnsiTheme="minorHAnsi"/>
          <w:color w:val="auto"/>
          <w:sz w:val="36"/>
          <w:szCs w:val="28"/>
        </w:rPr>
        <w:t>Second</w:t>
      </w:r>
      <w:r w:rsidRPr="00F40823">
        <w:rPr>
          <w:rFonts w:asciiTheme="minorHAnsi" w:hAnsiTheme="minorHAnsi"/>
          <w:color w:val="auto"/>
          <w:sz w:val="36"/>
          <w:szCs w:val="28"/>
        </w:rPr>
        <w:t xml:space="preserve"> Quarter</w:t>
      </w:r>
    </w:p>
    <w:p w14:paraId="2062535F" w14:textId="6FAC1C6B" w:rsidR="00952407" w:rsidRPr="00F40823" w:rsidRDefault="007F1C4A" w:rsidP="00952407">
      <w:pPr>
        <w:pStyle w:val="NoSpacing"/>
        <w:numPr>
          <w:ilvl w:val="0"/>
          <w:numId w:val="20"/>
        </w:numPr>
        <w:spacing w:line="269" w:lineRule="auto"/>
        <w:ind w:right="-14"/>
        <w:rPr>
          <w:rFonts w:asciiTheme="minorHAnsi" w:eastAsiaTheme="majorEastAsia" w:hAnsiTheme="minorHAnsi" w:cstheme="minorHAnsi"/>
          <w:i/>
          <w:iCs/>
        </w:rPr>
      </w:pPr>
      <w:r w:rsidRPr="00F40823">
        <w:t>Minnesota</w:t>
      </w:r>
      <w:r w:rsidR="00674246" w:rsidRPr="00F40823">
        <w:t>’s</w:t>
      </w:r>
      <w:r w:rsidRPr="00F40823">
        <w:t xml:space="preserve"> exports</w:t>
      </w:r>
      <w:r w:rsidR="00F20245" w:rsidRPr="00F40823">
        <w:t xml:space="preserve"> of goods</w:t>
      </w:r>
      <w:r w:rsidRPr="00F40823">
        <w:t xml:space="preserve"> (incl</w:t>
      </w:r>
      <w:r w:rsidR="004C6288" w:rsidRPr="00F40823">
        <w:t>uding</w:t>
      </w:r>
      <w:r w:rsidRPr="00F40823">
        <w:t xml:space="preserve"> agricultur</w:t>
      </w:r>
      <w:r w:rsidR="00E21972" w:rsidRPr="00F40823">
        <w:t>e</w:t>
      </w:r>
      <w:r w:rsidRPr="00F40823">
        <w:t>, mining and manufact</w:t>
      </w:r>
      <w:r w:rsidR="00A02A94" w:rsidRPr="00F40823">
        <w:t>ur</w:t>
      </w:r>
      <w:r w:rsidR="00E21972" w:rsidRPr="00F40823">
        <w:t>ing</w:t>
      </w:r>
      <w:r w:rsidR="00A02A94" w:rsidRPr="00F40823">
        <w:t xml:space="preserve">) </w:t>
      </w:r>
      <w:r w:rsidR="00367E5D" w:rsidRPr="00F40823">
        <w:t>declin</w:t>
      </w:r>
      <w:r w:rsidR="00A17E16" w:rsidRPr="00F40823">
        <w:t>ed</w:t>
      </w:r>
      <w:r w:rsidR="00367E5D" w:rsidRPr="00F40823">
        <w:t xml:space="preserve"> to </w:t>
      </w:r>
      <w:r w:rsidR="000F06F6" w:rsidRPr="00F40823">
        <w:t>$</w:t>
      </w:r>
      <w:r w:rsidR="004928D5" w:rsidRPr="00F40823">
        <w:t>5.8</w:t>
      </w:r>
      <w:r w:rsidR="000F06F6" w:rsidRPr="00F40823">
        <w:t xml:space="preserve"> billion</w:t>
      </w:r>
      <w:r w:rsidR="007A6CDF" w:rsidRPr="00F40823">
        <w:t xml:space="preserve"> in the </w:t>
      </w:r>
      <w:r w:rsidR="004928D5" w:rsidRPr="00F40823">
        <w:t>second</w:t>
      </w:r>
      <w:r w:rsidR="007A6CDF" w:rsidRPr="00F40823">
        <w:t xml:space="preserve"> quarter </w:t>
      </w:r>
      <w:r w:rsidR="00BB19C4" w:rsidRPr="00F40823">
        <w:t>2025</w:t>
      </w:r>
      <w:r w:rsidR="00A17E16" w:rsidRPr="00F40823">
        <w:t xml:space="preserve">, </w:t>
      </w:r>
      <w:r w:rsidR="004928D5" w:rsidRPr="00F40823">
        <w:t>tumbling</w:t>
      </w:r>
      <w:r w:rsidR="00A17E16" w:rsidRPr="00F40823">
        <w:t xml:space="preserve"> </w:t>
      </w:r>
      <w:r w:rsidR="004928D5" w:rsidRPr="00F40823">
        <w:t>19</w:t>
      </w:r>
      <w:r w:rsidR="00A17E16" w:rsidRPr="00F40823">
        <w:t xml:space="preserve">% </w:t>
      </w:r>
      <w:r w:rsidR="00952407" w:rsidRPr="00F40823">
        <w:t>since the</w:t>
      </w:r>
      <w:r w:rsidR="00A17E16" w:rsidRPr="00F40823">
        <w:t xml:space="preserve"> </w:t>
      </w:r>
      <w:r w:rsidR="004928D5" w:rsidRPr="00F40823">
        <w:t>second</w:t>
      </w:r>
      <w:r w:rsidR="00A17E16" w:rsidRPr="00F40823">
        <w:t xml:space="preserve"> quarter of 2024.</w:t>
      </w:r>
      <w:r w:rsidR="008620B1" w:rsidRPr="00F40823">
        <w:t xml:space="preserve"> </w:t>
      </w:r>
    </w:p>
    <w:p w14:paraId="387A80FC" w14:textId="622673F9" w:rsidR="000F06F6" w:rsidRPr="00F40823" w:rsidRDefault="00B445BB" w:rsidP="00FE551A">
      <w:pPr>
        <w:pStyle w:val="ListParagraph"/>
        <w:numPr>
          <w:ilvl w:val="0"/>
          <w:numId w:val="20"/>
        </w:numPr>
        <w:spacing w:line="276" w:lineRule="auto"/>
        <w:rPr>
          <w:rFonts w:asciiTheme="minorHAnsi" w:hAnsiTheme="minorHAnsi" w:cstheme="minorHAnsi"/>
          <w:bCs/>
        </w:rPr>
      </w:pPr>
      <w:r w:rsidRPr="00F40823">
        <w:t>The state’s e</w:t>
      </w:r>
      <w:r w:rsidR="00FE551A" w:rsidRPr="00F40823">
        <w:t>xports were most</w:t>
      </w:r>
      <w:r w:rsidR="00952407" w:rsidRPr="00F40823">
        <w:t xml:space="preserve"> impacted by the </w:t>
      </w:r>
      <w:r w:rsidR="00FE551A" w:rsidRPr="00F40823">
        <w:t>massive</w:t>
      </w:r>
      <w:r w:rsidR="00604711" w:rsidRPr="00F40823">
        <w:t xml:space="preserve"> drop</w:t>
      </w:r>
      <w:r w:rsidR="00952407" w:rsidRPr="00F40823">
        <w:t xml:space="preserve"> in mineral fuel, oil </w:t>
      </w:r>
      <w:r w:rsidRPr="00F40823">
        <w:t>sales</w:t>
      </w:r>
      <w:r w:rsidR="00952407" w:rsidRPr="00F40823">
        <w:t xml:space="preserve"> </w:t>
      </w:r>
      <w:r w:rsidR="00FE551A" w:rsidRPr="00F40823">
        <w:t>–</w:t>
      </w:r>
      <w:r w:rsidR="00674246" w:rsidRPr="00F40823">
        <w:t xml:space="preserve"> </w:t>
      </w:r>
      <w:r w:rsidR="00952407" w:rsidRPr="00F40823">
        <w:t xml:space="preserve">down </w:t>
      </w:r>
      <w:r w:rsidR="00674246" w:rsidRPr="00F40823">
        <w:t xml:space="preserve">$703 million, or down 96% </w:t>
      </w:r>
      <w:r w:rsidR="00952407" w:rsidRPr="00F40823">
        <w:t xml:space="preserve">– without which </w:t>
      </w:r>
      <w:r w:rsidR="00952407" w:rsidRPr="00F40823">
        <w:rPr>
          <w:rFonts w:asciiTheme="minorHAnsi" w:hAnsiTheme="minorHAnsi" w:cstheme="minorHAnsi"/>
          <w:bCs/>
        </w:rPr>
        <w:t>Minnesota exports would have fallen 10%.</w:t>
      </w:r>
      <w:r w:rsidR="00674246" w:rsidRPr="00F40823">
        <w:rPr>
          <w:rFonts w:asciiTheme="minorHAnsi" w:hAnsiTheme="minorHAnsi" w:cstheme="minorHAnsi"/>
          <w:bCs/>
        </w:rPr>
        <w:t xml:space="preserve"> </w:t>
      </w:r>
    </w:p>
    <w:p w14:paraId="2CEA33A8" w14:textId="3414FB73" w:rsidR="006042ED" w:rsidRPr="00F40823" w:rsidRDefault="000F06F6" w:rsidP="00952407">
      <w:pPr>
        <w:pStyle w:val="ListParagraph"/>
        <w:numPr>
          <w:ilvl w:val="0"/>
          <w:numId w:val="9"/>
        </w:numPr>
        <w:spacing w:line="271" w:lineRule="auto"/>
      </w:pPr>
      <w:r w:rsidRPr="00F40823">
        <w:t xml:space="preserve">U.S. exports grew </w:t>
      </w:r>
      <w:r w:rsidR="004928D5" w:rsidRPr="00F40823">
        <w:t>6</w:t>
      </w:r>
      <w:r w:rsidRPr="00F40823">
        <w:t>% during this period</w:t>
      </w:r>
      <w:r w:rsidR="004928D5" w:rsidRPr="00F40823">
        <w:t>. State</w:t>
      </w:r>
      <w:r w:rsidR="00B60CE1" w:rsidRPr="00F40823">
        <w:t xml:space="preserve"> trends</w:t>
      </w:r>
      <w:r w:rsidR="004928D5" w:rsidRPr="00F40823">
        <w:t xml:space="preserve"> </w:t>
      </w:r>
      <w:r w:rsidR="00B60CE1" w:rsidRPr="00F40823">
        <w:t>were split</w:t>
      </w:r>
      <w:r w:rsidR="004928D5" w:rsidRPr="00F40823">
        <w:t>, with half</w:t>
      </w:r>
      <w:r w:rsidR="00B60CE1" w:rsidRPr="00F40823">
        <w:t xml:space="preserve"> of states having gains</w:t>
      </w:r>
      <w:r w:rsidRPr="00F40823">
        <w:t>.</w:t>
      </w:r>
    </w:p>
    <w:p w14:paraId="3A74B700" w14:textId="4E457A5A" w:rsidR="00027632" w:rsidRPr="00F40823" w:rsidRDefault="00027632" w:rsidP="00952407">
      <w:pPr>
        <w:pStyle w:val="ListParagraph"/>
        <w:numPr>
          <w:ilvl w:val="0"/>
          <w:numId w:val="9"/>
        </w:numPr>
        <w:spacing w:line="271" w:lineRule="auto"/>
      </w:pPr>
      <w:r w:rsidRPr="00F40823">
        <w:t>U.S.</w:t>
      </w:r>
      <w:r w:rsidR="00A17E16" w:rsidRPr="00F40823">
        <w:t xml:space="preserve"> </w:t>
      </w:r>
      <w:r w:rsidR="00B60CE1" w:rsidRPr="00F40823">
        <w:t>businesses</w:t>
      </w:r>
      <w:r w:rsidR="00AF3BBC" w:rsidRPr="00F40823">
        <w:t xml:space="preserve"> </w:t>
      </w:r>
      <w:r w:rsidR="00B445BB" w:rsidRPr="00F40823">
        <w:t xml:space="preserve">continued to </w:t>
      </w:r>
      <w:r w:rsidR="00A17E16" w:rsidRPr="00F40823">
        <w:t>fac</w:t>
      </w:r>
      <w:r w:rsidR="00B60CE1" w:rsidRPr="00F40823">
        <w:t xml:space="preserve">e </w:t>
      </w:r>
      <w:r w:rsidR="00A17E16" w:rsidRPr="00F40823">
        <w:t>changing</w:t>
      </w:r>
      <w:r w:rsidR="00AF3BBC" w:rsidRPr="00F40823">
        <w:t xml:space="preserve"> </w:t>
      </w:r>
      <w:r w:rsidR="00AC7C80">
        <w:t xml:space="preserve">national </w:t>
      </w:r>
      <w:r w:rsidRPr="00F40823">
        <w:t xml:space="preserve">tariff </w:t>
      </w:r>
      <w:r w:rsidR="00B60CE1" w:rsidRPr="00F40823">
        <w:t>policies</w:t>
      </w:r>
      <w:r w:rsidR="00367E5D" w:rsidRPr="00F40823">
        <w:t xml:space="preserve"> on </w:t>
      </w:r>
      <w:r w:rsidR="001D2F50" w:rsidRPr="00F40823">
        <w:t>imports and exports</w:t>
      </w:r>
      <w:r w:rsidRPr="00F40823">
        <w:t>.</w:t>
      </w:r>
    </w:p>
    <w:p w14:paraId="03CA25DA" w14:textId="0372EA35" w:rsidR="007F1C4A" w:rsidRPr="00F40823" w:rsidRDefault="007F1C4A" w:rsidP="00C9794E">
      <w:pPr>
        <w:pStyle w:val="Heading4"/>
        <w:spacing w:before="0" w:after="120"/>
        <w:rPr>
          <w:szCs w:val="24"/>
        </w:rPr>
      </w:pPr>
      <w:r w:rsidRPr="00F40823">
        <w:rPr>
          <w:szCs w:val="24"/>
        </w:rPr>
        <w:t xml:space="preserve">Figure </w:t>
      </w:r>
      <w:r w:rsidRPr="00F40823">
        <w:rPr>
          <w:szCs w:val="24"/>
        </w:rPr>
        <w:fldChar w:fldCharType="begin"/>
      </w:r>
      <w:r w:rsidRPr="00F40823">
        <w:rPr>
          <w:szCs w:val="24"/>
        </w:rPr>
        <w:instrText xml:space="preserve"> SEQ Figure \* ARABIC </w:instrText>
      </w:r>
      <w:r w:rsidRPr="00F40823">
        <w:rPr>
          <w:szCs w:val="24"/>
        </w:rPr>
        <w:fldChar w:fldCharType="separate"/>
      </w:r>
      <w:r w:rsidR="00C430F8" w:rsidRPr="00F40823">
        <w:rPr>
          <w:szCs w:val="24"/>
        </w:rPr>
        <w:t>1</w:t>
      </w:r>
      <w:r w:rsidRPr="00F40823">
        <w:rPr>
          <w:szCs w:val="24"/>
        </w:rPr>
        <w:fldChar w:fldCharType="end"/>
      </w:r>
      <w:r w:rsidR="00A52415" w:rsidRPr="00F40823">
        <w:rPr>
          <w:szCs w:val="24"/>
        </w:rPr>
        <w:t>.</w:t>
      </w:r>
      <w:r w:rsidR="00F72892" w:rsidRPr="00F40823">
        <w:rPr>
          <w:szCs w:val="24"/>
        </w:rPr>
        <w:t xml:space="preserve"> </w:t>
      </w:r>
      <w:r w:rsidR="004E1B65" w:rsidRPr="00F40823">
        <w:rPr>
          <w:szCs w:val="24"/>
        </w:rPr>
        <w:t>Mixed Performances Across States</w:t>
      </w:r>
    </w:p>
    <w:p w14:paraId="707F3AD6" w14:textId="7FFFDB0B" w:rsidR="009F4D89" w:rsidRPr="00F40823" w:rsidRDefault="009F4D89" w:rsidP="009F4D89">
      <w:r w:rsidRPr="00F40823">
        <w:rPr>
          <w:noProof/>
        </w:rPr>
        <mc:AlternateContent>
          <mc:Choice Requires="wps">
            <w:drawing>
              <wp:anchor distT="0" distB="0" distL="114300" distR="114300" simplePos="0" relativeHeight="251660800" behindDoc="0" locked="0" layoutInCell="1" allowOverlap="1" wp14:anchorId="098AB7ED" wp14:editId="4AF28D43">
                <wp:simplePos x="0" y="0"/>
                <wp:positionH relativeFrom="page">
                  <wp:posOffset>3976729</wp:posOffset>
                </wp:positionH>
                <wp:positionV relativeFrom="paragraph">
                  <wp:posOffset>1536231</wp:posOffset>
                </wp:positionV>
                <wp:extent cx="1319530" cy="250900"/>
                <wp:effectExtent l="0" t="0" r="0" b="0"/>
                <wp:wrapNone/>
                <wp:docPr id="1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9530" cy="250900"/>
                        </a:xfrm>
                        <a:prstGeom prst="rect">
                          <a:avLst/>
                        </a:prstGeom>
                        <a:noFill/>
                        <a:ln w="9525">
                          <a:noFill/>
                          <a:miter lim="800000"/>
                          <a:headEnd/>
                          <a:tailEnd/>
                        </a:ln>
                      </wps:spPr>
                      <wps:txbx>
                        <w:txbxContent>
                          <w:p w14:paraId="3C4BE73A" w14:textId="42E6E448" w:rsidR="00CC5F28" w:rsidRPr="004873BD" w:rsidRDefault="00CC5F28" w:rsidP="000341DE">
                            <w:pPr>
                              <w:rPr>
                                <w:b/>
                                <w:bCs/>
                                <w:iCs/>
                                <w:sz w:val="18"/>
                              </w:rPr>
                            </w:pPr>
                            <w:r w:rsidRPr="004873BD">
                              <w:rPr>
                                <w:b/>
                                <w:bCs/>
                                <w:iCs/>
                                <w:sz w:val="18"/>
                              </w:rPr>
                              <w:t xml:space="preserve">Decline    </w:t>
                            </w:r>
                            <w:r w:rsidR="00BE4117" w:rsidRPr="004873BD">
                              <w:rPr>
                                <w:b/>
                                <w:bCs/>
                                <w:iCs/>
                                <w:sz w:val="18"/>
                              </w:rPr>
                              <w:t xml:space="preserve">  </w:t>
                            </w:r>
                            <w:r w:rsidRPr="004873BD">
                              <w:rPr>
                                <w:b/>
                                <w:bCs/>
                                <w:iCs/>
                                <w:sz w:val="18"/>
                              </w:rPr>
                              <w:t xml:space="preserve"> 0%   Growth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8AB7ED" id="_x0000_t202" coordsize="21600,21600" o:spt="202" path="m,l,21600r21600,l21600,xe">
                <v:stroke joinstyle="miter"/>
                <v:path gradientshapeok="t" o:connecttype="rect"/>
              </v:shapetype>
              <v:shape id="Text Box 2" o:spid="_x0000_s1026" type="#_x0000_t202" alt="&quot;&quot;" style="position:absolute;margin-left:313.15pt;margin-top:120.95pt;width:103.9pt;height:19.7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" filled="f" stroked="f">
                <v:textbox>
                  <w:txbxContent>
                    <w:p w14:paraId="3C4BE73A" w14:textId="42E6E448" w:rsidR="00CC5F28" w:rsidRPr="004873BD" w:rsidRDefault="00CC5F28" w:rsidP="000341DE">
                      <w:pPr>
                        <w:rPr>
                          <w:b/>
                          <w:bCs/>
                          <w:iCs/>
                          <w:sz w:val="18"/>
                        </w:rPr>
                      </w:pPr>
                      <w:r w:rsidRPr="004873BD">
                        <w:rPr>
                          <w:b/>
                          <w:bCs/>
                          <w:iCs/>
                          <w:sz w:val="18"/>
                        </w:rPr>
                        <w:t xml:space="preserve">Decline    </w:t>
                      </w:r>
                      <w:r w:rsidR="00BE4117" w:rsidRPr="004873BD">
                        <w:rPr>
                          <w:b/>
                          <w:bCs/>
                          <w:iCs/>
                          <w:sz w:val="18"/>
                        </w:rPr>
                        <w:t xml:space="preserve">  </w:t>
                      </w:r>
                      <w:r w:rsidRPr="004873BD">
                        <w:rPr>
                          <w:b/>
                          <w:bCs/>
                          <w:iCs/>
                          <w:sz w:val="18"/>
                        </w:rPr>
                        <w:t xml:space="preserve"> 0%   Growth</w:t>
                      </w:r>
                    </w:p>
                  </w:txbxContent>
                </v:textbox>
                <w10:wrap anchorx="page"/>
              </v:shape>
            </w:pict>
          </mc:Fallback>
        </mc:AlternateContent>
      </w:r>
      <w:r w:rsidRPr="00F40823">
        <w:rPr>
          <w:noProof/>
        </w:rPr>
        <mc:AlternateContent>
          <mc:Choice Requires="wps">
            <w:drawing>
              <wp:anchor distT="0" distB="0" distL="114300" distR="114300" simplePos="0" relativeHeight="251658752" behindDoc="0" locked="0" layoutInCell="1" allowOverlap="1" wp14:anchorId="24E76B40" wp14:editId="42FFD352">
                <wp:simplePos x="0" y="0"/>
                <wp:positionH relativeFrom="margin">
                  <wp:posOffset>5874347</wp:posOffset>
                </wp:positionH>
                <wp:positionV relativeFrom="paragraph">
                  <wp:posOffset>1202353</wp:posOffset>
                </wp:positionV>
                <wp:extent cx="863600" cy="473725"/>
                <wp:effectExtent l="0" t="0" r="0" b="2540"/>
                <wp:wrapNone/>
                <wp:docPr id="307" name="Text Box 2" descr="call out box:&#10;MN -19%&#10;US +6%">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0" cy="473725"/>
                        </a:xfrm>
                        <a:prstGeom prst="rect">
                          <a:avLst/>
                        </a:prstGeom>
                        <a:noFill/>
                        <a:ln w="9525">
                          <a:noFill/>
                          <a:miter lim="800000"/>
                          <a:headEnd/>
                          <a:tailEnd/>
                        </a:ln>
                      </wps:spPr>
                      <wps:txbx>
                        <w:txbxContent>
                          <w:p w14:paraId="60A296D5" w14:textId="1CAC1CFE" w:rsidR="007F1C4A" w:rsidRPr="00044ED9" w:rsidRDefault="007F1C4A" w:rsidP="007F1C4A">
                            <w:pPr>
                              <w:rPr>
                                <w:b/>
                                <w:i/>
                                <w:szCs w:val="24"/>
                              </w:rPr>
                            </w:pPr>
                            <w:r w:rsidRPr="00044ED9">
                              <w:rPr>
                                <w:b/>
                                <w:i/>
                                <w:szCs w:val="24"/>
                              </w:rPr>
                              <w:t>M</w:t>
                            </w:r>
                            <w:r w:rsidR="0065603B" w:rsidRPr="00044ED9">
                              <w:rPr>
                                <w:b/>
                                <w:i/>
                                <w:szCs w:val="24"/>
                              </w:rPr>
                              <w:t xml:space="preserve">N:  </w:t>
                            </w:r>
                            <w:r w:rsidR="000F06F6">
                              <w:rPr>
                                <w:b/>
                                <w:i/>
                                <w:szCs w:val="24"/>
                              </w:rPr>
                              <w:t>-</w:t>
                            </w:r>
                            <w:r w:rsidR="004928D5">
                              <w:rPr>
                                <w:b/>
                                <w:i/>
                                <w:szCs w:val="24"/>
                              </w:rPr>
                              <w:t>19</w:t>
                            </w:r>
                            <w:r w:rsidRPr="00044ED9">
                              <w:rPr>
                                <w:b/>
                                <w:i/>
                                <w:szCs w:val="24"/>
                              </w:rPr>
                              <w:t>%</w:t>
                            </w:r>
                          </w:p>
                          <w:p w14:paraId="588145EA" w14:textId="21577320" w:rsidR="007F1C4A" w:rsidRPr="00044ED9" w:rsidRDefault="00293DCF" w:rsidP="007F1C4A">
                            <w:pPr>
                              <w:rPr>
                                <w:b/>
                                <w:i/>
                                <w:szCs w:val="24"/>
                              </w:rPr>
                            </w:pPr>
                            <w:r w:rsidRPr="00044ED9">
                              <w:rPr>
                                <w:b/>
                                <w:i/>
                                <w:szCs w:val="24"/>
                              </w:rPr>
                              <w:t xml:space="preserve">U.S.: </w:t>
                            </w:r>
                            <w:r w:rsidR="00806897">
                              <w:rPr>
                                <w:b/>
                                <w:i/>
                                <w:szCs w:val="24"/>
                              </w:rPr>
                              <w:t xml:space="preserve"> </w:t>
                            </w:r>
                            <w:r w:rsidR="00644080">
                              <w:rPr>
                                <w:b/>
                                <w:i/>
                                <w:szCs w:val="24"/>
                              </w:rPr>
                              <w:t>+</w:t>
                            </w:r>
                            <w:r w:rsidR="004928D5">
                              <w:rPr>
                                <w:b/>
                                <w:i/>
                                <w:szCs w:val="24"/>
                              </w:rPr>
                              <w:t>6</w:t>
                            </w:r>
                            <w:r w:rsidR="007F1C4A" w:rsidRPr="00044ED9">
                              <w:rPr>
                                <w:b/>
                                <w:i/>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E76B40" id="_x0000_s1027" type="#_x0000_t202" alt="call out box:&#10;MN -19%&#10;US +6%" style="position:absolute;margin-left:462.55pt;margin-top:94.65pt;width:68pt;height:37.3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" filled="f" stroked="f">
                <v:textbox>
                  <w:txbxContent>
                    <w:p w14:paraId="60A296D5" w14:textId="1CAC1CFE" w:rsidR="007F1C4A" w:rsidRPr="00044ED9" w:rsidRDefault="007F1C4A" w:rsidP="007F1C4A">
                      <w:pPr>
                        <w:rPr>
                          <w:b/>
                          <w:i/>
                          <w:szCs w:val="24"/>
                        </w:rPr>
                      </w:pPr>
                      <w:r w:rsidRPr="00044ED9">
                        <w:rPr>
                          <w:b/>
                          <w:i/>
                          <w:szCs w:val="24"/>
                        </w:rPr>
                        <w:t>M</w:t>
                      </w:r>
                      <w:r w:rsidR="0065603B" w:rsidRPr="00044ED9">
                        <w:rPr>
                          <w:b/>
                          <w:i/>
                          <w:szCs w:val="24"/>
                        </w:rPr>
                        <w:t xml:space="preserve">N:  </w:t>
                      </w:r>
                      <w:r w:rsidR="000F06F6">
                        <w:rPr>
                          <w:b/>
                          <w:i/>
                          <w:szCs w:val="24"/>
                        </w:rPr>
                        <w:t>-</w:t>
                      </w:r>
                      <w:r w:rsidR="004928D5">
                        <w:rPr>
                          <w:b/>
                          <w:i/>
                          <w:szCs w:val="24"/>
                        </w:rPr>
                        <w:t>19</w:t>
                      </w:r>
                      <w:r w:rsidRPr="00044ED9">
                        <w:rPr>
                          <w:b/>
                          <w:i/>
                          <w:szCs w:val="24"/>
                        </w:rPr>
                        <w:t>%</w:t>
                      </w:r>
                    </w:p>
                    <w:p w14:paraId="588145EA" w14:textId="21577320" w:rsidR="007F1C4A" w:rsidRPr="00044ED9" w:rsidRDefault="00293DCF" w:rsidP="007F1C4A">
                      <w:pPr>
                        <w:rPr>
                          <w:b/>
                          <w:i/>
                          <w:szCs w:val="24"/>
                        </w:rPr>
                      </w:pPr>
                      <w:r w:rsidRPr="00044ED9">
                        <w:rPr>
                          <w:b/>
                          <w:i/>
                          <w:szCs w:val="24"/>
                        </w:rPr>
                        <w:t xml:space="preserve">U.S.: </w:t>
                      </w:r>
                      <w:r w:rsidR="00806897">
                        <w:rPr>
                          <w:b/>
                          <w:i/>
                          <w:szCs w:val="24"/>
                        </w:rPr>
                        <w:t xml:space="preserve"> </w:t>
                      </w:r>
                      <w:r w:rsidR="00644080">
                        <w:rPr>
                          <w:b/>
                          <w:i/>
                          <w:szCs w:val="24"/>
                        </w:rPr>
                        <w:t>+</w:t>
                      </w:r>
                      <w:r w:rsidR="004928D5">
                        <w:rPr>
                          <w:b/>
                          <w:i/>
                          <w:szCs w:val="24"/>
                        </w:rPr>
                        <w:t>6</w:t>
                      </w:r>
                      <w:r w:rsidR="007F1C4A" w:rsidRPr="00044ED9">
                        <w:rPr>
                          <w:b/>
                          <w:i/>
                          <w:szCs w:val="24"/>
                        </w:rPr>
                        <w:t>%</w:t>
                      </w:r>
                    </w:p>
                  </w:txbxContent>
                </v:textbox>
                <w10:wrap anchorx="margin"/>
              </v:shape>
            </w:pict>
          </mc:Fallback>
        </mc:AlternateContent>
      </w:r>
      <w:r w:rsidR="00024A13" w:rsidRPr="00F40823">
        <w:rPr>
          <w:noProof/>
        </w:rPr>
        <w:drawing>
          <wp:inline distT="0" distB="0" distL="0" distR="0" wp14:anchorId="655CED7F" wp14:editId="7A9D9EB2">
            <wp:extent cx="3101340" cy="1752060"/>
            <wp:effectExtent l="0" t="0" r="3810" b="635"/>
            <wp:docPr id="352351490" name="Picture 1" descr="U.S. map of trends in 2025-q2 since 2024-q2&#10;State Percent Change 2024-Q2 to 2025-Q2&#10;Minnesota -19%&#10;United States 6%&#10;Alabama -10%&#10;Alaska 6%&#10;Arizona 38%&#10;Arkansas -16%&#10;California 3%&#10;Colorado 17%&#10;Connecticut -7%&#10;Delaware 7%&#10;Dist of Columbia 99%&#10;Florida 9%&#10;Georgia 13%&#10;Hawaii 97%&#10;Idaho -4%&#10;Illinois 1%&#10;Indiana 7%&#10;Iowa -7%&#10;Kansas -2%&#10;Kentucky 6%&#10;Louisiana 10%&#10;Maine -7%&#10;Maryland -3%&#10;Massachusetts 4%&#10;Michigan -17%&#10;Mississippi 4%&#10;Missouri -15%&#10;Montana -20%&#10;Nebraska -9%&#10;Nevada -4%&#10;New Hampshire 9%&#10;New Jersey -7%&#10;New Mexico 59%&#10;New York 102%&#10;North Carolina -4%&#10;North Dakota 57%&#10;Ohio -6%&#10;Oklahoma 3%&#10;Oregon -16%&#10;Pennsylvania -2%&#10;Rhode Island 21%&#10;South Carolina 6%&#10;South Dakota -22%&#10;Tennessee -10%&#10;Texas -1%&#10;Utah 28%&#10;Vermont 3%&#10;Virginia -13%&#10;Washington 5%&#10;West Virginia 0%&#10;Wisconsin -7%&#10;Wyoming -4%&#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351490" name="Picture 1" descr="U.S. map of trends in 2025-q2 since 2024-q2&#10;State Percent Change 2024-Q2 to 2025-Q2&#10;Minnesota -19%&#10;United States 6%&#10;Alabama -10%&#10;Alaska 6%&#10;Arizona 38%&#10;Arkansas -16%&#10;California 3%&#10;Colorado 17%&#10;Connecticut -7%&#10;Delaware 7%&#10;Dist of Columbia 99%&#10;Florida 9%&#10;Georgia 13%&#10;Hawaii 97%&#10;Idaho -4%&#10;Illinois 1%&#10;Indiana 7%&#10;Iowa -7%&#10;Kansas -2%&#10;Kentucky 6%&#10;Louisiana 10%&#10;Maine -7%&#10;Maryland -3%&#10;Massachusetts 4%&#10;Michigan -17%&#10;Mississippi 4%&#10;Missouri -15%&#10;Montana -20%&#10;Nebraska -9%&#10;Nevada -4%&#10;New Hampshire 9%&#10;New Jersey -7%&#10;New Mexico 59%&#10;New York 102%&#10;North Carolina -4%&#10;North Dakota 57%&#10;Ohio -6%&#10;Oklahoma 3%&#10;Oregon -16%&#10;Pennsylvania -2%&#10;Rhode Island 21%&#10;South Carolina 6%&#10;South Dakota -22%&#10;Tennessee -10%&#10;Texas -1%&#10;Utah 28%&#10;Vermont 3%&#10;Virginia -13%&#10;Washington 5%&#10;West Virginia 0%&#10;Wisconsin -7%&#10;Wyoming -4%&#10;&#10;"/>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5218" t="5224" r="6077"/>
                    <a:stretch/>
                  </pic:blipFill>
                  <pic:spPr bwMode="auto">
                    <a:xfrm>
                      <a:off x="0" y="0"/>
                      <a:ext cx="3103636" cy="1753357"/>
                    </a:xfrm>
                    <a:prstGeom prst="rect">
                      <a:avLst/>
                    </a:prstGeom>
                    <a:noFill/>
                    <a:ln>
                      <a:noFill/>
                    </a:ln>
                    <a:extLst>
                      <a:ext uri="{53640926-AAD7-44D8-BBD7-CCE9431645EC}">
                        <a14:shadowObscured xmlns:a14="http://schemas.microsoft.com/office/drawing/2010/main"/>
                      </a:ext>
                    </a:extLst>
                  </pic:spPr>
                </pic:pic>
              </a:graphicData>
            </a:graphic>
          </wp:inline>
        </w:drawing>
      </w:r>
    </w:p>
    <w:p w14:paraId="6B23B2F3" w14:textId="2C0BA6C6" w:rsidR="00BE4DAD" w:rsidRPr="00F40823" w:rsidRDefault="00A52415" w:rsidP="009F4D89">
      <w:pPr>
        <w:spacing w:line="271" w:lineRule="auto"/>
        <w:rPr>
          <w:rFonts w:ascii="Arial Narrow" w:hAnsi="Arial Narrow"/>
          <w:sz w:val="2"/>
          <w:szCs w:val="2"/>
        </w:rPr>
        <w:sectPr w:rsidR="00BE4DAD" w:rsidRPr="00F40823" w:rsidSect="00FE15EB">
          <w:footnotePr>
            <w:numRestart w:val="eachSect"/>
          </w:footnotePr>
          <w:endnotePr>
            <w:numFmt w:val="decimal"/>
          </w:endnotePr>
          <w:type w:val="continuous"/>
          <w:pgSz w:w="12240" w:h="15840" w:code="1"/>
          <w:pgMar w:top="864" w:right="1008" w:bottom="864" w:left="1008" w:header="720" w:footer="720" w:gutter="0"/>
          <w:cols w:num="2" w:space="450"/>
          <w:titlePg/>
          <w:docGrid w:linePitch="299"/>
        </w:sectPr>
      </w:pPr>
      <w:r w:rsidRPr="00F40823">
        <w:rPr>
          <w:rFonts w:ascii="Arial Narrow" w:hAnsi="Arial Narrow"/>
          <w:noProof/>
          <w:sz w:val="2"/>
          <w:szCs w:val="2"/>
        </w:rPr>
        <w:drawing>
          <wp:inline distT="0" distB="0" distL="0" distR="0" wp14:anchorId="5C21AFCD" wp14:editId="29095EE2">
            <wp:extent cx="1126069" cy="160867"/>
            <wp:effectExtent l="0" t="0" r="0" b="0"/>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rotWithShape="1">
                    <a:blip r:embed="rId13">
                      <a:extLst>
                        <a:ext uri="{28A0092B-C50C-407E-A947-70E740481C1C}">
                          <a14:useLocalDpi xmlns:a14="http://schemas.microsoft.com/office/drawing/2010/main" val="0"/>
                        </a:ext>
                      </a:extLst>
                    </a:blip>
                    <a:srcRect t="41379" b="24138"/>
                    <a:stretch/>
                  </pic:blipFill>
                  <pic:spPr bwMode="auto">
                    <a:xfrm>
                      <a:off x="0" y="0"/>
                      <a:ext cx="1132027" cy="161718"/>
                    </a:xfrm>
                    <a:prstGeom prst="rect">
                      <a:avLst/>
                    </a:prstGeom>
                    <a:noFill/>
                    <a:ln>
                      <a:noFill/>
                    </a:ln>
                    <a:extLst>
                      <a:ext uri="{53640926-AAD7-44D8-BBD7-CCE9431645EC}">
                        <a14:shadowObscured xmlns:a14="http://schemas.microsoft.com/office/drawing/2010/main"/>
                      </a:ext>
                    </a:extLst>
                  </pic:spPr>
                </pic:pic>
              </a:graphicData>
            </a:graphic>
          </wp:inline>
        </w:drawing>
      </w:r>
    </w:p>
    <w:p w14:paraId="3B7C68EA" w14:textId="38DC3E68" w:rsidR="004B25EA" w:rsidRPr="00F40823" w:rsidRDefault="0013711B" w:rsidP="00A17E16">
      <w:pPr>
        <w:pStyle w:val="Heading2"/>
        <w:spacing w:before="120"/>
        <w:rPr>
          <w:rFonts w:cstheme="minorHAnsi"/>
          <w:i/>
          <w:iCs/>
          <w:color w:val="auto"/>
          <w:sz w:val="28"/>
          <w:szCs w:val="28"/>
        </w:rPr>
      </w:pPr>
      <w:r w:rsidRPr="00F40823">
        <w:rPr>
          <w:rFonts w:cstheme="minorHAnsi"/>
          <w:i/>
          <w:iCs/>
          <w:color w:val="auto"/>
          <w:sz w:val="28"/>
          <w:szCs w:val="28"/>
        </w:rPr>
        <w:t xml:space="preserve">Brighter Trends in Europe and Latin America, </w:t>
      </w:r>
      <w:r w:rsidR="00B445BB" w:rsidRPr="00F40823">
        <w:rPr>
          <w:rFonts w:cstheme="minorHAnsi"/>
          <w:i/>
          <w:iCs/>
          <w:color w:val="auto"/>
          <w:sz w:val="28"/>
          <w:szCs w:val="28"/>
        </w:rPr>
        <w:t>But</w:t>
      </w:r>
      <w:r w:rsidRPr="00F40823">
        <w:rPr>
          <w:rFonts w:cstheme="minorHAnsi"/>
          <w:i/>
          <w:iCs/>
          <w:color w:val="auto"/>
          <w:sz w:val="28"/>
          <w:szCs w:val="28"/>
        </w:rPr>
        <w:t xml:space="preserve"> Weaker </w:t>
      </w:r>
      <w:r w:rsidR="00B445BB" w:rsidRPr="00F40823">
        <w:rPr>
          <w:rFonts w:cstheme="minorHAnsi"/>
          <w:i/>
          <w:iCs/>
          <w:color w:val="auto"/>
          <w:sz w:val="28"/>
          <w:szCs w:val="28"/>
        </w:rPr>
        <w:t>Trends</w:t>
      </w:r>
      <w:r w:rsidRPr="00F40823">
        <w:rPr>
          <w:rFonts w:cstheme="minorHAnsi"/>
          <w:i/>
          <w:iCs/>
          <w:color w:val="auto"/>
          <w:sz w:val="28"/>
          <w:szCs w:val="28"/>
        </w:rPr>
        <w:t xml:space="preserve"> </w:t>
      </w:r>
      <w:r w:rsidR="00B445BB" w:rsidRPr="00F40823">
        <w:rPr>
          <w:rFonts w:cstheme="minorHAnsi"/>
          <w:i/>
          <w:iCs/>
          <w:color w:val="auto"/>
          <w:sz w:val="28"/>
          <w:szCs w:val="28"/>
        </w:rPr>
        <w:t>Elsewhere</w:t>
      </w:r>
    </w:p>
    <w:p w14:paraId="10B1F22E" w14:textId="065C0475" w:rsidR="00547123" w:rsidRPr="00F40823" w:rsidRDefault="00B74AC4" w:rsidP="00547123">
      <w:pPr>
        <w:pStyle w:val="ListParagraph"/>
        <w:numPr>
          <w:ilvl w:val="0"/>
          <w:numId w:val="21"/>
        </w:numPr>
        <w:spacing w:line="271" w:lineRule="auto"/>
        <w:rPr>
          <w:b/>
          <w:bCs/>
        </w:rPr>
      </w:pPr>
      <w:r w:rsidRPr="00F40823">
        <w:t>E</w:t>
      </w:r>
      <w:r w:rsidR="00547123" w:rsidRPr="00F40823">
        <w:t>xports dropped to</w:t>
      </w:r>
      <w:r w:rsidR="00603FEE" w:rsidRPr="00F40823">
        <w:t xml:space="preserve"> </w:t>
      </w:r>
      <w:r w:rsidR="00603FEE" w:rsidRPr="00F40823">
        <w:rPr>
          <w:b/>
          <w:bCs/>
        </w:rPr>
        <w:t>North America</w:t>
      </w:r>
      <w:r w:rsidR="00603FEE" w:rsidRPr="00F40823">
        <w:t xml:space="preserve"> (</w:t>
      </w:r>
      <w:r w:rsidR="00635523" w:rsidRPr="00F40823">
        <w:t>$</w:t>
      </w:r>
      <w:r w:rsidR="00292BB8" w:rsidRPr="00F40823">
        <w:t>2.</w:t>
      </w:r>
      <w:r w:rsidR="0013711B" w:rsidRPr="00F40823">
        <w:t>1</w:t>
      </w:r>
      <w:r w:rsidR="00635523" w:rsidRPr="00F40823">
        <w:t xml:space="preserve"> billion, </w:t>
      </w:r>
      <w:r w:rsidR="00603FEE" w:rsidRPr="00F40823">
        <w:t xml:space="preserve">down </w:t>
      </w:r>
      <w:r w:rsidR="0013711B" w:rsidRPr="00F40823">
        <w:t>3</w:t>
      </w:r>
      <w:r w:rsidR="00292BB8" w:rsidRPr="00F40823">
        <w:t>7</w:t>
      </w:r>
      <w:r w:rsidR="00603FEE" w:rsidRPr="00F40823">
        <w:t>%)</w:t>
      </w:r>
      <w:r w:rsidR="00547123" w:rsidRPr="00F40823">
        <w:t>,</w:t>
      </w:r>
      <w:r w:rsidR="00DB439A" w:rsidRPr="00F40823">
        <w:t xml:space="preserve"> </w:t>
      </w:r>
      <w:r w:rsidR="0013711B" w:rsidRPr="00F40823">
        <w:t xml:space="preserve">as </w:t>
      </w:r>
      <w:r w:rsidR="008F2A32" w:rsidRPr="00F40823">
        <w:t xml:space="preserve">sales sank to both </w:t>
      </w:r>
      <w:r w:rsidR="00547123" w:rsidRPr="00F40823">
        <w:rPr>
          <w:b/>
          <w:bCs/>
        </w:rPr>
        <w:t>Canada</w:t>
      </w:r>
      <w:r w:rsidR="00547123" w:rsidRPr="00F40823">
        <w:t xml:space="preserve"> (down </w:t>
      </w:r>
      <w:r w:rsidR="0013711B" w:rsidRPr="00F40823">
        <w:t>45</w:t>
      </w:r>
      <w:r w:rsidR="00547123" w:rsidRPr="00F40823">
        <w:t>%</w:t>
      </w:r>
      <w:r w:rsidR="00292BB8" w:rsidRPr="00F40823">
        <w:t>)</w:t>
      </w:r>
      <w:r w:rsidR="008F2A32" w:rsidRPr="00F40823">
        <w:t xml:space="preserve"> and </w:t>
      </w:r>
      <w:r w:rsidR="008F2A32" w:rsidRPr="00F40823">
        <w:rPr>
          <w:b/>
          <w:bCs/>
        </w:rPr>
        <w:t xml:space="preserve">Mexico </w:t>
      </w:r>
      <w:r w:rsidR="008F2A32" w:rsidRPr="00F40823">
        <w:t>(down 22%).</w:t>
      </w:r>
      <w:r w:rsidR="00DB439A" w:rsidRPr="00F40823">
        <w:t xml:space="preserve"> </w:t>
      </w:r>
      <w:r w:rsidR="00FE551A" w:rsidRPr="00F40823">
        <w:t>For Canada, the driving force</w:t>
      </w:r>
      <w:r w:rsidR="008F2A32" w:rsidRPr="00F40823">
        <w:t xml:space="preserve"> </w:t>
      </w:r>
      <w:r w:rsidR="00FE551A" w:rsidRPr="00F40823">
        <w:t>was</w:t>
      </w:r>
      <w:r w:rsidR="008F2A32" w:rsidRPr="00F40823">
        <w:t xml:space="preserve"> </w:t>
      </w:r>
      <w:r w:rsidR="008F2A32" w:rsidRPr="00F40823">
        <w:rPr>
          <w:b/>
          <w:bCs/>
        </w:rPr>
        <w:t>mineral fuels</w:t>
      </w:r>
      <w:r w:rsidR="00DC41C7" w:rsidRPr="00F40823">
        <w:rPr>
          <w:b/>
          <w:bCs/>
        </w:rPr>
        <w:t>,</w:t>
      </w:r>
      <w:r w:rsidR="008F2A32" w:rsidRPr="00F40823">
        <w:rPr>
          <w:b/>
          <w:bCs/>
        </w:rPr>
        <w:t xml:space="preserve"> </w:t>
      </w:r>
      <w:r w:rsidR="00FE551A" w:rsidRPr="00F40823">
        <w:t>for which it is also the state’s</w:t>
      </w:r>
      <w:r w:rsidR="008F2A32" w:rsidRPr="00F40823">
        <w:t xml:space="preserve"> </w:t>
      </w:r>
      <w:r w:rsidR="00B60CE1" w:rsidRPr="00F40823">
        <w:t>primary market.</w:t>
      </w:r>
      <w:r w:rsidR="00B60CE1" w:rsidRPr="00F40823">
        <w:rPr>
          <w:b/>
          <w:bCs/>
        </w:rPr>
        <w:t xml:space="preserve"> </w:t>
      </w:r>
      <w:r w:rsidR="00FE551A" w:rsidRPr="00F40823">
        <w:t>Across</w:t>
      </w:r>
      <w:r w:rsidR="00B60CE1" w:rsidRPr="00F40823">
        <w:t xml:space="preserve"> North America</w:t>
      </w:r>
      <w:r w:rsidR="00F95855" w:rsidRPr="00F40823">
        <w:t>, exports</w:t>
      </w:r>
      <w:r w:rsidR="00B445BB" w:rsidRPr="00F40823">
        <w:t xml:space="preserve"> </w:t>
      </w:r>
      <w:r w:rsidR="00B60CE1" w:rsidRPr="00F40823">
        <w:t>fell by over $100 million</w:t>
      </w:r>
      <w:r w:rsidR="00B445BB" w:rsidRPr="00F40823">
        <w:t xml:space="preserve"> for each </w:t>
      </w:r>
      <w:r w:rsidR="00B445BB" w:rsidRPr="00F40823">
        <w:rPr>
          <w:b/>
          <w:bCs/>
        </w:rPr>
        <w:t>vehicle</w:t>
      </w:r>
      <w:r w:rsidR="00B331CF">
        <w:rPr>
          <w:b/>
          <w:bCs/>
        </w:rPr>
        <w:t>s</w:t>
      </w:r>
      <w:r w:rsidR="00B445BB" w:rsidRPr="00F40823">
        <w:rPr>
          <w:b/>
          <w:bCs/>
        </w:rPr>
        <w:t xml:space="preserve"> </w:t>
      </w:r>
      <w:r w:rsidR="00B445BB" w:rsidRPr="00F40823">
        <w:t>and</w:t>
      </w:r>
      <w:r w:rsidR="00B445BB" w:rsidRPr="00F40823">
        <w:rPr>
          <w:b/>
          <w:bCs/>
        </w:rPr>
        <w:t xml:space="preserve"> machinery</w:t>
      </w:r>
      <w:r w:rsidR="00B331CF">
        <w:rPr>
          <w:b/>
          <w:bCs/>
        </w:rPr>
        <w:t xml:space="preserve"> </w:t>
      </w:r>
      <w:r w:rsidR="00B331CF">
        <w:t>categories.</w:t>
      </w:r>
    </w:p>
    <w:p w14:paraId="09102A02" w14:textId="3C54A4ED" w:rsidR="00F5610C" w:rsidRPr="00F40823" w:rsidRDefault="00F95855" w:rsidP="00CA1224">
      <w:pPr>
        <w:pStyle w:val="ListParagraph"/>
        <w:numPr>
          <w:ilvl w:val="0"/>
          <w:numId w:val="21"/>
        </w:numPr>
        <w:spacing w:line="271" w:lineRule="auto"/>
        <w:rPr>
          <w:b/>
          <w:bCs/>
        </w:rPr>
      </w:pPr>
      <w:r w:rsidRPr="00F40823">
        <w:t>Minnesota exports</w:t>
      </w:r>
      <w:r w:rsidR="008F2A32" w:rsidRPr="00F40823">
        <w:t xml:space="preserve"> </w:t>
      </w:r>
      <w:r w:rsidR="006D017C" w:rsidRPr="00F40823">
        <w:t xml:space="preserve">to </w:t>
      </w:r>
      <w:r w:rsidR="007405DC" w:rsidRPr="00F40823">
        <w:rPr>
          <w:b/>
          <w:bCs/>
        </w:rPr>
        <w:t>Asia</w:t>
      </w:r>
      <w:r w:rsidR="006104C8" w:rsidRPr="00F40823">
        <w:rPr>
          <w:b/>
          <w:bCs/>
        </w:rPr>
        <w:t xml:space="preserve"> </w:t>
      </w:r>
      <w:r w:rsidR="00786AC7" w:rsidRPr="00F40823">
        <w:t>($1.6 billion</w:t>
      </w:r>
      <w:r w:rsidR="008F2A32" w:rsidRPr="00F40823">
        <w:t xml:space="preserve">) </w:t>
      </w:r>
      <w:r w:rsidRPr="00F40823">
        <w:t>slipped</w:t>
      </w:r>
      <w:r w:rsidR="00786AC7" w:rsidRPr="00F40823">
        <w:t xml:space="preserve"> </w:t>
      </w:r>
      <w:r w:rsidR="008F2A32" w:rsidRPr="00F40823">
        <w:t>8</w:t>
      </w:r>
      <w:r w:rsidR="00786AC7" w:rsidRPr="00F40823">
        <w:t>%</w:t>
      </w:r>
      <w:r w:rsidR="008F2A32" w:rsidRPr="00F40823">
        <w:t>. While</w:t>
      </w:r>
      <w:r w:rsidRPr="00F40823">
        <w:t xml:space="preserve"> demand</w:t>
      </w:r>
      <w:r w:rsidR="008F2A32" w:rsidRPr="00F40823">
        <w:t xml:space="preserve"> </w:t>
      </w:r>
      <w:r w:rsidRPr="00F40823">
        <w:t>slid</w:t>
      </w:r>
      <w:r w:rsidR="008F2A32" w:rsidRPr="00F40823">
        <w:t xml:space="preserve"> in</w:t>
      </w:r>
      <w:r w:rsidR="00786AC7" w:rsidRPr="00F40823">
        <w:t xml:space="preserve"> </w:t>
      </w:r>
      <w:r w:rsidR="00786AC7" w:rsidRPr="00F40823">
        <w:rPr>
          <w:b/>
        </w:rPr>
        <w:t>China</w:t>
      </w:r>
      <w:r w:rsidR="00635523" w:rsidRPr="00F40823">
        <w:rPr>
          <w:b/>
        </w:rPr>
        <w:t xml:space="preserve"> </w:t>
      </w:r>
      <w:r w:rsidR="00635523" w:rsidRPr="00F40823">
        <w:rPr>
          <w:bCs/>
        </w:rPr>
        <w:t>(</w:t>
      </w:r>
      <w:r w:rsidR="00786AC7" w:rsidRPr="00F40823">
        <w:rPr>
          <w:bCs/>
        </w:rPr>
        <w:t>down</w:t>
      </w:r>
      <w:r w:rsidR="00635523" w:rsidRPr="00F40823">
        <w:rPr>
          <w:bCs/>
        </w:rPr>
        <w:t xml:space="preserve"> </w:t>
      </w:r>
      <w:r w:rsidR="008F2A32" w:rsidRPr="00F40823">
        <w:rPr>
          <w:bCs/>
        </w:rPr>
        <w:t>21</w:t>
      </w:r>
      <w:r w:rsidR="00635523" w:rsidRPr="00F40823">
        <w:rPr>
          <w:bCs/>
        </w:rPr>
        <w:t xml:space="preserve">%), </w:t>
      </w:r>
      <w:r w:rsidR="008F2A32" w:rsidRPr="00F40823">
        <w:rPr>
          <w:b/>
        </w:rPr>
        <w:t>Taiwan</w:t>
      </w:r>
      <w:r w:rsidR="00786AC7" w:rsidRPr="00F40823">
        <w:rPr>
          <w:b/>
        </w:rPr>
        <w:t xml:space="preserve"> </w:t>
      </w:r>
      <w:r w:rsidR="00786AC7" w:rsidRPr="00F40823">
        <w:rPr>
          <w:bCs/>
        </w:rPr>
        <w:t>(down 3</w:t>
      </w:r>
      <w:r w:rsidR="008F2A32" w:rsidRPr="00F40823">
        <w:rPr>
          <w:bCs/>
        </w:rPr>
        <w:t>3</w:t>
      </w:r>
      <w:r w:rsidR="00786AC7" w:rsidRPr="00F40823">
        <w:rPr>
          <w:bCs/>
        </w:rPr>
        <w:t>%)</w:t>
      </w:r>
      <w:r w:rsidR="008F2A32" w:rsidRPr="00F40823">
        <w:rPr>
          <w:bCs/>
        </w:rPr>
        <w:t xml:space="preserve"> and</w:t>
      </w:r>
      <w:r w:rsidR="00786AC7" w:rsidRPr="00F40823">
        <w:rPr>
          <w:bCs/>
        </w:rPr>
        <w:t xml:space="preserve"> the </w:t>
      </w:r>
      <w:r w:rsidR="00786AC7" w:rsidRPr="00F40823">
        <w:rPr>
          <w:b/>
        </w:rPr>
        <w:t>Philippines</w:t>
      </w:r>
      <w:r w:rsidR="00786AC7" w:rsidRPr="00F40823">
        <w:rPr>
          <w:bCs/>
        </w:rPr>
        <w:t xml:space="preserve"> (down </w:t>
      </w:r>
      <w:r w:rsidR="008F2A32" w:rsidRPr="00F40823">
        <w:rPr>
          <w:bCs/>
        </w:rPr>
        <w:t>37</w:t>
      </w:r>
      <w:r w:rsidR="00786AC7" w:rsidRPr="00F40823">
        <w:rPr>
          <w:bCs/>
        </w:rPr>
        <w:t>%)</w:t>
      </w:r>
      <w:r w:rsidR="008F2A32" w:rsidRPr="00F40823">
        <w:rPr>
          <w:bCs/>
        </w:rPr>
        <w:t xml:space="preserve">, </w:t>
      </w:r>
      <w:r w:rsidR="00FE551A" w:rsidRPr="00F40823">
        <w:rPr>
          <w:bCs/>
        </w:rPr>
        <w:t>it</w:t>
      </w:r>
      <w:r w:rsidR="008F2A32" w:rsidRPr="00F40823">
        <w:rPr>
          <w:bCs/>
        </w:rPr>
        <w:t xml:space="preserve"> grew </w:t>
      </w:r>
      <w:r w:rsidRPr="00F40823">
        <w:rPr>
          <w:bCs/>
        </w:rPr>
        <w:t>in</w:t>
      </w:r>
      <w:r w:rsidR="008F2A32" w:rsidRPr="00F40823">
        <w:rPr>
          <w:b/>
        </w:rPr>
        <w:t xml:space="preserve"> India</w:t>
      </w:r>
      <w:r w:rsidR="008F2A32" w:rsidRPr="00F40823">
        <w:rPr>
          <w:bCs/>
        </w:rPr>
        <w:t xml:space="preserve"> (up 32%), </w:t>
      </w:r>
      <w:r w:rsidR="008F2A32" w:rsidRPr="00F40823">
        <w:rPr>
          <w:b/>
        </w:rPr>
        <w:t>Thailand</w:t>
      </w:r>
      <w:r w:rsidR="008F2A32" w:rsidRPr="00F40823">
        <w:rPr>
          <w:bCs/>
        </w:rPr>
        <w:t xml:space="preserve"> (up 18%) and</w:t>
      </w:r>
      <w:r w:rsidR="008F2A32" w:rsidRPr="00F40823">
        <w:rPr>
          <w:b/>
        </w:rPr>
        <w:t xml:space="preserve"> Singapore </w:t>
      </w:r>
      <w:r w:rsidR="008F2A32" w:rsidRPr="00F40823">
        <w:rPr>
          <w:bCs/>
        </w:rPr>
        <w:t>(up 16%).</w:t>
      </w:r>
      <w:r w:rsidR="00786AC7" w:rsidRPr="00F40823">
        <w:t xml:space="preserve"> </w:t>
      </w:r>
    </w:p>
    <w:p w14:paraId="1F32FDC3" w14:textId="5A3AAF44" w:rsidR="001D2F50" w:rsidRPr="00F40823" w:rsidRDefault="008F2A32" w:rsidP="001D2F50">
      <w:pPr>
        <w:pStyle w:val="ListParagraph"/>
        <w:numPr>
          <w:ilvl w:val="0"/>
          <w:numId w:val="21"/>
        </w:numPr>
        <w:spacing w:line="271" w:lineRule="auto"/>
        <w:rPr>
          <w:b/>
          <w:bCs/>
        </w:rPr>
      </w:pPr>
      <w:r w:rsidRPr="00F40823">
        <w:rPr>
          <w:b/>
          <w:bCs/>
        </w:rPr>
        <w:t>European markets outside the European Union</w:t>
      </w:r>
      <w:r w:rsidRPr="00F40823">
        <w:t xml:space="preserve"> </w:t>
      </w:r>
      <w:r w:rsidR="006D017C" w:rsidRPr="00F40823">
        <w:t>($</w:t>
      </w:r>
      <w:r w:rsidRPr="00F40823">
        <w:t>329</w:t>
      </w:r>
      <w:r w:rsidR="006D017C" w:rsidRPr="00F40823">
        <w:t xml:space="preserve"> million, up </w:t>
      </w:r>
      <w:r w:rsidRPr="00F40823">
        <w:t>37</w:t>
      </w:r>
      <w:r w:rsidR="006D017C" w:rsidRPr="00F40823">
        <w:t>%)</w:t>
      </w:r>
      <w:r w:rsidR="006D017C" w:rsidRPr="00F40823">
        <w:rPr>
          <w:b/>
          <w:bCs/>
        </w:rPr>
        <w:t xml:space="preserve"> </w:t>
      </w:r>
      <w:r w:rsidRPr="00F40823">
        <w:t>and</w:t>
      </w:r>
      <w:r w:rsidR="00F95855" w:rsidRPr="00F40823">
        <w:t xml:space="preserve"> </w:t>
      </w:r>
      <w:r w:rsidRPr="00F40823">
        <w:rPr>
          <w:b/>
          <w:bCs/>
        </w:rPr>
        <w:t>Caribbean, Central America and South America</w:t>
      </w:r>
      <w:r w:rsidRPr="00F40823">
        <w:t xml:space="preserve"> </w:t>
      </w:r>
      <w:r w:rsidR="00F95855" w:rsidRPr="00F40823">
        <w:t>markets</w:t>
      </w:r>
      <w:r w:rsidR="00F95855" w:rsidRPr="00F40823">
        <w:rPr>
          <w:b/>
          <w:bCs/>
        </w:rPr>
        <w:t xml:space="preserve"> </w:t>
      </w:r>
      <w:r w:rsidRPr="00F40823">
        <w:t>($366 million, up 12%) offered</w:t>
      </w:r>
      <w:r w:rsidR="00292BB8" w:rsidRPr="00F40823">
        <w:t xml:space="preserve"> </w:t>
      </w:r>
      <w:r w:rsidR="00B445BB" w:rsidRPr="00F40823">
        <w:t>key</w:t>
      </w:r>
      <w:r w:rsidR="00DC41C7" w:rsidRPr="00F40823">
        <w:t xml:space="preserve"> </w:t>
      </w:r>
      <w:r w:rsidR="00FE551A" w:rsidRPr="00F40823">
        <w:t>positive performances</w:t>
      </w:r>
      <w:r w:rsidR="00AC53F6" w:rsidRPr="00F40823">
        <w:t xml:space="preserve">. </w:t>
      </w:r>
      <w:r w:rsidR="00F95855" w:rsidRPr="00F40823">
        <w:t>High growth</w:t>
      </w:r>
      <w:r w:rsidRPr="00F40823">
        <w:t xml:space="preserve"> markets in these regions included the </w:t>
      </w:r>
      <w:r w:rsidRPr="00F40823">
        <w:rPr>
          <w:b/>
          <w:bCs/>
        </w:rPr>
        <w:t>U.K.</w:t>
      </w:r>
      <w:r w:rsidRPr="00F40823">
        <w:t xml:space="preserve"> (up 52%), </w:t>
      </w:r>
      <w:r w:rsidRPr="00F40823">
        <w:rPr>
          <w:b/>
          <w:bCs/>
        </w:rPr>
        <w:t>Switzerland</w:t>
      </w:r>
      <w:r w:rsidRPr="00F40823">
        <w:t xml:space="preserve"> (up 24%), </w:t>
      </w:r>
      <w:r w:rsidRPr="00F40823">
        <w:rPr>
          <w:b/>
          <w:bCs/>
        </w:rPr>
        <w:t>Chile</w:t>
      </w:r>
      <w:r w:rsidRPr="00F40823">
        <w:t xml:space="preserve"> (up 116%) and </w:t>
      </w:r>
      <w:r w:rsidRPr="00F40823">
        <w:rPr>
          <w:b/>
          <w:bCs/>
        </w:rPr>
        <w:t>Brazil</w:t>
      </w:r>
      <w:r w:rsidRPr="00F40823">
        <w:t xml:space="preserve"> (up 16%).</w:t>
      </w:r>
      <w:r w:rsidR="001D2F50" w:rsidRPr="00F40823">
        <w:t xml:space="preserve"> Exports to </w:t>
      </w:r>
      <w:r w:rsidR="001D2F50" w:rsidRPr="00F40823">
        <w:rPr>
          <w:b/>
          <w:bCs/>
        </w:rPr>
        <w:t>European Union</w:t>
      </w:r>
      <w:r w:rsidR="001D2F50" w:rsidRPr="00F40823">
        <w:t xml:space="preserve"> markets ($1.1 billion) grew modestly, by 1%.</w:t>
      </w:r>
    </w:p>
    <w:p w14:paraId="481CD972" w14:textId="76486709" w:rsidR="007C165F" w:rsidRDefault="007C165F" w:rsidP="004E1B65">
      <w:pPr>
        <w:pStyle w:val="Heading4"/>
        <w:spacing w:before="120" w:after="120"/>
      </w:pPr>
      <w:r w:rsidRPr="00F40823">
        <w:t xml:space="preserve">Figure </w:t>
      </w:r>
      <w:r w:rsidR="00E36364" w:rsidRPr="00F40823">
        <w:fldChar w:fldCharType="begin"/>
      </w:r>
      <w:r w:rsidR="00E36364" w:rsidRPr="00F40823">
        <w:instrText xml:space="preserve"> SEQ Figure \* ARABIC </w:instrText>
      </w:r>
      <w:r w:rsidR="00E36364" w:rsidRPr="00F40823">
        <w:fldChar w:fldCharType="separate"/>
      </w:r>
      <w:r w:rsidR="00C430F8" w:rsidRPr="00F40823">
        <w:t>2</w:t>
      </w:r>
      <w:r w:rsidR="00E36364" w:rsidRPr="00F40823">
        <w:fldChar w:fldCharType="end"/>
      </w:r>
      <w:r w:rsidR="00C84D0E" w:rsidRPr="00F40823">
        <w:t xml:space="preserve">. </w:t>
      </w:r>
      <w:r w:rsidR="00A44451" w:rsidRPr="00F40823">
        <w:t>Export Trends for</w:t>
      </w:r>
      <w:r w:rsidR="0038665A" w:rsidRPr="00F40823">
        <w:t xml:space="preserve"> Minnesota’s Top 10 Markets, </w:t>
      </w:r>
      <w:r w:rsidR="004928D5" w:rsidRPr="00F40823">
        <w:t>Second</w:t>
      </w:r>
      <w:r w:rsidR="00375ACF" w:rsidRPr="00F40823">
        <w:t xml:space="preserve"> </w:t>
      </w:r>
      <w:r w:rsidR="00725672" w:rsidRPr="00F40823">
        <w:t>Q</w:t>
      </w:r>
      <w:r w:rsidR="00375ACF" w:rsidRPr="00F40823">
        <w:t>uarter</w:t>
      </w:r>
      <w:r w:rsidR="00A52415" w:rsidRPr="00F40823">
        <w:t xml:space="preserve"> </w:t>
      </w:r>
      <w:r w:rsidR="00BB19C4" w:rsidRPr="00F40823">
        <w:t>2025</w:t>
      </w:r>
    </w:p>
    <w:p w14:paraId="4C9C4158" w14:textId="22FF5683" w:rsidR="00BB3BC1" w:rsidRPr="00F40823" w:rsidRDefault="00B331CF" w:rsidP="00BB3BC1">
      <w:r>
        <w:rPr>
          <w:noProof/>
        </w:rPr>
        <w:drawing>
          <wp:inline distT="0" distB="0" distL="0" distR="0" wp14:anchorId="45A35395" wp14:editId="6A72F8B0">
            <wp:extent cx="6492240" cy="1981835"/>
            <wp:effectExtent l="0" t="0" r="3810" b="0"/>
            <wp:docPr id="389129525" name="Picture 1" descr="Double bar chart. &#10;Minnesota export trends for top 10 markets, 2025-Q2&#10;Product Exports (millions) Percent Change, 2024-Q2 to 2025-Q2&#10;WORLD  $5,755  -19%&#10;Canada (1)   $1,221  -45%&#10;Mexico (2)   $899  -22%&#10;China (3)   $435  -21%&#10;Japan (4)   $233  2%&#10;Ireland (5)   $231  15%&#10;Korea (6)   $202  7%&#10;U.K. (7)   $184  52%&#10;Germany (8)   $184  6%&#10;Belgium (9)   $170  -7%&#10;Netherlands (10)   $154  -1%&#10;Other  $1,843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129525" name="Picture 1" descr="Double bar chart. &#10;Minnesota export trends for top 10 markets, 2025-Q2&#10;Product Exports (millions) Percent Change, 2024-Q2 to 2025-Q2&#10;WORLD  $5,755  -19%&#10;Canada (1)   $1,221  -45%&#10;Mexico (2)   $899  -22%&#10;China (3)   $435  -21%&#10;Japan (4)   $233  2%&#10;Ireland (5)   $231  15%&#10;Korea (6)   $202  7%&#10;U.K. (7)   $184  52%&#10;Germany (8)   $184  6%&#10;Belgium (9)   $170  -7%&#10;Netherlands (10)   $154  -1%&#10;Other  $1,843  -5%"/>
                    <pic:cNvPicPr>
                      <a:picLocks noChangeAspect="1" noChangeArrowheads="1"/>
                    </pic:cNvPicPr>
                  </pic:nvPicPr>
                  <pic:blipFill rotWithShape="1">
                    <a:blip r:embed="rId14">
                      <a:extLst>
                        <a:ext uri="{28A0092B-C50C-407E-A947-70E740481C1C}">
                          <a14:useLocalDpi xmlns:a14="http://schemas.microsoft.com/office/drawing/2010/main" val="0"/>
                        </a:ext>
                      </a:extLst>
                    </a:blip>
                    <a:srcRect t="6304"/>
                    <a:stretch/>
                  </pic:blipFill>
                  <pic:spPr bwMode="auto">
                    <a:xfrm>
                      <a:off x="0" y="0"/>
                      <a:ext cx="6492240" cy="1981835"/>
                    </a:xfrm>
                    <a:prstGeom prst="rect">
                      <a:avLst/>
                    </a:prstGeom>
                    <a:noFill/>
                    <a:ln>
                      <a:noFill/>
                    </a:ln>
                    <a:extLst>
                      <a:ext uri="{53640926-AAD7-44D8-BBD7-CCE9431645EC}">
                        <a14:shadowObscured xmlns:a14="http://schemas.microsoft.com/office/drawing/2010/main"/>
                      </a:ext>
                    </a:extLst>
                  </pic:spPr>
                </pic:pic>
              </a:graphicData>
            </a:graphic>
          </wp:inline>
        </w:drawing>
      </w:r>
    </w:p>
    <w:p w14:paraId="1FA7CF8F" w14:textId="727EF69D" w:rsidR="00911149" w:rsidRPr="00F40823" w:rsidRDefault="00BB0AAC" w:rsidP="003279A8">
      <w:pPr>
        <w:pStyle w:val="Heading2"/>
        <w:tabs>
          <w:tab w:val="left" w:pos="360"/>
        </w:tabs>
        <w:ind w:left="360" w:hanging="360"/>
        <w:rPr>
          <w:color w:val="auto"/>
        </w:rPr>
        <w:sectPr w:rsidR="00911149" w:rsidRPr="00F40823" w:rsidSect="00FE15EB">
          <w:footerReference w:type="default" r:id="rId15"/>
          <w:footnotePr>
            <w:numRestart w:val="eachSect"/>
          </w:footnotePr>
          <w:endnotePr>
            <w:numFmt w:val="decimal"/>
          </w:endnotePr>
          <w:type w:val="continuous"/>
          <w:pgSz w:w="12240" w:h="15840" w:code="1"/>
          <w:pgMar w:top="864" w:right="1008" w:bottom="864" w:left="1008" w:header="720" w:footer="720" w:gutter="0"/>
          <w:cols w:space="720"/>
          <w:titlePg/>
          <w:docGrid w:linePitch="299"/>
        </w:sectPr>
      </w:pPr>
      <w:r w:rsidRPr="00F40823">
        <w:rPr>
          <w:bCs w:val="0"/>
          <w:i/>
          <w:color w:val="auto"/>
          <w:sz w:val="28"/>
        </w:rPr>
        <w:lastRenderedPageBreak/>
        <w:t xml:space="preserve">Widespread </w:t>
      </w:r>
      <w:r w:rsidR="008620B1" w:rsidRPr="00F40823">
        <w:rPr>
          <w:bCs w:val="0"/>
          <w:i/>
          <w:color w:val="auto"/>
          <w:sz w:val="28"/>
        </w:rPr>
        <w:t>Slump</w:t>
      </w:r>
      <w:r w:rsidR="004E1B65" w:rsidRPr="00F40823">
        <w:rPr>
          <w:bCs w:val="0"/>
          <w:i/>
          <w:color w:val="auto"/>
          <w:sz w:val="28"/>
        </w:rPr>
        <w:t xml:space="preserve"> Among Major Product Categories, </w:t>
      </w:r>
      <w:r w:rsidRPr="00F40823">
        <w:rPr>
          <w:bCs w:val="0"/>
          <w:i/>
          <w:color w:val="auto"/>
          <w:sz w:val="28"/>
        </w:rPr>
        <w:t>Growth</w:t>
      </w:r>
      <w:r w:rsidR="007E29BA" w:rsidRPr="00F40823">
        <w:rPr>
          <w:bCs w:val="0"/>
          <w:i/>
          <w:color w:val="auto"/>
          <w:sz w:val="28"/>
        </w:rPr>
        <w:t xml:space="preserve"> in Limited</w:t>
      </w:r>
      <w:r w:rsidRPr="00F40823">
        <w:rPr>
          <w:bCs w:val="0"/>
          <w:i/>
          <w:color w:val="auto"/>
          <w:sz w:val="28"/>
        </w:rPr>
        <w:t xml:space="preserve"> </w:t>
      </w:r>
      <w:r w:rsidR="003279A8" w:rsidRPr="00F40823">
        <w:rPr>
          <w:bCs w:val="0"/>
          <w:i/>
          <w:color w:val="auto"/>
          <w:sz w:val="28"/>
        </w:rPr>
        <w:t xml:space="preserve">Areas </w:t>
      </w:r>
    </w:p>
    <w:p w14:paraId="0B14C700" w14:textId="51AF2948" w:rsidR="004E1B65" w:rsidRPr="00F40823" w:rsidRDefault="001D2F50" w:rsidP="001D2F50">
      <w:pPr>
        <w:pStyle w:val="NoSpacing"/>
        <w:numPr>
          <w:ilvl w:val="0"/>
          <w:numId w:val="20"/>
        </w:numPr>
        <w:spacing w:line="269" w:lineRule="auto"/>
        <w:ind w:right="-14"/>
        <w:rPr>
          <w:rFonts w:asciiTheme="majorHAnsi" w:eastAsiaTheme="majorEastAsia" w:hAnsiTheme="majorHAnsi" w:cstheme="majorBidi"/>
          <w:i/>
          <w:iCs/>
          <w:sz w:val="24"/>
          <w:szCs w:val="24"/>
        </w:rPr>
        <w:sectPr w:rsidR="004E1B65" w:rsidRPr="00F40823" w:rsidSect="00FE15EB">
          <w:footnotePr>
            <w:numRestart w:val="eachSect"/>
          </w:footnotePr>
          <w:endnotePr>
            <w:numFmt w:val="decimal"/>
          </w:endnotePr>
          <w:type w:val="continuous"/>
          <w:pgSz w:w="12240" w:h="15840" w:code="1"/>
          <w:pgMar w:top="864" w:right="1008" w:bottom="864" w:left="1008" w:header="720" w:footer="720" w:gutter="0"/>
          <w:cols w:space="720"/>
          <w:titlePg/>
          <w:docGrid w:linePitch="299"/>
        </w:sectPr>
      </w:pPr>
      <w:r w:rsidRPr="00F40823">
        <w:t>Significant d</w:t>
      </w:r>
      <w:r w:rsidR="00D33E15" w:rsidRPr="00F40823">
        <w:t xml:space="preserve">ownward </w:t>
      </w:r>
      <w:r w:rsidR="00DC41C7" w:rsidRPr="00F40823">
        <w:t xml:space="preserve">trends in major products – led </w:t>
      </w:r>
      <w:r w:rsidR="008620B1" w:rsidRPr="00F40823">
        <w:t>by</w:t>
      </w:r>
      <w:r w:rsidR="00BB0AAC" w:rsidRPr="00F40823">
        <w:t xml:space="preserve"> </w:t>
      </w:r>
      <w:r w:rsidR="004E1B65" w:rsidRPr="00F40823">
        <w:rPr>
          <w:b/>
          <w:bCs/>
        </w:rPr>
        <w:t>mineral fuel, oil</w:t>
      </w:r>
      <w:r w:rsidR="004E1B65" w:rsidRPr="00F40823">
        <w:t xml:space="preserve"> (down 96%), </w:t>
      </w:r>
      <w:r w:rsidR="004E1B65" w:rsidRPr="00F40823">
        <w:rPr>
          <w:b/>
          <w:bCs/>
        </w:rPr>
        <w:t>machinery</w:t>
      </w:r>
      <w:r w:rsidR="004E1B65" w:rsidRPr="00F40823">
        <w:t xml:space="preserve"> (down 17%), </w:t>
      </w:r>
      <w:r w:rsidR="00BB0AAC" w:rsidRPr="00F40823">
        <w:rPr>
          <w:b/>
          <w:bCs/>
        </w:rPr>
        <w:t xml:space="preserve">vehicles </w:t>
      </w:r>
      <w:r w:rsidR="00BB0AAC" w:rsidRPr="00F40823">
        <w:t>(down 2</w:t>
      </w:r>
      <w:r w:rsidR="004E1B65" w:rsidRPr="00F40823">
        <w:t>8</w:t>
      </w:r>
      <w:r w:rsidR="00BB0AAC" w:rsidRPr="00F40823">
        <w:t xml:space="preserve">%), </w:t>
      </w:r>
      <w:r w:rsidR="00BB0AAC" w:rsidRPr="00F40823">
        <w:rPr>
          <w:b/>
          <w:bCs/>
        </w:rPr>
        <w:t>optic, medical</w:t>
      </w:r>
      <w:r w:rsidR="00BB0AAC" w:rsidRPr="00F40823">
        <w:t xml:space="preserve"> (down </w:t>
      </w:r>
      <w:r w:rsidR="004E1B65" w:rsidRPr="00F40823">
        <w:t>8</w:t>
      </w:r>
      <w:r w:rsidR="00BB0AAC" w:rsidRPr="00F40823">
        <w:t>%)</w:t>
      </w:r>
      <w:r w:rsidRPr="00F40823">
        <w:t xml:space="preserve">, </w:t>
      </w:r>
      <w:r w:rsidRPr="00F40823">
        <w:rPr>
          <w:b/>
          <w:bCs/>
        </w:rPr>
        <w:t xml:space="preserve">stone, plaster, cement </w:t>
      </w:r>
      <w:r w:rsidRPr="00F40823">
        <w:t>(down 6</w:t>
      </w:r>
      <w:r w:rsidR="00027BEA" w:rsidRPr="00F40823">
        <w:t>2</w:t>
      </w:r>
      <w:r w:rsidRPr="00F40823">
        <w:t xml:space="preserve">%) – </w:t>
      </w:r>
      <w:r w:rsidR="00DC41C7" w:rsidRPr="00F40823">
        <w:t>depressed</w:t>
      </w:r>
      <w:r w:rsidR="00D33E15" w:rsidRPr="00F40823">
        <w:t xml:space="preserve"> </w:t>
      </w:r>
      <w:r w:rsidR="00DC41C7" w:rsidRPr="00F40823">
        <w:t>exports</w:t>
      </w:r>
      <w:r w:rsidR="00D33E15" w:rsidRPr="00F40823">
        <w:t>.</w:t>
      </w:r>
    </w:p>
    <w:p w14:paraId="0F9799C1" w14:textId="77777777" w:rsidR="00D33E15" w:rsidRPr="00F40823" w:rsidRDefault="00D33E15" w:rsidP="00D33E15">
      <w:pPr>
        <w:pStyle w:val="NoSpacing"/>
        <w:numPr>
          <w:ilvl w:val="0"/>
          <w:numId w:val="20"/>
        </w:numPr>
        <w:spacing w:line="269" w:lineRule="auto"/>
        <w:ind w:right="-14"/>
        <w:rPr>
          <w:rFonts w:asciiTheme="minorHAnsi" w:eastAsiaTheme="majorEastAsia" w:hAnsiTheme="minorHAnsi" w:cstheme="minorHAnsi"/>
          <w:i/>
          <w:iCs/>
        </w:rPr>
      </w:pPr>
      <w:r w:rsidRPr="00F40823">
        <w:t>E</w:t>
      </w:r>
      <w:r w:rsidR="004E1B65" w:rsidRPr="00F40823">
        <w:t>xports of</w:t>
      </w:r>
      <w:r w:rsidR="004E1B65" w:rsidRPr="00F40823">
        <w:rPr>
          <w:b/>
        </w:rPr>
        <w:t xml:space="preserve"> mineral fuel, oil</w:t>
      </w:r>
      <w:r w:rsidR="004E1B65" w:rsidRPr="00F40823">
        <w:rPr>
          <w:bCs/>
        </w:rPr>
        <w:t xml:space="preserve"> </w:t>
      </w:r>
      <w:r w:rsidR="00604711" w:rsidRPr="00F40823">
        <w:rPr>
          <w:bCs/>
        </w:rPr>
        <w:t>($29 million</w:t>
      </w:r>
      <w:r w:rsidR="005413B8" w:rsidRPr="00F40823">
        <w:rPr>
          <w:bCs/>
        </w:rPr>
        <w:t>;</w:t>
      </w:r>
      <w:r w:rsidR="00604711" w:rsidRPr="00F40823">
        <w:rPr>
          <w:bCs/>
        </w:rPr>
        <w:t xml:space="preserve"> including </w:t>
      </w:r>
      <w:r w:rsidR="00604711" w:rsidRPr="00F40823">
        <w:rPr>
          <w:b/>
        </w:rPr>
        <w:t>motor fuel</w:t>
      </w:r>
      <w:r w:rsidR="00604711" w:rsidRPr="00F40823">
        <w:rPr>
          <w:bCs/>
        </w:rPr>
        <w:t>)</w:t>
      </w:r>
      <w:r w:rsidR="00604711" w:rsidRPr="00F40823">
        <w:rPr>
          <w:b/>
        </w:rPr>
        <w:t xml:space="preserve"> </w:t>
      </w:r>
      <w:r w:rsidR="004E1B65" w:rsidRPr="00F40823">
        <w:rPr>
          <w:bCs/>
        </w:rPr>
        <w:t>plu</w:t>
      </w:r>
      <w:r w:rsidR="00604711" w:rsidRPr="00F40823">
        <w:rPr>
          <w:bCs/>
        </w:rPr>
        <w:t>ng</w:t>
      </w:r>
      <w:r w:rsidR="004E1B65" w:rsidRPr="00F40823">
        <w:rPr>
          <w:bCs/>
        </w:rPr>
        <w:t>ed</w:t>
      </w:r>
      <w:r w:rsidR="00604711" w:rsidRPr="00F40823">
        <w:rPr>
          <w:bCs/>
        </w:rPr>
        <w:t xml:space="preserve"> </w:t>
      </w:r>
      <w:r w:rsidR="004E1B65" w:rsidRPr="00F40823">
        <w:rPr>
          <w:bCs/>
        </w:rPr>
        <w:t xml:space="preserve">$703 million </w:t>
      </w:r>
      <w:r w:rsidR="004E1B65" w:rsidRPr="00F40823">
        <w:rPr>
          <w:rFonts w:asciiTheme="minorHAnsi" w:hAnsiTheme="minorHAnsi" w:cstheme="minorHAnsi"/>
          <w:bCs/>
        </w:rPr>
        <w:t xml:space="preserve">to </w:t>
      </w:r>
      <w:r w:rsidR="004E1B65" w:rsidRPr="00F40823">
        <w:rPr>
          <w:rFonts w:asciiTheme="minorHAnsi" w:hAnsiTheme="minorHAnsi" w:cstheme="minorHAnsi"/>
          <w:b/>
        </w:rPr>
        <w:t xml:space="preserve">Canada </w:t>
      </w:r>
      <w:r w:rsidR="004E1B65" w:rsidRPr="00F40823">
        <w:rPr>
          <w:rFonts w:asciiTheme="minorHAnsi" w:hAnsiTheme="minorHAnsi" w:cstheme="minorHAnsi"/>
          <w:bCs/>
        </w:rPr>
        <w:t>alone</w:t>
      </w:r>
      <w:r w:rsidR="008620B1" w:rsidRPr="00F40823">
        <w:rPr>
          <w:rFonts w:asciiTheme="minorHAnsi" w:hAnsiTheme="minorHAnsi" w:cstheme="minorHAnsi"/>
          <w:bCs/>
        </w:rPr>
        <w:t>.</w:t>
      </w:r>
      <w:r w:rsidRPr="00F40823">
        <w:rPr>
          <w:rFonts w:asciiTheme="minorHAnsi" w:eastAsiaTheme="majorEastAsia" w:hAnsiTheme="minorHAnsi" w:cstheme="minorHAnsi"/>
          <w:i/>
          <w:iCs/>
        </w:rPr>
        <w:t xml:space="preserve"> </w:t>
      </w:r>
    </w:p>
    <w:p w14:paraId="0D4F19D9" w14:textId="07EBA0C8" w:rsidR="00776A88" w:rsidRPr="00F40823" w:rsidRDefault="00F95855" w:rsidP="00D33E15">
      <w:pPr>
        <w:pStyle w:val="NoSpacing"/>
        <w:numPr>
          <w:ilvl w:val="0"/>
          <w:numId w:val="20"/>
        </w:numPr>
        <w:spacing w:line="269" w:lineRule="auto"/>
        <w:ind w:right="-14"/>
        <w:rPr>
          <w:rFonts w:asciiTheme="minorHAnsi" w:eastAsiaTheme="majorEastAsia" w:hAnsiTheme="minorHAnsi" w:cstheme="minorHAnsi"/>
          <w:i/>
          <w:iCs/>
        </w:rPr>
      </w:pPr>
      <w:r w:rsidRPr="00F40823">
        <w:rPr>
          <w:rFonts w:asciiTheme="minorHAnsi" w:hAnsiTheme="minorHAnsi" w:cstheme="minorHAnsi"/>
          <w:bCs/>
        </w:rPr>
        <w:t>S</w:t>
      </w:r>
      <w:r w:rsidR="003E53EF" w:rsidRPr="00F40823">
        <w:rPr>
          <w:rFonts w:asciiTheme="minorHAnsi" w:hAnsiTheme="minorHAnsi" w:cstheme="minorHAnsi"/>
          <w:bCs/>
        </w:rPr>
        <w:t>ales</w:t>
      </w:r>
      <w:r w:rsidR="009869ED" w:rsidRPr="00F40823">
        <w:rPr>
          <w:rFonts w:asciiTheme="minorHAnsi" w:hAnsiTheme="minorHAnsi" w:cstheme="minorHAnsi"/>
          <w:bCs/>
        </w:rPr>
        <w:t xml:space="preserve"> of </w:t>
      </w:r>
      <w:r w:rsidR="009869ED" w:rsidRPr="00F40823">
        <w:rPr>
          <w:rFonts w:asciiTheme="minorHAnsi" w:eastAsiaTheme="majorEastAsia" w:hAnsiTheme="minorHAnsi" w:cstheme="minorHAnsi"/>
          <w:b/>
          <w:bCs/>
        </w:rPr>
        <w:t>machinery</w:t>
      </w:r>
      <w:r w:rsidR="009869ED" w:rsidRPr="00F40823">
        <w:rPr>
          <w:rFonts w:asciiTheme="minorHAnsi" w:eastAsiaTheme="majorEastAsia" w:hAnsiTheme="minorHAnsi" w:cstheme="minorHAnsi"/>
        </w:rPr>
        <w:t xml:space="preserve"> and </w:t>
      </w:r>
      <w:r w:rsidR="009869ED" w:rsidRPr="00F40823">
        <w:rPr>
          <w:rFonts w:asciiTheme="minorHAnsi" w:eastAsiaTheme="majorEastAsia" w:hAnsiTheme="minorHAnsi" w:cstheme="minorHAnsi"/>
          <w:b/>
          <w:bCs/>
        </w:rPr>
        <w:t>vehicles</w:t>
      </w:r>
      <w:r w:rsidR="009869ED" w:rsidRPr="00F40823">
        <w:rPr>
          <w:rFonts w:asciiTheme="minorHAnsi" w:eastAsiaTheme="majorEastAsia" w:hAnsiTheme="minorHAnsi" w:cstheme="minorHAnsi"/>
        </w:rPr>
        <w:t xml:space="preserve"> struggled</w:t>
      </w:r>
      <w:r w:rsidR="00776A88" w:rsidRPr="00F40823">
        <w:rPr>
          <w:rFonts w:asciiTheme="minorHAnsi" w:eastAsiaTheme="majorEastAsia" w:hAnsiTheme="minorHAnsi" w:cstheme="minorHAnsi"/>
        </w:rPr>
        <w:t xml:space="preserve"> </w:t>
      </w:r>
      <w:r w:rsidR="009869ED" w:rsidRPr="00F40823">
        <w:rPr>
          <w:rFonts w:asciiTheme="minorHAnsi" w:eastAsiaTheme="majorEastAsia" w:hAnsiTheme="minorHAnsi" w:cstheme="minorHAnsi"/>
        </w:rPr>
        <w:t xml:space="preserve">in </w:t>
      </w:r>
      <w:r w:rsidR="009869ED" w:rsidRPr="00F40823">
        <w:rPr>
          <w:rFonts w:asciiTheme="minorHAnsi" w:eastAsiaTheme="majorEastAsia" w:hAnsiTheme="minorHAnsi" w:cstheme="minorHAnsi"/>
          <w:b/>
          <w:bCs/>
        </w:rPr>
        <w:t>North America</w:t>
      </w:r>
      <w:r w:rsidR="009869ED" w:rsidRPr="00F40823">
        <w:rPr>
          <w:rFonts w:asciiTheme="minorHAnsi" w:eastAsiaTheme="majorEastAsia" w:hAnsiTheme="minorHAnsi" w:cstheme="minorHAnsi"/>
        </w:rPr>
        <w:t xml:space="preserve"> and </w:t>
      </w:r>
      <w:r w:rsidR="009869ED" w:rsidRPr="00F40823">
        <w:rPr>
          <w:rFonts w:asciiTheme="minorHAnsi" w:eastAsiaTheme="majorEastAsia" w:hAnsiTheme="minorHAnsi" w:cstheme="minorHAnsi"/>
          <w:b/>
          <w:bCs/>
        </w:rPr>
        <w:t>China</w:t>
      </w:r>
      <w:r w:rsidR="009869ED" w:rsidRPr="00F40823">
        <w:rPr>
          <w:rFonts w:asciiTheme="minorHAnsi" w:eastAsiaTheme="majorEastAsia" w:hAnsiTheme="minorHAnsi" w:cstheme="minorHAnsi"/>
        </w:rPr>
        <w:t>.</w:t>
      </w:r>
      <w:r w:rsidRPr="00F40823">
        <w:rPr>
          <w:rFonts w:asciiTheme="minorHAnsi" w:eastAsiaTheme="majorEastAsia" w:hAnsiTheme="minorHAnsi" w:cstheme="minorHAnsi"/>
        </w:rPr>
        <w:t xml:space="preserve"> </w:t>
      </w:r>
      <w:r w:rsidR="00AC4CA0" w:rsidRPr="00F40823">
        <w:rPr>
          <w:rFonts w:asciiTheme="minorHAnsi" w:eastAsiaTheme="majorEastAsia" w:hAnsiTheme="minorHAnsi" w:cstheme="minorHAnsi"/>
        </w:rPr>
        <w:t>Segments</w:t>
      </w:r>
      <w:r w:rsidR="00774B00" w:rsidRPr="00F40823">
        <w:rPr>
          <w:rFonts w:asciiTheme="minorHAnsi" w:eastAsiaTheme="majorEastAsia" w:hAnsiTheme="minorHAnsi" w:cstheme="minorHAnsi"/>
        </w:rPr>
        <w:t xml:space="preserve"> </w:t>
      </w:r>
      <w:r w:rsidR="00AC4CA0" w:rsidRPr="00F40823">
        <w:rPr>
          <w:rFonts w:asciiTheme="minorHAnsi" w:eastAsiaTheme="majorEastAsia" w:hAnsiTheme="minorHAnsi" w:cstheme="minorHAnsi"/>
        </w:rPr>
        <w:t>such as</w:t>
      </w:r>
      <w:r w:rsidRPr="00F40823">
        <w:rPr>
          <w:rFonts w:asciiTheme="minorHAnsi" w:eastAsiaTheme="majorEastAsia" w:hAnsiTheme="minorHAnsi" w:cstheme="minorHAnsi"/>
        </w:rPr>
        <w:t xml:space="preserve"> </w:t>
      </w:r>
      <w:r w:rsidRPr="00F40823">
        <w:rPr>
          <w:rFonts w:asciiTheme="minorHAnsi" w:eastAsiaTheme="majorEastAsia" w:hAnsiTheme="minorHAnsi" w:cstheme="minorHAnsi"/>
          <w:b/>
          <w:bCs/>
        </w:rPr>
        <w:t>vehicle</w:t>
      </w:r>
      <w:r w:rsidRPr="00F40823">
        <w:rPr>
          <w:rFonts w:asciiTheme="minorHAnsi" w:eastAsiaTheme="majorEastAsia" w:hAnsiTheme="minorHAnsi" w:cstheme="minorHAnsi"/>
        </w:rPr>
        <w:t xml:space="preserve"> </w:t>
      </w:r>
      <w:r w:rsidR="00AC4CA0" w:rsidRPr="00F40823">
        <w:rPr>
          <w:rFonts w:asciiTheme="minorHAnsi" w:eastAsiaTheme="majorEastAsia" w:hAnsiTheme="minorHAnsi" w:cstheme="minorHAnsi"/>
        </w:rPr>
        <w:t>and</w:t>
      </w:r>
      <w:r w:rsidR="00AC4CA0" w:rsidRPr="00F40823">
        <w:rPr>
          <w:rFonts w:asciiTheme="minorHAnsi" w:eastAsiaTheme="majorEastAsia" w:hAnsiTheme="minorHAnsi" w:cstheme="minorHAnsi"/>
          <w:b/>
          <w:bCs/>
        </w:rPr>
        <w:t xml:space="preserve"> engine </w:t>
      </w:r>
      <w:r w:rsidRPr="00F40823">
        <w:rPr>
          <w:rFonts w:asciiTheme="minorHAnsi" w:eastAsiaTheme="majorEastAsia" w:hAnsiTheme="minorHAnsi" w:cstheme="minorHAnsi"/>
          <w:b/>
          <w:bCs/>
        </w:rPr>
        <w:t>parts</w:t>
      </w:r>
      <w:r w:rsidR="00AC4CA0" w:rsidRPr="00F40823">
        <w:rPr>
          <w:rFonts w:asciiTheme="minorHAnsi" w:eastAsiaTheme="majorEastAsia" w:hAnsiTheme="minorHAnsi" w:cstheme="minorHAnsi"/>
          <w:b/>
          <w:bCs/>
        </w:rPr>
        <w:t>;</w:t>
      </w:r>
      <w:r w:rsidRPr="00F40823">
        <w:rPr>
          <w:rFonts w:asciiTheme="minorHAnsi" w:eastAsiaTheme="majorEastAsia" w:hAnsiTheme="minorHAnsi" w:cstheme="minorHAnsi"/>
          <w:b/>
          <w:bCs/>
        </w:rPr>
        <w:t xml:space="preserve"> </w:t>
      </w:r>
      <w:r w:rsidR="00AC4CA0" w:rsidRPr="00F40823">
        <w:rPr>
          <w:rFonts w:asciiTheme="minorHAnsi" w:eastAsiaTheme="majorEastAsia" w:hAnsiTheme="minorHAnsi" w:cstheme="minorHAnsi"/>
          <w:b/>
          <w:bCs/>
        </w:rPr>
        <w:t xml:space="preserve">special purpose </w:t>
      </w:r>
      <w:r w:rsidR="00AC4CA0" w:rsidRPr="00F40823">
        <w:rPr>
          <w:rFonts w:asciiTheme="minorHAnsi" w:eastAsiaTheme="majorEastAsia" w:hAnsiTheme="minorHAnsi" w:cstheme="minorHAnsi"/>
        </w:rPr>
        <w:t>and</w:t>
      </w:r>
      <w:r w:rsidR="00AC4CA0" w:rsidRPr="00F40823">
        <w:rPr>
          <w:rFonts w:asciiTheme="minorHAnsi" w:eastAsiaTheme="majorEastAsia" w:hAnsiTheme="minorHAnsi" w:cstheme="minorHAnsi"/>
          <w:b/>
          <w:bCs/>
        </w:rPr>
        <w:t xml:space="preserve"> passenger vehicles; centrifuges and filters; </w:t>
      </w:r>
      <w:r w:rsidR="00AC4CA0" w:rsidRPr="00F40823">
        <w:rPr>
          <w:rFonts w:asciiTheme="minorHAnsi" w:eastAsiaTheme="majorEastAsia" w:hAnsiTheme="minorHAnsi" w:cstheme="minorHAnsi"/>
        </w:rPr>
        <w:t>and</w:t>
      </w:r>
      <w:r w:rsidR="00AC4CA0" w:rsidRPr="00F40823">
        <w:rPr>
          <w:rFonts w:asciiTheme="minorHAnsi" w:eastAsiaTheme="majorEastAsia" w:hAnsiTheme="minorHAnsi" w:cstheme="minorHAnsi"/>
          <w:b/>
          <w:bCs/>
        </w:rPr>
        <w:t xml:space="preserve"> computers </w:t>
      </w:r>
      <w:r w:rsidR="00774B00" w:rsidRPr="00F40823">
        <w:rPr>
          <w:rFonts w:asciiTheme="minorHAnsi" w:eastAsiaTheme="majorEastAsia" w:hAnsiTheme="minorHAnsi" w:cstheme="minorHAnsi"/>
        </w:rPr>
        <w:t>fell the most.</w:t>
      </w:r>
      <w:r w:rsidRPr="00F40823">
        <w:rPr>
          <w:rFonts w:asciiTheme="minorHAnsi" w:eastAsiaTheme="majorEastAsia" w:hAnsiTheme="minorHAnsi" w:cstheme="minorHAnsi"/>
        </w:rPr>
        <w:t xml:space="preserve"> </w:t>
      </w:r>
    </w:p>
    <w:p w14:paraId="09DD1199" w14:textId="42A2A586" w:rsidR="00F95855" w:rsidRPr="00F40823" w:rsidRDefault="00D33E15" w:rsidP="00027BEA">
      <w:pPr>
        <w:pStyle w:val="NoSpacing"/>
        <w:numPr>
          <w:ilvl w:val="0"/>
          <w:numId w:val="20"/>
        </w:numPr>
        <w:spacing w:line="269" w:lineRule="auto"/>
        <w:ind w:right="-14"/>
        <w:rPr>
          <w:rFonts w:asciiTheme="minorHAnsi" w:eastAsiaTheme="majorEastAsia" w:hAnsiTheme="minorHAnsi" w:cstheme="minorHAnsi"/>
          <w:i/>
          <w:iCs/>
        </w:rPr>
      </w:pPr>
      <w:r w:rsidRPr="00F40823">
        <w:t>While</w:t>
      </w:r>
      <w:r w:rsidR="00AC4CA0" w:rsidRPr="00F40823">
        <w:t xml:space="preserve"> exports of</w:t>
      </w:r>
      <w:r w:rsidRPr="00F40823">
        <w:t xml:space="preserve"> </w:t>
      </w:r>
      <w:r w:rsidR="005413B8" w:rsidRPr="00F40823">
        <w:rPr>
          <w:b/>
          <w:bCs/>
        </w:rPr>
        <w:t>optic</w:t>
      </w:r>
      <w:r w:rsidR="00AC4CA0" w:rsidRPr="00F40823">
        <w:rPr>
          <w:b/>
          <w:bCs/>
        </w:rPr>
        <w:t>,</w:t>
      </w:r>
      <w:r w:rsidR="005413B8" w:rsidRPr="00F40823">
        <w:rPr>
          <w:b/>
          <w:bCs/>
        </w:rPr>
        <w:t xml:space="preserve"> medical</w:t>
      </w:r>
      <w:r w:rsidR="005413B8" w:rsidRPr="00F40823">
        <w:t xml:space="preserve"> </w:t>
      </w:r>
      <w:r w:rsidR="00AC4CA0" w:rsidRPr="00F40823">
        <w:t>good</w:t>
      </w:r>
      <w:r w:rsidRPr="00F40823">
        <w:t>s declined to</w:t>
      </w:r>
      <w:r w:rsidR="007B191B">
        <w:t xml:space="preserve"> markets in</w:t>
      </w:r>
      <w:r w:rsidR="005413B8" w:rsidRPr="00F40823">
        <w:t xml:space="preserve"> </w:t>
      </w:r>
      <w:r w:rsidR="005413B8" w:rsidRPr="00F40823">
        <w:rPr>
          <w:b/>
          <w:bCs/>
        </w:rPr>
        <w:t>Asia</w:t>
      </w:r>
      <w:r w:rsidR="005413B8" w:rsidRPr="00F40823">
        <w:t xml:space="preserve"> and </w:t>
      </w:r>
      <w:r w:rsidR="005413B8" w:rsidRPr="00F40823">
        <w:rPr>
          <w:b/>
          <w:bCs/>
        </w:rPr>
        <w:t>North America</w:t>
      </w:r>
      <w:r w:rsidRPr="00F40823">
        <w:t xml:space="preserve">, they rallied and </w:t>
      </w:r>
      <w:r w:rsidR="005413B8" w:rsidRPr="00F40823">
        <w:t>strong</w:t>
      </w:r>
      <w:r w:rsidRPr="00F40823">
        <w:t>ly</w:t>
      </w:r>
      <w:r w:rsidR="005413B8" w:rsidRPr="00F40823">
        <w:t xml:space="preserve"> expanded in</w:t>
      </w:r>
      <w:r w:rsidR="00D023A7" w:rsidRPr="00F40823">
        <w:t xml:space="preserve"> multiple</w:t>
      </w:r>
      <w:r w:rsidR="005413B8" w:rsidRPr="00F40823">
        <w:t xml:space="preserve"> </w:t>
      </w:r>
      <w:r w:rsidR="005413B8" w:rsidRPr="00F40823">
        <w:rPr>
          <w:b/>
          <w:bCs/>
        </w:rPr>
        <w:t>Europe</w:t>
      </w:r>
      <w:r w:rsidRPr="00F40823">
        <w:rPr>
          <w:b/>
          <w:bCs/>
        </w:rPr>
        <w:t>an markets</w:t>
      </w:r>
      <w:r w:rsidR="00D023A7" w:rsidRPr="00F40823">
        <w:t xml:space="preserve">, </w:t>
      </w:r>
      <w:r w:rsidR="005413B8" w:rsidRPr="00F40823">
        <w:t>in</w:t>
      </w:r>
      <w:r w:rsidR="00D023A7" w:rsidRPr="00F40823">
        <w:t>cluding</w:t>
      </w:r>
      <w:r w:rsidR="005413B8" w:rsidRPr="00F40823">
        <w:t xml:space="preserve"> </w:t>
      </w:r>
      <w:r w:rsidR="005413B8" w:rsidRPr="00F40823">
        <w:rPr>
          <w:b/>
          <w:bCs/>
        </w:rPr>
        <w:t>Germany</w:t>
      </w:r>
      <w:r w:rsidR="005413B8" w:rsidRPr="00F40823">
        <w:t xml:space="preserve"> (up 22%)</w:t>
      </w:r>
      <w:r w:rsidR="00AC4CA0" w:rsidRPr="00F40823">
        <w:t xml:space="preserve"> and</w:t>
      </w:r>
      <w:r w:rsidR="005413B8" w:rsidRPr="00F40823">
        <w:t xml:space="preserve"> </w:t>
      </w:r>
      <w:r w:rsidR="005413B8" w:rsidRPr="00F40823">
        <w:rPr>
          <w:b/>
          <w:bCs/>
        </w:rPr>
        <w:t>Switzerland</w:t>
      </w:r>
      <w:r w:rsidR="005413B8" w:rsidRPr="00F40823">
        <w:t xml:space="preserve"> (up 68%)</w:t>
      </w:r>
      <w:r w:rsidR="005413B8" w:rsidRPr="00F40823">
        <w:rPr>
          <w:bCs/>
        </w:rPr>
        <w:t>.</w:t>
      </w:r>
    </w:p>
    <w:p w14:paraId="66D5A871" w14:textId="32B314B8" w:rsidR="00AC4CA0" w:rsidRPr="00F40823" w:rsidRDefault="00AC4CA0" w:rsidP="00AC4CA0">
      <w:pPr>
        <w:pStyle w:val="NoSpacing"/>
        <w:numPr>
          <w:ilvl w:val="0"/>
          <w:numId w:val="20"/>
        </w:numPr>
        <w:spacing w:line="269" w:lineRule="auto"/>
        <w:ind w:right="-14"/>
        <w:rPr>
          <w:rFonts w:asciiTheme="minorHAnsi" w:eastAsiaTheme="majorEastAsia" w:hAnsiTheme="minorHAnsi" w:cstheme="minorHAnsi"/>
          <w:i/>
          <w:iCs/>
        </w:rPr>
      </w:pPr>
      <w:r w:rsidRPr="00F40823">
        <w:rPr>
          <w:rFonts w:asciiTheme="minorHAnsi" w:eastAsiaTheme="majorEastAsia" w:hAnsiTheme="minorHAnsi" w:cstheme="minorHAnsi"/>
        </w:rPr>
        <w:t xml:space="preserve">The </w:t>
      </w:r>
      <w:r w:rsidR="00027BEA" w:rsidRPr="00F40823">
        <w:rPr>
          <w:rFonts w:asciiTheme="minorHAnsi" w:eastAsiaTheme="majorEastAsia" w:hAnsiTheme="minorHAnsi" w:cstheme="minorHAnsi"/>
        </w:rPr>
        <w:t>steep decline</w:t>
      </w:r>
      <w:r w:rsidRPr="00F40823">
        <w:rPr>
          <w:rFonts w:asciiTheme="minorHAnsi" w:eastAsiaTheme="majorEastAsia" w:hAnsiTheme="minorHAnsi" w:cstheme="minorHAnsi"/>
        </w:rPr>
        <w:t xml:space="preserve"> in </w:t>
      </w:r>
      <w:r w:rsidR="00027BEA" w:rsidRPr="00F40823">
        <w:rPr>
          <w:rFonts w:asciiTheme="minorHAnsi" w:eastAsiaTheme="majorEastAsia" w:hAnsiTheme="minorHAnsi" w:cstheme="minorHAnsi"/>
          <w:b/>
          <w:bCs/>
        </w:rPr>
        <w:t xml:space="preserve">stone, plaster, cement </w:t>
      </w:r>
      <w:r w:rsidR="00027BEA" w:rsidRPr="00F40823">
        <w:rPr>
          <w:rFonts w:asciiTheme="minorHAnsi" w:eastAsiaTheme="majorEastAsia" w:hAnsiTheme="minorHAnsi" w:cstheme="minorHAnsi"/>
        </w:rPr>
        <w:t>exports</w:t>
      </w:r>
      <w:r w:rsidRPr="00F40823">
        <w:rPr>
          <w:rFonts w:asciiTheme="minorHAnsi" w:eastAsiaTheme="majorEastAsia" w:hAnsiTheme="minorHAnsi" w:cstheme="minorHAnsi"/>
          <w:b/>
          <w:bCs/>
        </w:rPr>
        <w:t xml:space="preserve"> </w:t>
      </w:r>
      <w:r w:rsidRPr="00F40823">
        <w:rPr>
          <w:rFonts w:asciiTheme="minorHAnsi" w:eastAsiaTheme="majorEastAsia" w:hAnsiTheme="minorHAnsi" w:cstheme="minorHAnsi"/>
        </w:rPr>
        <w:t>was triggered</w:t>
      </w:r>
      <w:r w:rsidR="00027BEA" w:rsidRPr="00F40823">
        <w:rPr>
          <w:rFonts w:asciiTheme="minorHAnsi" w:eastAsiaTheme="majorEastAsia" w:hAnsiTheme="minorHAnsi" w:cstheme="minorHAnsi"/>
        </w:rPr>
        <w:t xml:space="preserve"> by </w:t>
      </w:r>
      <w:r w:rsidR="00027BEA" w:rsidRPr="00F40823">
        <w:rPr>
          <w:rFonts w:asciiTheme="minorHAnsi" w:eastAsiaTheme="majorEastAsia" w:hAnsiTheme="minorHAnsi" w:cstheme="minorHAnsi"/>
          <w:b/>
          <w:bCs/>
        </w:rPr>
        <w:t>abrasive products</w:t>
      </w:r>
      <w:r w:rsidR="00027BEA" w:rsidRPr="00F40823">
        <w:rPr>
          <w:rFonts w:asciiTheme="minorHAnsi" w:eastAsiaTheme="majorEastAsia" w:hAnsiTheme="minorHAnsi" w:cstheme="minorHAnsi"/>
        </w:rPr>
        <w:t xml:space="preserve"> (down $33 million).</w:t>
      </w:r>
    </w:p>
    <w:p w14:paraId="147D0C11" w14:textId="77777777" w:rsidR="00D33E15" w:rsidRPr="00F40823" w:rsidRDefault="00D33E15" w:rsidP="003E53EF">
      <w:pPr>
        <w:pStyle w:val="NoSpacing"/>
        <w:numPr>
          <w:ilvl w:val="0"/>
          <w:numId w:val="20"/>
        </w:numPr>
        <w:tabs>
          <w:tab w:val="left" w:pos="3330"/>
        </w:tabs>
        <w:spacing w:line="269" w:lineRule="auto"/>
        <w:ind w:right="54"/>
        <w:sectPr w:rsidR="00D33E15" w:rsidRPr="00F40823" w:rsidSect="00FE15EB">
          <w:footnotePr>
            <w:numRestart w:val="eachSect"/>
          </w:footnotePr>
          <w:endnotePr>
            <w:numFmt w:val="decimal"/>
          </w:endnotePr>
          <w:type w:val="continuous"/>
          <w:pgSz w:w="12240" w:h="15840" w:code="1"/>
          <w:pgMar w:top="864" w:right="1008" w:bottom="864" w:left="1008" w:header="720" w:footer="720" w:gutter="0"/>
          <w:cols w:space="720"/>
          <w:titlePg/>
          <w:docGrid w:linePitch="299"/>
        </w:sectPr>
      </w:pPr>
    </w:p>
    <w:p w14:paraId="29DD6AC9" w14:textId="698837E2" w:rsidR="00D33E15" w:rsidRPr="00F40823" w:rsidRDefault="00490110" w:rsidP="00D33E15">
      <w:pPr>
        <w:pStyle w:val="NoSpacing"/>
        <w:numPr>
          <w:ilvl w:val="0"/>
          <w:numId w:val="20"/>
        </w:numPr>
        <w:tabs>
          <w:tab w:val="left" w:pos="3330"/>
        </w:tabs>
        <w:spacing w:line="269" w:lineRule="auto"/>
        <w:ind w:right="54"/>
      </w:pPr>
      <w:r w:rsidRPr="00F40823">
        <w:rPr>
          <w:bCs/>
        </w:rPr>
        <w:t xml:space="preserve">On the bright side, </w:t>
      </w:r>
      <w:r w:rsidR="00D33E15" w:rsidRPr="00F40823">
        <w:rPr>
          <w:b/>
        </w:rPr>
        <w:t>electrical equipment; pharmaceuticals;</w:t>
      </w:r>
      <w:r w:rsidR="00D33E15" w:rsidRPr="00F40823">
        <w:rPr>
          <w:bCs/>
        </w:rPr>
        <w:t xml:space="preserve"> </w:t>
      </w:r>
      <w:r w:rsidR="00D33E15" w:rsidRPr="00F40823">
        <w:rPr>
          <w:b/>
        </w:rPr>
        <w:t>dairy, eggs, honey</w:t>
      </w:r>
      <w:r w:rsidR="00D33E15" w:rsidRPr="00F40823">
        <w:rPr>
          <w:bCs/>
        </w:rPr>
        <w:t xml:space="preserve">; </w:t>
      </w:r>
      <w:r w:rsidR="00D33E15" w:rsidRPr="00F40823">
        <w:rPr>
          <w:b/>
        </w:rPr>
        <w:t xml:space="preserve">albumin, starch, glue; </w:t>
      </w:r>
      <w:r w:rsidR="00D33E15" w:rsidRPr="00F40823">
        <w:rPr>
          <w:bCs/>
        </w:rPr>
        <w:t xml:space="preserve">and </w:t>
      </w:r>
      <w:r w:rsidR="00D33E15" w:rsidRPr="00F40823">
        <w:rPr>
          <w:b/>
        </w:rPr>
        <w:t>oil seeds, misc. grain</w:t>
      </w:r>
      <w:r w:rsidRPr="00F40823">
        <w:rPr>
          <w:bCs/>
        </w:rPr>
        <w:t xml:space="preserve"> turned in strong performances.</w:t>
      </w:r>
    </w:p>
    <w:p w14:paraId="108BF060" w14:textId="45214563" w:rsidR="00D33E15" w:rsidRPr="00F40823" w:rsidRDefault="00604711" w:rsidP="00D33E15">
      <w:pPr>
        <w:pStyle w:val="NoSpacing"/>
        <w:numPr>
          <w:ilvl w:val="0"/>
          <w:numId w:val="20"/>
        </w:numPr>
        <w:tabs>
          <w:tab w:val="left" w:pos="3330"/>
        </w:tabs>
        <w:spacing w:line="269" w:lineRule="auto"/>
        <w:ind w:right="54"/>
      </w:pPr>
      <w:r w:rsidRPr="00F40823">
        <w:t>Diversified</w:t>
      </w:r>
      <w:r w:rsidR="003E53EF" w:rsidRPr="00F40823">
        <w:t xml:space="preserve"> markets</w:t>
      </w:r>
      <w:r w:rsidRPr="00F40823">
        <w:t xml:space="preserve"> for </w:t>
      </w:r>
      <w:r w:rsidRPr="00F40823">
        <w:rPr>
          <w:b/>
          <w:bCs/>
        </w:rPr>
        <w:t>electrical equipment</w:t>
      </w:r>
      <w:r w:rsidR="003E53EF" w:rsidRPr="00F40823">
        <w:t xml:space="preserve"> </w:t>
      </w:r>
      <w:r w:rsidR="00D023A7" w:rsidRPr="00F40823">
        <w:t>spurred export growth. They included</w:t>
      </w:r>
      <w:r w:rsidR="003E53EF" w:rsidRPr="00F40823">
        <w:t xml:space="preserve"> the </w:t>
      </w:r>
      <w:r w:rsidR="003E53EF" w:rsidRPr="00F40823">
        <w:rPr>
          <w:b/>
          <w:bCs/>
        </w:rPr>
        <w:t>U.K.</w:t>
      </w:r>
      <w:r w:rsidR="003E53EF" w:rsidRPr="00F40823">
        <w:t xml:space="preserve"> (up 132%) and</w:t>
      </w:r>
      <w:r w:rsidR="003E53EF" w:rsidRPr="00F40823">
        <w:rPr>
          <w:b/>
          <w:bCs/>
        </w:rPr>
        <w:t xml:space="preserve"> Ireland</w:t>
      </w:r>
      <w:r w:rsidR="003E53EF" w:rsidRPr="00F40823">
        <w:t xml:space="preserve"> (up 44%) in Europe; </w:t>
      </w:r>
      <w:r w:rsidR="003E53EF" w:rsidRPr="00F40823">
        <w:rPr>
          <w:b/>
          <w:bCs/>
        </w:rPr>
        <w:t>Singapore</w:t>
      </w:r>
      <w:r w:rsidR="003E53EF" w:rsidRPr="00F40823">
        <w:t xml:space="preserve"> (up 92%)</w:t>
      </w:r>
      <w:r w:rsidR="00D023A7" w:rsidRPr="00F40823">
        <w:t xml:space="preserve"> and</w:t>
      </w:r>
      <w:r w:rsidR="003E53EF" w:rsidRPr="00F40823">
        <w:t xml:space="preserve"> </w:t>
      </w:r>
      <w:r w:rsidR="003E53EF" w:rsidRPr="00F40823">
        <w:rPr>
          <w:b/>
          <w:bCs/>
        </w:rPr>
        <w:t>Korea</w:t>
      </w:r>
      <w:r w:rsidR="003E53EF" w:rsidRPr="00F40823">
        <w:t xml:space="preserve"> (up 82%) in Asia; and </w:t>
      </w:r>
      <w:r w:rsidR="003E53EF" w:rsidRPr="00F40823">
        <w:rPr>
          <w:b/>
          <w:bCs/>
        </w:rPr>
        <w:t>Brazil</w:t>
      </w:r>
      <w:r w:rsidR="003E53EF" w:rsidRPr="00F40823">
        <w:t xml:space="preserve"> (up 167%)</w:t>
      </w:r>
      <w:r w:rsidR="003E53EF" w:rsidRPr="00F40823">
        <w:rPr>
          <w:b/>
          <w:bCs/>
        </w:rPr>
        <w:t>. Electric generators</w:t>
      </w:r>
      <w:r w:rsidR="003E53EF" w:rsidRPr="00F40823">
        <w:rPr>
          <w:bCs/>
        </w:rPr>
        <w:t xml:space="preserve"> (up 38%)</w:t>
      </w:r>
      <w:r w:rsidR="00D023A7" w:rsidRPr="00F40823">
        <w:rPr>
          <w:bCs/>
        </w:rPr>
        <w:t>,</w:t>
      </w:r>
      <w:r w:rsidR="003E53EF" w:rsidRPr="00F40823">
        <w:rPr>
          <w:bCs/>
        </w:rPr>
        <w:t xml:space="preserve"> </w:t>
      </w:r>
      <w:r w:rsidR="003E53EF" w:rsidRPr="00F40823">
        <w:rPr>
          <w:b/>
        </w:rPr>
        <w:t>batteries</w:t>
      </w:r>
      <w:r w:rsidR="003E53EF" w:rsidRPr="00F40823">
        <w:rPr>
          <w:bCs/>
        </w:rPr>
        <w:t xml:space="preserve"> (up 34%) </w:t>
      </w:r>
      <w:r w:rsidR="00D023A7" w:rsidRPr="00F40823">
        <w:rPr>
          <w:bCs/>
        </w:rPr>
        <w:t xml:space="preserve">and </w:t>
      </w:r>
      <w:r w:rsidR="00D023A7" w:rsidRPr="00F40823">
        <w:rPr>
          <w:b/>
        </w:rPr>
        <w:t>insulated wires, cables</w:t>
      </w:r>
      <w:r w:rsidR="00D023A7" w:rsidRPr="00F40823">
        <w:rPr>
          <w:bCs/>
        </w:rPr>
        <w:t xml:space="preserve"> (up 14%) </w:t>
      </w:r>
      <w:r w:rsidR="003E53EF" w:rsidRPr="00F40823">
        <w:rPr>
          <w:bCs/>
        </w:rPr>
        <w:t>jumped the most</w:t>
      </w:r>
      <w:r w:rsidR="00D023A7" w:rsidRPr="00F40823">
        <w:rPr>
          <w:bCs/>
        </w:rPr>
        <w:t xml:space="preserve"> in value</w:t>
      </w:r>
      <w:r w:rsidR="003E53EF" w:rsidRPr="00F40823">
        <w:rPr>
          <w:bCs/>
        </w:rPr>
        <w:t>.</w:t>
      </w:r>
    </w:p>
    <w:p w14:paraId="047453D4" w14:textId="2D577E10" w:rsidR="00D33E15" w:rsidRPr="00F40823" w:rsidRDefault="00D33E15" w:rsidP="00D33E15">
      <w:pPr>
        <w:pStyle w:val="NoSpacing"/>
        <w:tabs>
          <w:tab w:val="left" w:pos="3330"/>
        </w:tabs>
        <w:spacing w:before="120" w:line="269" w:lineRule="auto"/>
        <w:ind w:right="54"/>
        <w:rPr>
          <w:rStyle w:val="Heading4Char"/>
          <w:rFonts w:ascii="Calibri" w:eastAsiaTheme="minorHAnsi" w:hAnsi="Calibri" w:cstheme="minorBidi"/>
          <w:i w:val="0"/>
          <w:iCs w:val="0"/>
          <w:sz w:val="22"/>
        </w:rPr>
      </w:pPr>
      <w:r w:rsidRPr="00F40823">
        <w:rPr>
          <w:rStyle w:val="Heading4Char"/>
          <w:szCs w:val="24"/>
        </w:rPr>
        <w:t xml:space="preserve">Figure </w:t>
      </w:r>
      <w:r w:rsidRPr="00F40823">
        <w:rPr>
          <w:rStyle w:val="Heading4Char"/>
          <w:szCs w:val="24"/>
        </w:rPr>
        <w:fldChar w:fldCharType="begin"/>
      </w:r>
      <w:r w:rsidRPr="00F40823">
        <w:rPr>
          <w:rStyle w:val="Heading4Char"/>
          <w:szCs w:val="24"/>
        </w:rPr>
        <w:instrText xml:space="preserve"> SEQ Figure \* ARABIC </w:instrText>
      </w:r>
      <w:r w:rsidRPr="00F40823">
        <w:rPr>
          <w:rStyle w:val="Heading4Char"/>
          <w:szCs w:val="24"/>
        </w:rPr>
        <w:fldChar w:fldCharType="separate"/>
      </w:r>
      <w:r w:rsidRPr="00F40823">
        <w:rPr>
          <w:rStyle w:val="Heading4Char"/>
          <w:szCs w:val="24"/>
        </w:rPr>
        <w:t>3</w:t>
      </w:r>
      <w:r w:rsidRPr="00F40823">
        <w:rPr>
          <w:rStyle w:val="Heading4Char"/>
          <w:szCs w:val="24"/>
        </w:rPr>
        <w:fldChar w:fldCharType="end"/>
      </w:r>
      <w:r w:rsidRPr="00F40823">
        <w:rPr>
          <w:rStyle w:val="Heading4Char"/>
          <w:szCs w:val="24"/>
        </w:rPr>
        <w:t>. Electrical Equipment Exports</w:t>
      </w:r>
    </w:p>
    <w:p w14:paraId="3DBC862D" w14:textId="6C55B44C" w:rsidR="00D33E15" w:rsidRPr="00F40823" w:rsidRDefault="00D33E15" w:rsidP="007E29BA">
      <w:pPr>
        <w:tabs>
          <w:tab w:val="left" w:pos="3330"/>
        </w:tabs>
        <w:spacing w:line="269" w:lineRule="auto"/>
        <w:ind w:right="54"/>
      </w:pPr>
      <w:r w:rsidRPr="00F40823">
        <w:rPr>
          <w:noProof/>
          <w:shd w:val="clear" w:color="auto" w:fill="E6E6E6"/>
        </w:rPr>
        <w:drawing>
          <wp:inline distT="0" distB="0" distL="0" distR="0" wp14:anchorId="35191F84" wp14:editId="74FEA294">
            <wp:extent cx="2933700" cy="1752600"/>
            <wp:effectExtent l="0" t="0" r="0" b="0"/>
            <wp:docPr id="52543106" name="Chart 52543106" descr="pie chart&#10;MN exports of Electrical equipment products&#10;Product and export share&#10;Integrated circuits 21%&#10;Electric generators 11%&#10;Switches 7%&#10;Insulated wire, cable 7%&#10;Telecomm. equip. 7%&#10;Other 47%&#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C44919D" w14:textId="77777777" w:rsidR="00D33E15" w:rsidRPr="00F40823" w:rsidRDefault="00D33E15" w:rsidP="00D33E15">
      <w:pPr>
        <w:pStyle w:val="NoSpacing"/>
        <w:tabs>
          <w:tab w:val="left" w:pos="3330"/>
        </w:tabs>
        <w:spacing w:before="100" w:beforeAutospacing="1" w:line="269" w:lineRule="auto"/>
        <w:ind w:right="54"/>
        <w:sectPr w:rsidR="00D33E15" w:rsidRPr="00F40823" w:rsidSect="00D33E15">
          <w:footnotePr>
            <w:numRestart w:val="eachSect"/>
          </w:footnotePr>
          <w:endnotePr>
            <w:numFmt w:val="decimal"/>
          </w:endnotePr>
          <w:type w:val="continuous"/>
          <w:pgSz w:w="12240" w:h="15840" w:code="1"/>
          <w:pgMar w:top="864" w:right="1008" w:bottom="864" w:left="1008" w:header="720" w:footer="720" w:gutter="0"/>
          <w:cols w:num="2" w:space="720"/>
          <w:titlePg/>
          <w:docGrid w:linePitch="299"/>
        </w:sectPr>
      </w:pPr>
    </w:p>
    <w:p w14:paraId="675BB670" w14:textId="7E138CD4" w:rsidR="00024A13" w:rsidRPr="00F40823" w:rsidRDefault="00024A13" w:rsidP="007B191B">
      <w:pPr>
        <w:pStyle w:val="NoSpacing"/>
        <w:numPr>
          <w:ilvl w:val="0"/>
          <w:numId w:val="20"/>
        </w:numPr>
        <w:tabs>
          <w:tab w:val="left" w:pos="3330"/>
        </w:tabs>
        <w:spacing w:line="269" w:lineRule="auto"/>
        <w:ind w:right="54"/>
      </w:pPr>
      <w:r w:rsidRPr="00F40823">
        <w:t xml:space="preserve">Robust </w:t>
      </w:r>
      <w:r w:rsidR="00D023A7" w:rsidRPr="00F40823">
        <w:t xml:space="preserve">export </w:t>
      </w:r>
      <w:r w:rsidRPr="00F40823">
        <w:t xml:space="preserve">growth in </w:t>
      </w:r>
      <w:r w:rsidRPr="00F40823">
        <w:rPr>
          <w:b/>
          <w:bCs/>
        </w:rPr>
        <w:t>pharmaceuticals</w:t>
      </w:r>
      <w:r w:rsidRPr="00F40823">
        <w:t xml:space="preserve"> </w:t>
      </w:r>
      <w:r w:rsidRPr="00F40823">
        <w:rPr>
          <w:bCs/>
        </w:rPr>
        <w:t>($78 million, up 41%)</w:t>
      </w:r>
      <w:r w:rsidR="00850449" w:rsidRPr="00F40823">
        <w:rPr>
          <w:bCs/>
        </w:rPr>
        <w:t xml:space="preserve"> was</w:t>
      </w:r>
      <w:r w:rsidR="00D023A7" w:rsidRPr="00F40823">
        <w:rPr>
          <w:bCs/>
        </w:rPr>
        <w:t xml:space="preserve"> fueled</w:t>
      </w:r>
      <w:r w:rsidR="00E005AF" w:rsidRPr="00F40823">
        <w:rPr>
          <w:bCs/>
        </w:rPr>
        <w:t xml:space="preserve"> </w:t>
      </w:r>
      <w:r w:rsidR="00D023A7" w:rsidRPr="00F40823">
        <w:rPr>
          <w:bCs/>
        </w:rPr>
        <w:t>by</w:t>
      </w:r>
      <w:r w:rsidR="00E005AF" w:rsidRPr="00F40823">
        <w:rPr>
          <w:bCs/>
        </w:rPr>
        <w:t xml:space="preserve"> </w:t>
      </w:r>
      <w:r w:rsidR="00850449" w:rsidRPr="00F40823">
        <w:rPr>
          <w:b/>
          <w:bCs/>
        </w:rPr>
        <w:t>i</w:t>
      </w:r>
      <w:r w:rsidRPr="00F40823">
        <w:rPr>
          <w:b/>
          <w:bCs/>
        </w:rPr>
        <w:t>mmunological products</w:t>
      </w:r>
      <w:r w:rsidRPr="00F40823">
        <w:t xml:space="preserve"> ($</w:t>
      </w:r>
      <w:r w:rsidR="00850449" w:rsidRPr="00F40823">
        <w:t>61</w:t>
      </w:r>
      <w:r w:rsidRPr="00F40823">
        <w:t xml:space="preserve"> million, up </w:t>
      </w:r>
      <w:r w:rsidR="00850449" w:rsidRPr="00F40823">
        <w:t>86%</w:t>
      </w:r>
      <w:r w:rsidRPr="00F40823">
        <w:t>)</w:t>
      </w:r>
      <w:r w:rsidR="007B191B">
        <w:t xml:space="preserve"> – </w:t>
      </w:r>
      <w:r w:rsidR="00E005AF" w:rsidRPr="00F40823">
        <w:t xml:space="preserve">particularly </w:t>
      </w:r>
      <w:r w:rsidR="00490110" w:rsidRPr="00F40823">
        <w:t xml:space="preserve">to </w:t>
      </w:r>
      <w:r w:rsidR="00E005AF" w:rsidRPr="007B191B">
        <w:rPr>
          <w:b/>
          <w:bCs/>
        </w:rPr>
        <w:t>Ireland</w:t>
      </w:r>
      <w:r w:rsidR="00E005AF" w:rsidRPr="00F40823">
        <w:t xml:space="preserve"> ($26 million, up 142%)</w:t>
      </w:r>
      <w:r w:rsidR="00490110" w:rsidRPr="00F40823">
        <w:t xml:space="preserve"> and </w:t>
      </w:r>
      <w:r w:rsidR="00490110" w:rsidRPr="007B191B">
        <w:rPr>
          <w:b/>
        </w:rPr>
        <w:t>the U.K.</w:t>
      </w:r>
      <w:r w:rsidR="00490110" w:rsidRPr="00F40823">
        <w:t xml:space="preserve"> ($10 million, up 854%).</w:t>
      </w:r>
    </w:p>
    <w:p w14:paraId="11913B61" w14:textId="534E4E72" w:rsidR="00D80FD9" w:rsidRPr="00F40823" w:rsidRDefault="003E53EF" w:rsidP="00D80FD9">
      <w:pPr>
        <w:pStyle w:val="NoSpacing"/>
        <w:numPr>
          <w:ilvl w:val="0"/>
          <w:numId w:val="20"/>
        </w:numPr>
        <w:spacing w:line="269" w:lineRule="auto"/>
        <w:ind w:right="-14"/>
        <w:rPr>
          <w:rStyle w:val="Heading4Char"/>
          <w:b/>
          <w:szCs w:val="24"/>
        </w:rPr>
      </w:pPr>
      <w:r w:rsidRPr="00F40823">
        <w:rPr>
          <w:bCs/>
        </w:rPr>
        <w:t>S</w:t>
      </w:r>
      <w:r w:rsidR="00024A13" w:rsidRPr="00F40823">
        <w:rPr>
          <w:bCs/>
        </w:rPr>
        <w:t xml:space="preserve">ales of </w:t>
      </w:r>
      <w:r w:rsidR="00D80FD9" w:rsidRPr="00F40823">
        <w:rPr>
          <w:b/>
        </w:rPr>
        <w:t>dairy, egg, honey</w:t>
      </w:r>
      <w:r w:rsidR="00D80FD9" w:rsidRPr="00F40823">
        <w:rPr>
          <w:bCs/>
        </w:rPr>
        <w:t xml:space="preserve"> ($5</w:t>
      </w:r>
      <w:r w:rsidR="00024A13" w:rsidRPr="00F40823">
        <w:rPr>
          <w:bCs/>
        </w:rPr>
        <w:t>3</w:t>
      </w:r>
      <w:r w:rsidR="00D80FD9" w:rsidRPr="00F40823">
        <w:rPr>
          <w:bCs/>
        </w:rPr>
        <w:t xml:space="preserve"> million, up </w:t>
      </w:r>
      <w:r w:rsidR="00024A13" w:rsidRPr="00F40823">
        <w:rPr>
          <w:bCs/>
        </w:rPr>
        <w:t>53</w:t>
      </w:r>
      <w:r w:rsidR="00D80FD9" w:rsidRPr="00F40823">
        <w:rPr>
          <w:bCs/>
        </w:rPr>
        <w:t>%)</w:t>
      </w:r>
      <w:r w:rsidR="00024A13" w:rsidRPr="00F40823">
        <w:rPr>
          <w:bCs/>
        </w:rPr>
        <w:t xml:space="preserve"> </w:t>
      </w:r>
      <w:r w:rsidRPr="00F40823">
        <w:rPr>
          <w:bCs/>
        </w:rPr>
        <w:t xml:space="preserve">grew briskly to </w:t>
      </w:r>
      <w:r w:rsidR="00024A13" w:rsidRPr="00F40823">
        <w:rPr>
          <w:b/>
        </w:rPr>
        <w:t>Canad</w:t>
      </w:r>
      <w:r w:rsidRPr="00F40823">
        <w:rPr>
          <w:b/>
        </w:rPr>
        <w:t xml:space="preserve">a </w:t>
      </w:r>
      <w:r w:rsidRPr="00F40823">
        <w:rPr>
          <w:bCs/>
        </w:rPr>
        <w:t xml:space="preserve">(up 619%, </w:t>
      </w:r>
      <w:r w:rsidR="00D023A7" w:rsidRPr="00F40823">
        <w:rPr>
          <w:bCs/>
        </w:rPr>
        <w:t>based on</w:t>
      </w:r>
      <w:r w:rsidRPr="00F40823">
        <w:rPr>
          <w:bCs/>
        </w:rPr>
        <w:t xml:space="preserve"> demand for</w:t>
      </w:r>
      <w:r w:rsidRPr="00F40823">
        <w:rPr>
          <w:b/>
        </w:rPr>
        <w:t xml:space="preserve"> </w:t>
      </w:r>
      <w:r w:rsidR="00024A13" w:rsidRPr="00F40823">
        <w:rPr>
          <w:b/>
        </w:rPr>
        <w:t>fresh chicken eggs</w:t>
      </w:r>
      <w:r w:rsidRPr="00F40823">
        <w:rPr>
          <w:bCs/>
        </w:rPr>
        <w:t>),</w:t>
      </w:r>
      <w:r w:rsidRPr="00F40823">
        <w:rPr>
          <w:b/>
        </w:rPr>
        <w:t xml:space="preserve"> </w:t>
      </w:r>
      <w:r w:rsidRPr="00F40823">
        <w:rPr>
          <w:bCs/>
        </w:rPr>
        <w:t xml:space="preserve">while </w:t>
      </w:r>
      <w:r w:rsidRPr="00F40823">
        <w:rPr>
          <w:b/>
        </w:rPr>
        <w:t xml:space="preserve">aircraft, spacecraft </w:t>
      </w:r>
      <w:r w:rsidR="00D023A7" w:rsidRPr="00F40823">
        <w:rPr>
          <w:bCs/>
        </w:rPr>
        <w:t xml:space="preserve">exports </w:t>
      </w:r>
      <w:r w:rsidRPr="00F40823">
        <w:rPr>
          <w:bCs/>
        </w:rPr>
        <w:t xml:space="preserve">were </w:t>
      </w:r>
      <w:r w:rsidR="00D023A7" w:rsidRPr="00F40823">
        <w:rPr>
          <w:bCs/>
        </w:rPr>
        <w:t>up</w:t>
      </w:r>
      <w:r w:rsidRPr="00F40823">
        <w:rPr>
          <w:bCs/>
        </w:rPr>
        <w:t xml:space="preserve">lifted by </w:t>
      </w:r>
      <w:r w:rsidRPr="00F40823">
        <w:rPr>
          <w:b/>
        </w:rPr>
        <w:t xml:space="preserve">Germany </w:t>
      </w:r>
      <w:r w:rsidRPr="00F40823">
        <w:rPr>
          <w:bCs/>
        </w:rPr>
        <w:t>(up 80%)</w:t>
      </w:r>
      <w:r w:rsidRPr="00F40823">
        <w:rPr>
          <w:b/>
        </w:rPr>
        <w:t xml:space="preserve"> </w:t>
      </w:r>
      <w:r w:rsidRPr="00F40823">
        <w:rPr>
          <w:bCs/>
        </w:rPr>
        <w:t xml:space="preserve">and </w:t>
      </w:r>
      <w:r w:rsidRPr="00F40823">
        <w:rPr>
          <w:b/>
        </w:rPr>
        <w:t xml:space="preserve">Brazil </w:t>
      </w:r>
      <w:r w:rsidRPr="00F40823">
        <w:rPr>
          <w:bCs/>
        </w:rPr>
        <w:t>(up 111%).</w:t>
      </w:r>
    </w:p>
    <w:p w14:paraId="237C822C" w14:textId="210A2059" w:rsidR="003279A8" w:rsidRPr="00F40823" w:rsidRDefault="006C4A02" w:rsidP="003279A8">
      <w:pPr>
        <w:pStyle w:val="ListParagraph"/>
        <w:numPr>
          <w:ilvl w:val="0"/>
          <w:numId w:val="20"/>
        </w:numPr>
        <w:tabs>
          <w:tab w:val="left" w:pos="3330"/>
        </w:tabs>
        <w:spacing w:line="269" w:lineRule="auto"/>
        <w:ind w:right="54"/>
        <w:rPr>
          <w:b/>
          <w:bCs/>
        </w:rPr>
      </w:pPr>
      <w:r w:rsidRPr="00F40823">
        <w:rPr>
          <w:b/>
          <w:bCs/>
        </w:rPr>
        <w:t>Mexico</w:t>
      </w:r>
      <w:r w:rsidRPr="00F40823">
        <w:t xml:space="preserve"> ($52 million, up 25%) bolstered e</w:t>
      </w:r>
      <w:r w:rsidR="007607FC" w:rsidRPr="00F40823">
        <w:t xml:space="preserve">xports of </w:t>
      </w:r>
      <w:r w:rsidR="007607FC" w:rsidRPr="00F40823">
        <w:rPr>
          <w:b/>
          <w:bCs/>
        </w:rPr>
        <w:t>oil seeds, misc. grain</w:t>
      </w:r>
      <w:r w:rsidR="007607FC" w:rsidRPr="00F40823">
        <w:t xml:space="preserve"> (</w:t>
      </w:r>
      <w:r w:rsidR="001F0EC5" w:rsidRPr="00F40823">
        <w:rPr>
          <w:bCs/>
        </w:rPr>
        <w:t>$9</w:t>
      </w:r>
      <w:r w:rsidRPr="00F40823">
        <w:rPr>
          <w:bCs/>
        </w:rPr>
        <w:t>9</w:t>
      </w:r>
      <w:r w:rsidR="001F0EC5" w:rsidRPr="00F40823">
        <w:rPr>
          <w:bCs/>
        </w:rPr>
        <w:t xml:space="preserve"> million, up </w:t>
      </w:r>
      <w:r w:rsidRPr="00F40823">
        <w:rPr>
          <w:bCs/>
        </w:rPr>
        <w:t>15</w:t>
      </w:r>
      <w:r w:rsidR="001F0EC5" w:rsidRPr="00F40823">
        <w:rPr>
          <w:bCs/>
        </w:rPr>
        <w:t xml:space="preserve">%; </w:t>
      </w:r>
      <w:r w:rsidR="007607FC" w:rsidRPr="00F40823">
        <w:t>largely</w:t>
      </w:r>
      <w:r w:rsidRPr="00F40823">
        <w:t xml:space="preserve"> </w:t>
      </w:r>
      <w:r w:rsidR="007607FC" w:rsidRPr="00F40823">
        <w:rPr>
          <w:b/>
          <w:bCs/>
        </w:rPr>
        <w:t>soybeans</w:t>
      </w:r>
      <w:r w:rsidR="007607FC" w:rsidRPr="00F40823">
        <w:t xml:space="preserve">) </w:t>
      </w:r>
      <w:r w:rsidRPr="00F40823">
        <w:t xml:space="preserve">while </w:t>
      </w:r>
      <w:r w:rsidRPr="00F40823">
        <w:rPr>
          <w:b/>
          <w:bCs/>
        </w:rPr>
        <w:t xml:space="preserve">India </w:t>
      </w:r>
      <w:r w:rsidRPr="00F40823">
        <w:t xml:space="preserve">($6 million, up from $813,000) and </w:t>
      </w:r>
      <w:r w:rsidRPr="00F40823">
        <w:rPr>
          <w:b/>
          <w:bCs/>
        </w:rPr>
        <w:t xml:space="preserve">Germany </w:t>
      </w:r>
      <w:r w:rsidRPr="00F40823">
        <w:t xml:space="preserve">($10 million, up 102%) drove </w:t>
      </w:r>
      <w:r w:rsidR="00F40823" w:rsidRPr="00F40823">
        <w:t xml:space="preserve">export </w:t>
      </w:r>
      <w:r w:rsidRPr="00F40823">
        <w:t>gains in</w:t>
      </w:r>
      <w:r w:rsidR="00F40823" w:rsidRPr="00F40823">
        <w:t xml:space="preserve"> </w:t>
      </w:r>
      <w:r w:rsidRPr="00F40823">
        <w:rPr>
          <w:b/>
          <w:bCs/>
        </w:rPr>
        <w:t>albumin</w:t>
      </w:r>
      <w:r w:rsidR="00490110" w:rsidRPr="00F40823">
        <w:rPr>
          <w:b/>
          <w:bCs/>
        </w:rPr>
        <w:t>s</w:t>
      </w:r>
      <w:r w:rsidRPr="00F40823">
        <w:rPr>
          <w:b/>
          <w:bCs/>
        </w:rPr>
        <w:t>, starch</w:t>
      </w:r>
      <w:r w:rsidR="00490110" w:rsidRPr="00F40823">
        <w:rPr>
          <w:b/>
          <w:bCs/>
        </w:rPr>
        <w:t>es,</w:t>
      </w:r>
      <w:r w:rsidRPr="00F40823">
        <w:rPr>
          <w:b/>
          <w:bCs/>
        </w:rPr>
        <w:t xml:space="preserve"> glue </w:t>
      </w:r>
      <w:r w:rsidR="00F40823" w:rsidRPr="00F40823">
        <w:t>products</w:t>
      </w:r>
      <w:r w:rsidRPr="00F40823">
        <w:t xml:space="preserve"> (</w:t>
      </w:r>
      <w:r w:rsidR="007B191B">
        <w:t>such as for</w:t>
      </w:r>
      <w:r w:rsidRPr="00F40823">
        <w:t xml:space="preserve"> </w:t>
      </w:r>
      <w:r w:rsidRPr="00F40823">
        <w:rPr>
          <w:b/>
          <w:bCs/>
        </w:rPr>
        <w:t xml:space="preserve">concentrated whey proteins </w:t>
      </w:r>
      <w:r w:rsidRPr="00F40823">
        <w:t>and</w:t>
      </w:r>
      <w:r w:rsidRPr="00F40823">
        <w:rPr>
          <w:b/>
          <w:bCs/>
        </w:rPr>
        <w:t xml:space="preserve"> </w:t>
      </w:r>
      <w:r w:rsidR="007B191B">
        <w:rPr>
          <w:b/>
          <w:bCs/>
        </w:rPr>
        <w:t>other protein derivatives</w:t>
      </w:r>
      <w:r w:rsidR="007B191B">
        <w:t>).</w:t>
      </w:r>
    </w:p>
    <w:p w14:paraId="73FA3A2E" w14:textId="02836721" w:rsidR="00596618" w:rsidRPr="00F40823" w:rsidRDefault="007F1C4A" w:rsidP="00980A8A">
      <w:pPr>
        <w:pStyle w:val="Heading4"/>
        <w:spacing w:before="120" w:after="120"/>
      </w:pPr>
      <w:r w:rsidRPr="00F40823">
        <w:t>Fi</w:t>
      </w:r>
      <w:r w:rsidR="00A44451" w:rsidRPr="00F40823">
        <w:t>gure 4. Export Trends for</w:t>
      </w:r>
      <w:r w:rsidRPr="00F40823">
        <w:t xml:space="preserve"> Minnesota’s Top 10 Products, </w:t>
      </w:r>
      <w:r w:rsidR="004928D5" w:rsidRPr="00F40823">
        <w:t>Second</w:t>
      </w:r>
      <w:r w:rsidR="00375ACF" w:rsidRPr="00F40823">
        <w:t xml:space="preserve"> </w:t>
      </w:r>
      <w:r w:rsidR="00F85FA6" w:rsidRPr="00F40823">
        <w:t>Q</w:t>
      </w:r>
      <w:r w:rsidR="00375ACF" w:rsidRPr="00F40823">
        <w:t>uarter</w:t>
      </w:r>
      <w:r w:rsidR="00A52415" w:rsidRPr="00F40823">
        <w:t xml:space="preserve"> </w:t>
      </w:r>
      <w:r w:rsidR="00BB19C4" w:rsidRPr="00F40823">
        <w:t>2025</w:t>
      </w:r>
    </w:p>
    <w:p w14:paraId="56ED7CC2" w14:textId="722DE708" w:rsidR="003C2548" w:rsidRPr="00F40823" w:rsidRDefault="00662C04" w:rsidP="00662C04">
      <w:pPr>
        <w:spacing w:after="120"/>
      </w:pPr>
      <w:r w:rsidRPr="00F40823">
        <w:rPr>
          <w:noProof/>
        </w:rPr>
        <w:drawing>
          <wp:inline distT="0" distB="0" distL="0" distR="0" wp14:anchorId="37E5ACD1" wp14:editId="121FCB45">
            <wp:extent cx="6492240" cy="1879600"/>
            <wp:effectExtent l="0" t="0" r="3810" b="6350"/>
            <wp:docPr id="60944071" name="Picture 4" descr="double bar chart &#10;Minnesota export trends for top 10 product categories, 2025-q2&#10;Product Exports (millions) Percent Change, 2024-Q2 to 2025-Q2&#10;Total  $5,755  -19%&#10;Optic, Medical  $1,126  -8%&#10;Electrical Equipment  $971  7%&#10;Machinery  $855  -17%&#10;Vehicles  $393  -28%&#10;Plastics  $303  -11%&#10;Food By-Products  $161  -18%&#10;Aircraft, Spacecraft  $139  3%&#10;Ores, Slag, Ash  $126  -18%&#10;Misc. Chemicals  $109  -8%&#10;Cereals  $102  -27%&#10;Other  $1,472  -3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44071" name="Picture 4" descr="double bar chart &#10;Minnesota export trends for top 10 product categories, 2025-q2&#10;Product Exports (millions) Percent Change, 2024-Q2 to 2025-Q2&#10;Total  $5,755  -19%&#10;Optic, Medical  $1,126  -8%&#10;Electrical Equipment  $971  7%&#10;Machinery  $855  -17%&#10;Vehicles  $393  -28%&#10;Plastics  $303  -11%&#10;Food By-Products  $161  -18%&#10;Aircraft, Spacecraft  $139  3%&#10;Ores, Slag, Ash  $126  -18%&#10;Misc. Chemicals  $109  -8%&#10;Cereals  $102  -27%&#10;Other  $1,472  -36%&#10;"/>
                    <pic:cNvPicPr>
                      <a:picLocks noChangeAspect="1" noChangeArrowheads="1"/>
                    </pic:cNvPicPr>
                  </pic:nvPicPr>
                  <pic:blipFill rotWithShape="1">
                    <a:blip r:embed="rId17">
                      <a:extLst>
                        <a:ext uri="{28A0092B-C50C-407E-A947-70E740481C1C}">
                          <a14:useLocalDpi xmlns:a14="http://schemas.microsoft.com/office/drawing/2010/main" val="0"/>
                        </a:ext>
                      </a:extLst>
                    </a:blip>
                    <a:srcRect t="5732" b="-1"/>
                    <a:stretch/>
                  </pic:blipFill>
                  <pic:spPr bwMode="auto">
                    <a:xfrm>
                      <a:off x="0" y="0"/>
                      <a:ext cx="6492240" cy="1879600"/>
                    </a:xfrm>
                    <a:prstGeom prst="rect">
                      <a:avLst/>
                    </a:prstGeom>
                    <a:noFill/>
                    <a:ln>
                      <a:noFill/>
                    </a:ln>
                    <a:extLst>
                      <a:ext uri="{53640926-AAD7-44D8-BBD7-CCE9431645EC}">
                        <a14:shadowObscured xmlns:a14="http://schemas.microsoft.com/office/drawing/2010/main"/>
                      </a:ext>
                    </a:extLst>
                  </pic:spPr>
                </pic:pic>
              </a:graphicData>
            </a:graphic>
          </wp:inline>
        </w:drawing>
      </w:r>
    </w:p>
    <w:tbl>
      <w:tblPr>
        <w:tblpPr w:leftFromText="180" w:rightFromText="180" w:vertAnchor="page" w:horzAnchor="margin" w:tblpY="13260"/>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9E5A6"/>
        <w:tblLook w:val="04A0" w:firstRow="1" w:lastRow="0" w:firstColumn="1" w:lastColumn="0" w:noHBand="0" w:noVBand="1"/>
        <w:tblCaption w:val="Additional information"/>
        <w:tblDescription w:val="Minnesota Export Statistics reports track the state’s trends in exports of goods and is prepared for the Minnesota Trade Office by DEED’s Economic Analysis Unit (Thu-Mai Ho-Kim). The quarterly and annual reports primarily cover export data based on the Harmonized Tariff System (Schedule B), collected by the Foreign Trade Division, Census Bureau, U.S. Dept of Commerce and accessed through USA Trade Online (Census Bureau) and Trade Data Monitor (TDM). Historical reports are available on DEED’s website at “Export and Trade Statistics” (http://mn.gov/deed/data/export-stats/).  "/>
      </w:tblPr>
      <w:tblGrid>
        <w:gridCol w:w="10255"/>
      </w:tblGrid>
      <w:tr w:rsidR="00F40823" w:rsidRPr="00F40823" w14:paraId="23A6C19B" w14:textId="77777777" w:rsidTr="006B5811">
        <w:trPr>
          <w:trHeight w:val="530"/>
        </w:trPr>
        <w:tc>
          <w:tcPr>
            <w:tcW w:w="10255" w:type="dxa"/>
            <w:shd w:val="clear" w:color="auto" w:fill="C9E5A6"/>
          </w:tcPr>
          <w:p w14:paraId="282EBA1D" w14:textId="77777777" w:rsidR="00DF665C" w:rsidRPr="00F40823" w:rsidRDefault="00DF665C" w:rsidP="006B5811">
            <w:pPr>
              <w:spacing w:before="120" w:after="120"/>
              <w:rPr>
                <w:rFonts w:cs="Calibri"/>
                <w:sz w:val="20"/>
                <w:szCs w:val="20"/>
              </w:rPr>
            </w:pPr>
            <w:r w:rsidRPr="00F40823">
              <w:rPr>
                <w:rStyle w:val="Emphasis"/>
                <w:rFonts w:cstheme="minorHAnsi"/>
                <w:sz w:val="20"/>
                <w:szCs w:val="20"/>
              </w:rPr>
              <w:t>Minnesota Export Statistics</w:t>
            </w:r>
            <w:r w:rsidRPr="00F40823">
              <w:rPr>
                <w:rStyle w:val="Emphasis"/>
                <w:rFonts w:cstheme="minorHAnsi"/>
                <w:i w:val="0"/>
                <w:iCs w:val="0"/>
                <w:sz w:val="20"/>
                <w:szCs w:val="20"/>
              </w:rPr>
              <w:t xml:space="preserve"> </w:t>
            </w:r>
            <w:r w:rsidRPr="00F40823">
              <w:rPr>
                <w:rStyle w:val="Emphasis"/>
                <w:i w:val="0"/>
                <w:iCs w:val="0"/>
                <w:sz w:val="20"/>
                <w:szCs w:val="20"/>
              </w:rPr>
              <w:t>reports</w:t>
            </w:r>
            <w:r w:rsidRPr="00F40823">
              <w:rPr>
                <w:rStyle w:val="Emphasis"/>
                <w:sz w:val="20"/>
                <w:szCs w:val="20"/>
              </w:rPr>
              <w:t xml:space="preserve"> t</w:t>
            </w:r>
            <w:r w:rsidRPr="00F40823">
              <w:rPr>
                <w:rFonts w:cstheme="minorHAnsi"/>
                <w:sz w:val="20"/>
                <w:szCs w:val="20"/>
              </w:rPr>
              <w:t>rack the state’s trends in exports of goods and is prepared for the Minnesota Trade Office by DEED’s Economic Analysis Unit (Thu-Mai Ho-Kim). The quarterly and annual reports primarily cover export data based on the Harmonized Tariff System (Schedule B), collected by the Foreign Trade Division, Census Bureau, U.S. Dept of Commerce and accessed through USA Trade Online (Census Bureau) and Trade Data Monitor (TDM). Historical reports are available on DEED’s website at “Export and Trade Statistics” (</w:t>
            </w:r>
            <w:hyperlink r:id="rId18" w:history="1">
              <w:r w:rsidRPr="00F40823">
                <w:rPr>
                  <w:rStyle w:val="Hyperlink"/>
                  <w:rFonts w:cstheme="minorHAnsi"/>
                  <w:color w:val="auto"/>
                  <w:sz w:val="20"/>
                  <w:szCs w:val="20"/>
                </w:rPr>
                <w:t>http://mn.gov/deed/data/export-stats/</w:t>
              </w:r>
            </w:hyperlink>
            <w:r w:rsidRPr="00F40823">
              <w:rPr>
                <w:rFonts w:cstheme="minorHAnsi"/>
                <w:sz w:val="20"/>
                <w:szCs w:val="20"/>
              </w:rPr>
              <w:t xml:space="preserve">).  </w:t>
            </w:r>
          </w:p>
        </w:tc>
      </w:tr>
    </w:tbl>
    <w:p w14:paraId="67779A89" w14:textId="0109015F" w:rsidR="00FE15EB" w:rsidRPr="00F40823" w:rsidRDefault="00FE15EB" w:rsidP="00F331FC">
      <w:pPr>
        <w:rPr>
          <w:rFonts w:ascii="Times New Roman" w:eastAsia="Times New Roman" w:hAnsi="Times New Roman" w:cs="Times New Roman"/>
          <w:snapToGrid w:val="0"/>
          <w:w w:val="0"/>
          <w:sz w:val="0"/>
          <w:szCs w:val="0"/>
          <w:u w:color="000000"/>
          <w:bdr w:val="none" w:sz="0" w:space="0" w:color="000000"/>
          <w:shd w:val="clear" w:color="000000" w:fill="000000"/>
          <w:lang w:eastAsia="x-none" w:bidi="x-none"/>
        </w:rPr>
      </w:pPr>
    </w:p>
    <w:sectPr w:rsidR="00FE15EB" w:rsidRPr="00F40823" w:rsidSect="00FE15EB">
      <w:footnotePr>
        <w:numRestart w:val="eachSect"/>
      </w:footnotePr>
      <w:endnotePr>
        <w:numFmt w:val="decimal"/>
      </w:endnotePr>
      <w:type w:val="continuous"/>
      <w:pgSz w:w="12240" w:h="15840" w:code="1"/>
      <w:pgMar w:top="864" w:right="1008" w:bottom="864" w:left="100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5EDE0" w14:textId="77777777" w:rsidR="007119FE" w:rsidRDefault="007119FE">
      <w:r>
        <w:separator/>
      </w:r>
    </w:p>
  </w:endnote>
  <w:endnote w:type="continuationSeparator" w:id="0">
    <w:p w14:paraId="7C9C92B5" w14:textId="77777777" w:rsidR="007119FE" w:rsidRDefault="00711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911F6" w14:textId="77777777" w:rsidR="00CC1B7D" w:rsidRDefault="00CC1B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82E195" w14:textId="77777777" w:rsidR="00CC1B7D" w:rsidRDefault="00CC1B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F6150" w14:textId="22E678C6" w:rsidR="00A14E15" w:rsidRPr="00A14E15" w:rsidRDefault="00A14E15" w:rsidP="00A14E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3C0B9" w14:textId="77777777" w:rsidR="007119FE" w:rsidRDefault="007119FE">
      <w:r>
        <w:separator/>
      </w:r>
    </w:p>
  </w:footnote>
  <w:footnote w:type="continuationSeparator" w:id="0">
    <w:p w14:paraId="05AAE318" w14:textId="77777777" w:rsidR="007119FE" w:rsidRDefault="00711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8B42A" w14:textId="77777777" w:rsidR="00CC1B7D" w:rsidRDefault="00CC1B7D" w:rsidP="00E014F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147C6F" w14:textId="77777777" w:rsidR="00CC1B7D" w:rsidRDefault="00CC1B7D" w:rsidP="00E014F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6BEFB" w14:textId="77777777" w:rsidR="00CC1B7D" w:rsidRDefault="00CC1B7D" w:rsidP="00E014F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81236">
      <w:rPr>
        <w:rStyle w:val="PageNumber"/>
        <w:noProof/>
      </w:rPr>
      <w:t>2</w:t>
    </w:r>
    <w:r>
      <w:rPr>
        <w:rStyle w:val="PageNumber"/>
      </w:rPr>
      <w:fldChar w:fldCharType="end"/>
    </w:r>
  </w:p>
  <w:p w14:paraId="4CE97ED2" w14:textId="77777777" w:rsidR="00CC1B7D" w:rsidRDefault="00CC1B7D" w:rsidP="00E014F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89482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0AD7251"/>
    <w:multiLevelType w:val="hybridMultilevel"/>
    <w:tmpl w:val="A20C3C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055FB0"/>
    <w:multiLevelType w:val="hybridMultilevel"/>
    <w:tmpl w:val="39F01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9B22E7"/>
    <w:multiLevelType w:val="hybridMultilevel"/>
    <w:tmpl w:val="DB8C1E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621A5E"/>
    <w:multiLevelType w:val="hybridMultilevel"/>
    <w:tmpl w:val="787C92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06B6753"/>
    <w:multiLevelType w:val="hybridMultilevel"/>
    <w:tmpl w:val="16028B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38E4940"/>
    <w:multiLevelType w:val="hybridMultilevel"/>
    <w:tmpl w:val="4AAE80EE"/>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336E93"/>
    <w:multiLevelType w:val="hybridMultilevel"/>
    <w:tmpl w:val="A672D4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161121C"/>
    <w:multiLevelType w:val="hybridMultilevel"/>
    <w:tmpl w:val="CFAA2A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59424AE"/>
    <w:multiLevelType w:val="hybridMultilevel"/>
    <w:tmpl w:val="C50876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D731D63"/>
    <w:multiLevelType w:val="hybridMultilevel"/>
    <w:tmpl w:val="0FB4B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E81A19"/>
    <w:multiLevelType w:val="hybridMultilevel"/>
    <w:tmpl w:val="B832DA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F4926A3"/>
    <w:multiLevelType w:val="hybridMultilevel"/>
    <w:tmpl w:val="0A6047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0373CB2"/>
    <w:multiLevelType w:val="hybridMultilevel"/>
    <w:tmpl w:val="E0E415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71704E9"/>
    <w:multiLevelType w:val="hybridMultilevel"/>
    <w:tmpl w:val="187CA0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9550900"/>
    <w:multiLevelType w:val="hybridMultilevel"/>
    <w:tmpl w:val="D1D21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A38056F"/>
    <w:multiLevelType w:val="hybridMultilevel"/>
    <w:tmpl w:val="88CEEB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2DA42E3"/>
    <w:multiLevelType w:val="hybridMultilevel"/>
    <w:tmpl w:val="8A0ED5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48B18F3"/>
    <w:multiLevelType w:val="hybridMultilevel"/>
    <w:tmpl w:val="9CD05F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49D255A"/>
    <w:multiLevelType w:val="hybridMultilevel"/>
    <w:tmpl w:val="2EE466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7975A35"/>
    <w:multiLevelType w:val="hybridMultilevel"/>
    <w:tmpl w:val="E5021E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9F11FFB"/>
    <w:multiLevelType w:val="hybridMultilevel"/>
    <w:tmpl w:val="4CDAD0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BE717D2"/>
    <w:multiLevelType w:val="hybridMultilevel"/>
    <w:tmpl w:val="E334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6115109">
    <w:abstractNumId w:val="0"/>
  </w:num>
  <w:num w:numId="2" w16cid:durableId="587809003">
    <w:abstractNumId w:val="17"/>
  </w:num>
  <w:num w:numId="3" w16cid:durableId="315185240">
    <w:abstractNumId w:val="16"/>
  </w:num>
  <w:num w:numId="4" w16cid:durableId="739328196">
    <w:abstractNumId w:val="4"/>
  </w:num>
  <w:num w:numId="5" w16cid:durableId="596596594">
    <w:abstractNumId w:val="1"/>
  </w:num>
  <w:num w:numId="6" w16cid:durableId="1351759869">
    <w:abstractNumId w:val="10"/>
  </w:num>
  <w:num w:numId="7" w16cid:durableId="1845899144">
    <w:abstractNumId w:val="22"/>
  </w:num>
  <w:num w:numId="8" w16cid:durableId="1255089048">
    <w:abstractNumId w:val="20"/>
  </w:num>
  <w:num w:numId="9" w16cid:durableId="812912516">
    <w:abstractNumId w:val="13"/>
  </w:num>
  <w:num w:numId="10" w16cid:durableId="434403191">
    <w:abstractNumId w:val="11"/>
  </w:num>
  <w:num w:numId="11" w16cid:durableId="199321401">
    <w:abstractNumId w:val="8"/>
  </w:num>
  <w:num w:numId="12" w16cid:durableId="1962147869">
    <w:abstractNumId w:val="2"/>
  </w:num>
  <w:num w:numId="13" w16cid:durableId="26877656">
    <w:abstractNumId w:val="21"/>
  </w:num>
  <w:num w:numId="14" w16cid:durableId="1700356944">
    <w:abstractNumId w:val="14"/>
  </w:num>
  <w:num w:numId="15" w16cid:durableId="1203322051">
    <w:abstractNumId w:val="6"/>
  </w:num>
  <w:num w:numId="16" w16cid:durableId="1798253661">
    <w:abstractNumId w:val="3"/>
  </w:num>
  <w:num w:numId="17" w16cid:durableId="136194312">
    <w:abstractNumId w:val="12"/>
  </w:num>
  <w:num w:numId="18" w16cid:durableId="449085045">
    <w:abstractNumId w:val="18"/>
  </w:num>
  <w:num w:numId="19" w16cid:durableId="696664036">
    <w:abstractNumId w:val="19"/>
  </w:num>
  <w:num w:numId="20" w16cid:durableId="432828150">
    <w:abstractNumId w:val="5"/>
  </w:num>
  <w:num w:numId="21" w16cid:durableId="1622178262">
    <w:abstractNumId w:val="15"/>
  </w:num>
  <w:num w:numId="22" w16cid:durableId="814876352">
    <w:abstractNumId w:val="7"/>
  </w:num>
  <w:num w:numId="23" w16cid:durableId="1871646905">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NotTrackFormatting/>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50"/>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EAB"/>
    <w:rsid w:val="000034DC"/>
    <w:rsid w:val="00003FDB"/>
    <w:rsid w:val="000041CC"/>
    <w:rsid w:val="0000470B"/>
    <w:rsid w:val="000067D4"/>
    <w:rsid w:val="000115BA"/>
    <w:rsid w:val="00013717"/>
    <w:rsid w:val="00014412"/>
    <w:rsid w:val="00015A9D"/>
    <w:rsid w:val="00017FE0"/>
    <w:rsid w:val="000218A0"/>
    <w:rsid w:val="0002236E"/>
    <w:rsid w:val="00024A13"/>
    <w:rsid w:val="00024BB5"/>
    <w:rsid w:val="00027632"/>
    <w:rsid w:val="00027BEA"/>
    <w:rsid w:val="00031A2C"/>
    <w:rsid w:val="000341DE"/>
    <w:rsid w:val="000350A7"/>
    <w:rsid w:val="00035328"/>
    <w:rsid w:val="00036238"/>
    <w:rsid w:val="00036760"/>
    <w:rsid w:val="00040083"/>
    <w:rsid w:val="00044ED9"/>
    <w:rsid w:val="00046117"/>
    <w:rsid w:val="00051435"/>
    <w:rsid w:val="00051FE0"/>
    <w:rsid w:val="00051FF7"/>
    <w:rsid w:val="00052D34"/>
    <w:rsid w:val="000541A0"/>
    <w:rsid w:val="00054A6E"/>
    <w:rsid w:val="00055AAF"/>
    <w:rsid w:val="0005790D"/>
    <w:rsid w:val="000603F2"/>
    <w:rsid w:val="00061093"/>
    <w:rsid w:val="0006144E"/>
    <w:rsid w:val="0006608A"/>
    <w:rsid w:val="000705F0"/>
    <w:rsid w:val="000716AC"/>
    <w:rsid w:val="00073109"/>
    <w:rsid w:val="000731F2"/>
    <w:rsid w:val="00073987"/>
    <w:rsid w:val="0007455F"/>
    <w:rsid w:val="00076952"/>
    <w:rsid w:val="00076DF3"/>
    <w:rsid w:val="00077989"/>
    <w:rsid w:val="0008038B"/>
    <w:rsid w:val="00083199"/>
    <w:rsid w:val="000859F2"/>
    <w:rsid w:val="00085EED"/>
    <w:rsid w:val="000878A3"/>
    <w:rsid w:val="00090B7B"/>
    <w:rsid w:val="000919F2"/>
    <w:rsid w:val="0009219A"/>
    <w:rsid w:val="000924DC"/>
    <w:rsid w:val="00092621"/>
    <w:rsid w:val="0009287F"/>
    <w:rsid w:val="000929D8"/>
    <w:rsid w:val="00092FFB"/>
    <w:rsid w:val="00096FFD"/>
    <w:rsid w:val="000A1297"/>
    <w:rsid w:val="000A1B8D"/>
    <w:rsid w:val="000A491B"/>
    <w:rsid w:val="000A4AB3"/>
    <w:rsid w:val="000A5664"/>
    <w:rsid w:val="000A7EF0"/>
    <w:rsid w:val="000B2DF3"/>
    <w:rsid w:val="000B518F"/>
    <w:rsid w:val="000B5C1E"/>
    <w:rsid w:val="000B6338"/>
    <w:rsid w:val="000C1CB0"/>
    <w:rsid w:val="000C2181"/>
    <w:rsid w:val="000C2375"/>
    <w:rsid w:val="000C3AE5"/>
    <w:rsid w:val="000C4ED2"/>
    <w:rsid w:val="000D02DD"/>
    <w:rsid w:val="000D1330"/>
    <w:rsid w:val="000D18A9"/>
    <w:rsid w:val="000D1941"/>
    <w:rsid w:val="000D2409"/>
    <w:rsid w:val="000D566F"/>
    <w:rsid w:val="000D5D94"/>
    <w:rsid w:val="000D5EC5"/>
    <w:rsid w:val="000D6D2A"/>
    <w:rsid w:val="000D6FAF"/>
    <w:rsid w:val="000E0786"/>
    <w:rsid w:val="000E3376"/>
    <w:rsid w:val="000E532F"/>
    <w:rsid w:val="000E6BD9"/>
    <w:rsid w:val="000E6F54"/>
    <w:rsid w:val="000E7ED0"/>
    <w:rsid w:val="000F0519"/>
    <w:rsid w:val="000F06F6"/>
    <w:rsid w:val="000F1497"/>
    <w:rsid w:val="000F1844"/>
    <w:rsid w:val="000F1B22"/>
    <w:rsid w:val="000F3E1F"/>
    <w:rsid w:val="000F4C5E"/>
    <w:rsid w:val="000F54F2"/>
    <w:rsid w:val="000F5EB1"/>
    <w:rsid w:val="000F6660"/>
    <w:rsid w:val="000F6CDA"/>
    <w:rsid w:val="000F733F"/>
    <w:rsid w:val="00106910"/>
    <w:rsid w:val="00107686"/>
    <w:rsid w:val="001104C3"/>
    <w:rsid w:val="001127F8"/>
    <w:rsid w:val="00112A1D"/>
    <w:rsid w:val="00112A91"/>
    <w:rsid w:val="001214D7"/>
    <w:rsid w:val="0012471B"/>
    <w:rsid w:val="001250AB"/>
    <w:rsid w:val="001263E2"/>
    <w:rsid w:val="00132366"/>
    <w:rsid w:val="00132A66"/>
    <w:rsid w:val="00134A9C"/>
    <w:rsid w:val="00134ECC"/>
    <w:rsid w:val="00134F20"/>
    <w:rsid w:val="00135A0B"/>
    <w:rsid w:val="001360E3"/>
    <w:rsid w:val="00136664"/>
    <w:rsid w:val="0013711B"/>
    <w:rsid w:val="001373C3"/>
    <w:rsid w:val="00137E8C"/>
    <w:rsid w:val="00140B5F"/>
    <w:rsid w:val="00142003"/>
    <w:rsid w:val="0014228E"/>
    <w:rsid w:val="001422BE"/>
    <w:rsid w:val="00145936"/>
    <w:rsid w:val="00147356"/>
    <w:rsid w:val="00147EEF"/>
    <w:rsid w:val="00150201"/>
    <w:rsid w:val="001619F1"/>
    <w:rsid w:val="001625A3"/>
    <w:rsid w:val="00162EF3"/>
    <w:rsid w:val="0016340E"/>
    <w:rsid w:val="00163A63"/>
    <w:rsid w:val="00164B97"/>
    <w:rsid w:val="00170A9E"/>
    <w:rsid w:val="00172BF4"/>
    <w:rsid w:val="00172FA7"/>
    <w:rsid w:val="00173478"/>
    <w:rsid w:val="00173D78"/>
    <w:rsid w:val="00176732"/>
    <w:rsid w:val="00176E55"/>
    <w:rsid w:val="0018069A"/>
    <w:rsid w:val="00182D30"/>
    <w:rsid w:val="0018375B"/>
    <w:rsid w:val="0018461A"/>
    <w:rsid w:val="001846AE"/>
    <w:rsid w:val="001873D8"/>
    <w:rsid w:val="00192539"/>
    <w:rsid w:val="001942D2"/>
    <w:rsid w:val="001944CA"/>
    <w:rsid w:val="001968E6"/>
    <w:rsid w:val="001978D1"/>
    <w:rsid w:val="001979B1"/>
    <w:rsid w:val="001A7229"/>
    <w:rsid w:val="001A7363"/>
    <w:rsid w:val="001A787E"/>
    <w:rsid w:val="001B0716"/>
    <w:rsid w:val="001B0835"/>
    <w:rsid w:val="001B0D71"/>
    <w:rsid w:val="001B1416"/>
    <w:rsid w:val="001B344A"/>
    <w:rsid w:val="001B3687"/>
    <w:rsid w:val="001B4406"/>
    <w:rsid w:val="001B5950"/>
    <w:rsid w:val="001B6B06"/>
    <w:rsid w:val="001B6E5E"/>
    <w:rsid w:val="001C1112"/>
    <w:rsid w:val="001C114C"/>
    <w:rsid w:val="001C13C5"/>
    <w:rsid w:val="001C1959"/>
    <w:rsid w:val="001C1A15"/>
    <w:rsid w:val="001C3A93"/>
    <w:rsid w:val="001C6967"/>
    <w:rsid w:val="001D0609"/>
    <w:rsid w:val="001D20E3"/>
    <w:rsid w:val="001D2F50"/>
    <w:rsid w:val="001D704D"/>
    <w:rsid w:val="001D767B"/>
    <w:rsid w:val="001E2122"/>
    <w:rsid w:val="001E36FD"/>
    <w:rsid w:val="001E4570"/>
    <w:rsid w:val="001E4F28"/>
    <w:rsid w:val="001E53CF"/>
    <w:rsid w:val="001E6B49"/>
    <w:rsid w:val="001E7619"/>
    <w:rsid w:val="001E79C1"/>
    <w:rsid w:val="001E7B61"/>
    <w:rsid w:val="001F0B2B"/>
    <w:rsid w:val="001F0EC5"/>
    <w:rsid w:val="001F56E0"/>
    <w:rsid w:val="001F591D"/>
    <w:rsid w:val="001F62FF"/>
    <w:rsid w:val="001F7EBF"/>
    <w:rsid w:val="002003FA"/>
    <w:rsid w:val="0020291D"/>
    <w:rsid w:val="00202963"/>
    <w:rsid w:val="00203298"/>
    <w:rsid w:val="002040F2"/>
    <w:rsid w:val="00205084"/>
    <w:rsid w:val="0020528C"/>
    <w:rsid w:val="00205F9C"/>
    <w:rsid w:val="00211025"/>
    <w:rsid w:val="0021109C"/>
    <w:rsid w:val="0021231E"/>
    <w:rsid w:val="002127D7"/>
    <w:rsid w:val="00212FF3"/>
    <w:rsid w:val="002158EE"/>
    <w:rsid w:val="00215DA6"/>
    <w:rsid w:val="00216C2D"/>
    <w:rsid w:val="00217960"/>
    <w:rsid w:val="002224AE"/>
    <w:rsid w:val="0022389E"/>
    <w:rsid w:val="00223F46"/>
    <w:rsid w:val="00225B74"/>
    <w:rsid w:val="00226A71"/>
    <w:rsid w:val="00230CA2"/>
    <w:rsid w:val="00234444"/>
    <w:rsid w:val="00244370"/>
    <w:rsid w:val="00245025"/>
    <w:rsid w:val="0024609E"/>
    <w:rsid w:val="00250B75"/>
    <w:rsid w:val="002538D5"/>
    <w:rsid w:val="0025565E"/>
    <w:rsid w:val="002607E0"/>
    <w:rsid w:val="00260F84"/>
    <w:rsid w:val="00262FF7"/>
    <w:rsid w:val="0026310F"/>
    <w:rsid w:val="00264CC3"/>
    <w:rsid w:val="00267778"/>
    <w:rsid w:val="002726A4"/>
    <w:rsid w:val="00272910"/>
    <w:rsid w:val="00275E0F"/>
    <w:rsid w:val="00275F40"/>
    <w:rsid w:val="0027681D"/>
    <w:rsid w:val="00277C67"/>
    <w:rsid w:val="00277E66"/>
    <w:rsid w:val="0028048A"/>
    <w:rsid w:val="002815FF"/>
    <w:rsid w:val="00284EDE"/>
    <w:rsid w:val="00287234"/>
    <w:rsid w:val="002907B4"/>
    <w:rsid w:val="00292BB8"/>
    <w:rsid w:val="00293DCF"/>
    <w:rsid w:val="002969E6"/>
    <w:rsid w:val="00297DBE"/>
    <w:rsid w:val="002A0D6B"/>
    <w:rsid w:val="002A1776"/>
    <w:rsid w:val="002A27D6"/>
    <w:rsid w:val="002A2F54"/>
    <w:rsid w:val="002A3F50"/>
    <w:rsid w:val="002A4808"/>
    <w:rsid w:val="002A4B11"/>
    <w:rsid w:val="002A52FC"/>
    <w:rsid w:val="002B1415"/>
    <w:rsid w:val="002B329E"/>
    <w:rsid w:val="002B36A6"/>
    <w:rsid w:val="002B3ACE"/>
    <w:rsid w:val="002B6B53"/>
    <w:rsid w:val="002B6EBF"/>
    <w:rsid w:val="002C0C4E"/>
    <w:rsid w:val="002C164C"/>
    <w:rsid w:val="002C1DC1"/>
    <w:rsid w:val="002C3BBC"/>
    <w:rsid w:val="002C52C4"/>
    <w:rsid w:val="002C6521"/>
    <w:rsid w:val="002D1E09"/>
    <w:rsid w:val="002D2A7E"/>
    <w:rsid w:val="002D2EF5"/>
    <w:rsid w:val="002D63BC"/>
    <w:rsid w:val="002D6A99"/>
    <w:rsid w:val="002D6F33"/>
    <w:rsid w:val="002E27C8"/>
    <w:rsid w:val="002E47BC"/>
    <w:rsid w:val="002E53C6"/>
    <w:rsid w:val="002E54F1"/>
    <w:rsid w:val="002E6B92"/>
    <w:rsid w:val="002F0687"/>
    <w:rsid w:val="002F1C0A"/>
    <w:rsid w:val="002F1C0E"/>
    <w:rsid w:val="002F1E64"/>
    <w:rsid w:val="002F257A"/>
    <w:rsid w:val="002F285F"/>
    <w:rsid w:val="002F5224"/>
    <w:rsid w:val="002F71B1"/>
    <w:rsid w:val="002F7ABC"/>
    <w:rsid w:val="00301B16"/>
    <w:rsid w:val="003047CE"/>
    <w:rsid w:val="00304E7F"/>
    <w:rsid w:val="00310D8B"/>
    <w:rsid w:val="0031458A"/>
    <w:rsid w:val="00314865"/>
    <w:rsid w:val="00314EBD"/>
    <w:rsid w:val="00316840"/>
    <w:rsid w:val="00320905"/>
    <w:rsid w:val="00327817"/>
    <w:rsid w:val="003279A8"/>
    <w:rsid w:val="003302FF"/>
    <w:rsid w:val="0033034E"/>
    <w:rsid w:val="00330852"/>
    <w:rsid w:val="00332036"/>
    <w:rsid w:val="00332B6B"/>
    <w:rsid w:val="00335273"/>
    <w:rsid w:val="00337018"/>
    <w:rsid w:val="00337315"/>
    <w:rsid w:val="00340E9C"/>
    <w:rsid w:val="003413C6"/>
    <w:rsid w:val="003415A0"/>
    <w:rsid w:val="00342DD3"/>
    <w:rsid w:val="00343C68"/>
    <w:rsid w:val="0034514F"/>
    <w:rsid w:val="0034596F"/>
    <w:rsid w:val="0034753B"/>
    <w:rsid w:val="00352999"/>
    <w:rsid w:val="003530DA"/>
    <w:rsid w:val="003534B5"/>
    <w:rsid w:val="0035427F"/>
    <w:rsid w:val="0035592C"/>
    <w:rsid w:val="003575CE"/>
    <w:rsid w:val="00361002"/>
    <w:rsid w:val="003610A2"/>
    <w:rsid w:val="00365F97"/>
    <w:rsid w:val="00367E5D"/>
    <w:rsid w:val="00370F35"/>
    <w:rsid w:val="00371C8B"/>
    <w:rsid w:val="00372846"/>
    <w:rsid w:val="00373858"/>
    <w:rsid w:val="00373CD5"/>
    <w:rsid w:val="00374F2A"/>
    <w:rsid w:val="00375ACF"/>
    <w:rsid w:val="00375BF0"/>
    <w:rsid w:val="00375D7D"/>
    <w:rsid w:val="0037721A"/>
    <w:rsid w:val="0038071A"/>
    <w:rsid w:val="003823B0"/>
    <w:rsid w:val="003833B0"/>
    <w:rsid w:val="00383D01"/>
    <w:rsid w:val="00385E7F"/>
    <w:rsid w:val="003861FF"/>
    <w:rsid w:val="0038665A"/>
    <w:rsid w:val="00387777"/>
    <w:rsid w:val="00387942"/>
    <w:rsid w:val="00387E7F"/>
    <w:rsid w:val="00391815"/>
    <w:rsid w:val="00392609"/>
    <w:rsid w:val="0039324F"/>
    <w:rsid w:val="00396483"/>
    <w:rsid w:val="003975D0"/>
    <w:rsid w:val="003A0334"/>
    <w:rsid w:val="003A0CE5"/>
    <w:rsid w:val="003A3D11"/>
    <w:rsid w:val="003B0B33"/>
    <w:rsid w:val="003B2771"/>
    <w:rsid w:val="003B3201"/>
    <w:rsid w:val="003B3484"/>
    <w:rsid w:val="003B62FF"/>
    <w:rsid w:val="003C188A"/>
    <w:rsid w:val="003C2548"/>
    <w:rsid w:val="003C316B"/>
    <w:rsid w:val="003C3B88"/>
    <w:rsid w:val="003C3D13"/>
    <w:rsid w:val="003C43EB"/>
    <w:rsid w:val="003C53CE"/>
    <w:rsid w:val="003C57B0"/>
    <w:rsid w:val="003C7165"/>
    <w:rsid w:val="003D044E"/>
    <w:rsid w:val="003D0885"/>
    <w:rsid w:val="003D18F7"/>
    <w:rsid w:val="003D23DD"/>
    <w:rsid w:val="003D2CFC"/>
    <w:rsid w:val="003D49DF"/>
    <w:rsid w:val="003D4F5D"/>
    <w:rsid w:val="003D6202"/>
    <w:rsid w:val="003D744B"/>
    <w:rsid w:val="003D7C4C"/>
    <w:rsid w:val="003E01C9"/>
    <w:rsid w:val="003E21CA"/>
    <w:rsid w:val="003E53EF"/>
    <w:rsid w:val="003F27BF"/>
    <w:rsid w:val="003F370B"/>
    <w:rsid w:val="003F41C6"/>
    <w:rsid w:val="003F44C1"/>
    <w:rsid w:val="003F5D37"/>
    <w:rsid w:val="003F6B30"/>
    <w:rsid w:val="0040062C"/>
    <w:rsid w:val="00402870"/>
    <w:rsid w:val="00402A86"/>
    <w:rsid w:val="00403819"/>
    <w:rsid w:val="00405F36"/>
    <w:rsid w:val="004061B1"/>
    <w:rsid w:val="00406747"/>
    <w:rsid w:val="00406E6D"/>
    <w:rsid w:val="00407310"/>
    <w:rsid w:val="00407A70"/>
    <w:rsid w:val="00410564"/>
    <w:rsid w:val="00410B76"/>
    <w:rsid w:val="00410BBC"/>
    <w:rsid w:val="00412776"/>
    <w:rsid w:val="00412C47"/>
    <w:rsid w:val="00420D04"/>
    <w:rsid w:val="0042279B"/>
    <w:rsid w:val="0042285F"/>
    <w:rsid w:val="00425184"/>
    <w:rsid w:val="00426066"/>
    <w:rsid w:val="00426D95"/>
    <w:rsid w:val="00426DC1"/>
    <w:rsid w:val="0043003B"/>
    <w:rsid w:val="004303E8"/>
    <w:rsid w:val="004304CD"/>
    <w:rsid w:val="00433DBF"/>
    <w:rsid w:val="004362B0"/>
    <w:rsid w:val="00437CB6"/>
    <w:rsid w:val="0044214A"/>
    <w:rsid w:val="004430A9"/>
    <w:rsid w:val="00445385"/>
    <w:rsid w:val="00445834"/>
    <w:rsid w:val="00447C35"/>
    <w:rsid w:val="004527A6"/>
    <w:rsid w:val="0045332A"/>
    <w:rsid w:val="0045432D"/>
    <w:rsid w:val="004550A2"/>
    <w:rsid w:val="00457309"/>
    <w:rsid w:val="00457D79"/>
    <w:rsid w:val="00464CC9"/>
    <w:rsid w:val="004663B8"/>
    <w:rsid w:val="0046665A"/>
    <w:rsid w:val="00466D65"/>
    <w:rsid w:val="0046703D"/>
    <w:rsid w:val="00467FA8"/>
    <w:rsid w:val="0047028E"/>
    <w:rsid w:val="0047084F"/>
    <w:rsid w:val="00470FED"/>
    <w:rsid w:val="004713E0"/>
    <w:rsid w:val="0047151D"/>
    <w:rsid w:val="004736AA"/>
    <w:rsid w:val="004738CD"/>
    <w:rsid w:val="00475201"/>
    <w:rsid w:val="00475D79"/>
    <w:rsid w:val="0047760E"/>
    <w:rsid w:val="00480418"/>
    <w:rsid w:val="0048185B"/>
    <w:rsid w:val="00481E39"/>
    <w:rsid w:val="00482FFB"/>
    <w:rsid w:val="00483853"/>
    <w:rsid w:val="00484906"/>
    <w:rsid w:val="004867A4"/>
    <w:rsid w:val="00486B23"/>
    <w:rsid w:val="004873BD"/>
    <w:rsid w:val="00487935"/>
    <w:rsid w:val="004900B8"/>
    <w:rsid w:val="00490110"/>
    <w:rsid w:val="004910BF"/>
    <w:rsid w:val="00491AC8"/>
    <w:rsid w:val="004928D5"/>
    <w:rsid w:val="00493958"/>
    <w:rsid w:val="00493DF8"/>
    <w:rsid w:val="004944A7"/>
    <w:rsid w:val="004951BC"/>
    <w:rsid w:val="00495EF8"/>
    <w:rsid w:val="00496414"/>
    <w:rsid w:val="00497570"/>
    <w:rsid w:val="00497998"/>
    <w:rsid w:val="004A0D12"/>
    <w:rsid w:val="004A1069"/>
    <w:rsid w:val="004A2022"/>
    <w:rsid w:val="004A3CC9"/>
    <w:rsid w:val="004A4223"/>
    <w:rsid w:val="004A43B9"/>
    <w:rsid w:val="004A5841"/>
    <w:rsid w:val="004A5B9A"/>
    <w:rsid w:val="004A6B80"/>
    <w:rsid w:val="004A6E81"/>
    <w:rsid w:val="004A7FE8"/>
    <w:rsid w:val="004B0B28"/>
    <w:rsid w:val="004B25EA"/>
    <w:rsid w:val="004B4376"/>
    <w:rsid w:val="004B4BD6"/>
    <w:rsid w:val="004B74F8"/>
    <w:rsid w:val="004B7C0E"/>
    <w:rsid w:val="004C0132"/>
    <w:rsid w:val="004C31E6"/>
    <w:rsid w:val="004C4224"/>
    <w:rsid w:val="004C5C9C"/>
    <w:rsid w:val="004C6288"/>
    <w:rsid w:val="004D0671"/>
    <w:rsid w:val="004D19F5"/>
    <w:rsid w:val="004D1EAB"/>
    <w:rsid w:val="004D23CF"/>
    <w:rsid w:val="004D6223"/>
    <w:rsid w:val="004D7918"/>
    <w:rsid w:val="004E06B6"/>
    <w:rsid w:val="004E1A2B"/>
    <w:rsid w:val="004E1B65"/>
    <w:rsid w:val="004E1D93"/>
    <w:rsid w:val="004E7051"/>
    <w:rsid w:val="004E75BE"/>
    <w:rsid w:val="004E7967"/>
    <w:rsid w:val="004F046B"/>
    <w:rsid w:val="004F0B2F"/>
    <w:rsid w:val="004F19B8"/>
    <w:rsid w:val="004F2366"/>
    <w:rsid w:val="004F2AFD"/>
    <w:rsid w:val="004F2DC5"/>
    <w:rsid w:val="004F5A09"/>
    <w:rsid w:val="004F5CE6"/>
    <w:rsid w:val="004F5EFC"/>
    <w:rsid w:val="004F6D22"/>
    <w:rsid w:val="004F6DBE"/>
    <w:rsid w:val="004F714C"/>
    <w:rsid w:val="004F73D4"/>
    <w:rsid w:val="00500A5C"/>
    <w:rsid w:val="005026CC"/>
    <w:rsid w:val="00503AD1"/>
    <w:rsid w:val="005041F7"/>
    <w:rsid w:val="0050449A"/>
    <w:rsid w:val="00505E81"/>
    <w:rsid w:val="005078AA"/>
    <w:rsid w:val="005100D1"/>
    <w:rsid w:val="00513720"/>
    <w:rsid w:val="0051607A"/>
    <w:rsid w:val="005205F4"/>
    <w:rsid w:val="00521967"/>
    <w:rsid w:val="00524378"/>
    <w:rsid w:val="005269B7"/>
    <w:rsid w:val="005269D3"/>
    <w:rsid w:val="00527152"/>
    <w:rsid w:val="00530F70"/>
    <w:rsid w:val="005315EA"/>
    <w:rsid w:val="00532FD5"/>
    <w:rsid w:val="00533107"/>
    <w:rsid w:val="00534E9F"/>
    <w:rsid w:val="0053506A"/>
    <w:rsid w:val="0053512A"/>
    <w:rsid w:val="00535508"/>
    <w:rsid w:val="00535D23"/>
    <w:rsid w:val="00536B13"/>
    <w:rsid w:val="005370BB"/>
    <w:rsid w:val="00540B35"/>
    <w:rsid w:val="005413B8"/>
    <w:rsid w:val="00541FFE"/>
    <w:rsid w:val="00544F1F"/>
    <w:rsid w:val="00545752"/>
    <w:rsid w:val="00545DDF"/>
    <w:rsid w:val="00545F38"/>
    <w:rsid w:val="0054634E"/>
    <w:rsid w:val="00547123"/>
    <w:rsid w:val="005514BE"/>
    <w:rsid w:val="005517D0"/>
    <w:rsid w:val="0055424F"/>
    <w:rsid w:val="00554428"/>
    <w:rsid w:val="00557377"/>
    <w:rsid w:val="00560495"/>
    <w:rsid w:val="00560599"/>
    <w:rsid w:val="00562F8A"/>
    <w:rsid w:val="00563721"/>
    <w:rsid w:val="00565776"/>
    <w:rsid w:val="00566033"/>
    <w:rsid w:val="00566508"/>
    <w:rsid w:val="00566C4E"/>
    <w:rsid w:val="00567BF4"/>
    <w:rsid w:val="00570ACF"/>
    <w:rsid w:val="005727A5"/>
    <w:rsid w:val="00573535"/>
    <w:rsid w:val="00573C2D"/>
    <w:rsid w:val="00575BB7"/>
    <w:rsid w:val="00575F88"/>
    <w:rsid w:val="0057794D"/>
    <w:rsid w:val="00581831"/>
    <w:rsid w:val="00582DC9"/>
    <w:rsid w:val="00585250"/>
    <w:rsid w:val="005859C8"/>
    <w:rsid w:val="00587796"/>
    <w:rsid w:val="005940DB"/>
    <w:rsid w:val="00594AC5"/>
    <w:rsid w:val="005953F2"/>
    <w:rsid w:val="00596618"/>
    <w:rsid w:val="00597ABF"/>
    <w:rsid w:val="005A2AAC"/>
    <w:rsid w:val="005A3C50"/>
    <w:rsid w:val="005A4293"/>
    <w:rsid w:val="005A61AB"/>
    <w:rsid w:val="005B0E04"/>
    <w:rsid w:val="005B1272"/>
    <w:rsid w:val="005B2781"/>
    <w:rsid w:val="005B6872"/>
    <w:rsid w:val="005B6B09"/>
    <w:rsid w:val="005B75E6"/>
    <w:rsid w:val="005C0164"/>
    <w:rsid w:val="005C0751"/>
    <w:rsid w:val="005C4B4F"/>
    <w:rsid w:val="005C4DE0"/>
    <w:rsid w:val="005C5B41"/>
    <w:rsid w:val="005C61D6"/>
    <w:rsid w:val="005D315F"/>
    <w:rsid w:val="005E139A"/>
    <w:rsid w:val="005E243E"/>
    <w:rsid w:val="005E2D06"/>
    <w:rsid w:val="005E41A6"/>
    <w:rsid w:val="005E4CC6"/>
    <w:rsid w:val="005E5D9F"/>
    <w:rsid w:val="005E6921"/>
    <w:rsid w:val="005F082A"/>
    <w:rsid w:val="005F1B29"/>
    <w:rsid w:val="005F3BCE"/>
    <w:rsid w:val="005F5087"/>
    <w:rsid w:val="005F69A9"/>
    <w:rsid w:val="00600502"/>
    <w:rsid w:val="00603FEE"/>
    <w:rsid w:val="006042ED"/>
    <w:rsid w:val="00604711"/>
    <w:rsid w:val="0060605E"/>
    <w:rsid w:val="006064E9"/>
    <w:rsid w:val="00606AB0"/>
    <w:rsid w:val="00607FAE"/>
    <w:rsid w:val="006104C8"/>
    <w:rsid w:val="0061064A"/>
    <w:rsid w:val="006139EC"/>
    <w:rsid w:val="00613CC2"/>
    <w:rsid w:val="00615BC9"/>
    <w:rsid w:val="00615CB4"/>
    <w:rsid w:val="0061712B"/>
    <w:rsid w:val="006177AE"/>
    <w:rsid w:val="00620C18"/>
    <w:rsid w:val="00621065"/>
    <w:rsid w:val="00621A4A"/>
    <w:rsid w:val="0062213F"/>
    <w:rsid w:val="00624E22"/>
    <w:rsid w:val="006308E7"/>
    <w:rsid w:val="00631D47"/>
    <w:rsid w:val="006330D9"/>
    <w:rsid w:val="006339F5"/>
    <w:rsid w:val="0063551B"/>
    <w:rsid w:val="00635523"/>
    <w:rsid w:val="00635F82"/>
    <w:rsid w:val="00636B6E"/>
    <w:rsid w:val="0063763A"/>
    <w:rsid w:val="00637894"/>
    <w:rsid w:val="00640620"/>
    <w:rsid w:val="00641D3B"/>
    <w:rsid w:val="00644080"/>
    <w:rsid w:val="00646942"/>
    <w:rsid w:val="00647786"/>
    <w:rsid w:val="006519AF"/>
    <w:rsid w:val="00652A9D"/>
    <w:rsid w:val="00653F69"/>
    <w:rsid w:val="006549A6"/>
    <w:rsid w:val="00655BF6"/>
    <w:rsid w:val="0065603B"/>
    <w:rsid w:val="0066058B"/>
    <w:rsid w:val="006618F7"/>
    <w:rsid w:val="00662222"/>
    <w:rsid w:val="00662414"/>
    <w:rsid w:val="00662C04"/>
    <w:rsid w:val="00663755"/>
    <w:rsid w:val="00664A69"/>
    <w:rsid w:val="00665959"/>
    <w:rsid w:val="00666380"/>
    <w:rsid w:val="00666745"/>
    <w:rsid w:val="00666DED"/>
    <w:rsid w:val="006674D7"/>
    <w:rsid w:val="0067275F"/>
    <w:rsid w:val="00674246"/>
    <w:rsid w:val="00674A82"/>
    <w:rsid w:val="00674D0B"/>
    <w:rsid w:val="006754B7"/>
    <w:rsid w:val="00675B7D"/>
    <w:rsid w:val="00676C69"/>
    <w:rsid w:val="00680F03"/>
    <w:rsid w:val="0068122B"/>
    <w:rsid w:val="00681236"/>
    <w:rsid w:val="006826BB"/>
    <w:rsid w:val="006829E5"/>
    <w:rsid w:val="006830C9"/>
    <w:rsid w:val="0068364A"/>
    <w:rsid w:val="0068507C"/>
    <w:rsid w:val="0068525B"/>
    <w:rsid w:val="00685D4F"/>
    <w:rsid w:val="00685DD6"/>
    <w:rsid w:val="006871D2"/>
    <w:rsid w:val="00691D49"/>
    <w:rsid w:val="006922C8"/>
    <w:rsid w:val="00692D3B"/>
    <w:rsid w:val="00693229"/>
    <w:rsid w:val="006951FD"/>
    <w:rsid w:val="00695BB1"/>
    <w:rsid w:val="006964AF"/>
    <w:rsid w:val="006A17BE"/>
    <w:rsid w:val="006A3E64"/>
    <w:rsid w:val="006A4512"/>
    <w:rsid w:val="006A4D47"/>
    <w:rsid w:val="006A56E4"/>
    <w:rsid w:val="006B029D"/>
    <w:rsid w:val="006B2D41"/>
    <w:rsid w:val="006B5811"/>
    <w:rsid w:val="006B6D8D"/>
    <w:rsid w:val="006C1643"/>
    <w:rsid w:val="006C287C"/>
    <w:rsid w:val="006C3C15"/>
    <w:rsid w:val="006C4479"/>
    <w:rsid w:val="006C4A02"/>
    <w:rsid w:val="006C7D4F"/>
    <w:rsid w:val="006D017C"/>
    <w:rsid w:val="006D12B4"/>
    <w:rsid w:val="006D4F41"/>
    <w:rsid w:val="006D6A44"/>
    <w:rsid w:val="006D7A33"/>
    <w:rsid w:val="006E280A"/>
    <w:rsid w:val="006E4BEC"/>
    <w:rsid w:val="006E6792"/>
    <w:rsid w:val="006E75E2"/>
    <w:rsid w:val="006F01B5"/>
    <w:rsid w:val="006F06FC"/>
    <w:rsid w:val="006F0A9A"/>
    <w:rsid w:val="006F4AD5"/>
    <w:rsid w:val="006F4CA7"/>
    <w:rsid w:val="006F5527"/>
    <w:rsid w:val="006F6211"/>
    <w:rsid w:val="00700F4D"/>
    <w:rsid w:val="00701034"/>
    <w:rsid w:val="00703D62"/>
    <w:rsid w:val="007041A0"/>
    <w:rsid w:val="007046F7"/>
    <w:rsid w:val="00707559"/>
    <w:rsid w:val="007076DF"/>
    <w:rsid w:val="00710701"/>
    <w:rsid w:val="007119FE"/>
    <w:rsid w:val="00712602"/>
    <w:rsid w:val="007144F6"/>
    <w:rsid w:val="00716311"/>
    <w:rsid w:val="0071750E"/>
    <w:rsid w:val="007216E3"/>
    <w:rsid w:val="00723A6D"/>
    <w:rsid w:val="00725672"/>
    <w:rsid w:val="007269AB"/>
    <w:rsid w:val="00731691"/>
    <w:rsid w:val="00732F74"/>
    <w:rsid w:val="007332F9"/>
    <w:rsid w:val="0073386C"/>
    <w:rsid w:val="00734ED0"/>
    <w:rsid w:val="0073511D"/>
    <w:rsid w:val="00736085"/>
    <w:rsid w:val="00736171"/>
    <w:rsid w:val="00736C8E"/>
    <w:rsid w:val="007405DC"/>
    <w:rsid w:val="00741394"/>
    <w:rsid w:val="007418D9"/>
    <w:rsid w:val="00742173"/>
    <w:rsid w:val="00742415"/>
    <w:rsid w:val="007426DA"/>
    <w:rsid w:val="00743593"/>
    <w:rsid w:val="00743C00"/>
    <w:rsid w:val="00743CDA"/>
    <w:rsid w:val="007441D4"/>
    <w:rsid w:val="00744252"/>
    <w:rsid w:val="00746FD8"/>
    <w:rsid w:val="00750FE0"/>
    <w:rsid w:val="00751E26"/>
    <w:rsid w:val="0075449A"/>
    <w:rsid w:val="007548E4"/>
    <w:rsid w:val="0075548A"/>
    <w:rsid w:val="00757335"/>
    <w:rsid w:val="00760360"/>
    <w:rsid w:val="007607FC"/>
    <w:rsid w:val="007613E1"/>
    <w:rsid w:val="00761522"/>
    <w:rsid w:val="0076179E"/>
    <w:rsid w:val="00762462"/>
    <w:rsid w:val="00762E9C"/>
    <w:rsid w:val="00764F3A"/>
    <w:rsid w:val="00770689"/>
    <w:rsid w:val="00772951"/>
    <w:rsid w:val="00774B00"/>
    <w:rsid w:val="007752C1"/>
    <w:rsid w:val="0077623A"/>
    <w:rsid w:val="00776A88"/>
    <w:rsid w:val="007771AD"/>
    <w:rsid w:val="007818E5"/>
    <w:rsid w:val="0078397D"/>
    <w:rsid w:val="00784103"/>
    <w:rsid w:val="00784C0B"/>
    <w:rsid w:val="00784F13"/>
    <w:rsid w:val="00786AC7"/>
    <w:rsid w:val="00787A9E"/>
    <w:rsid w:val="007910B2"/>
    <w:rsid w:val="007964A2"/>
    <w:rsid w:val="007970F7"/>
    <w:rsid w:val="007A0496"/>
    <w:rsid w:val="007A1654"/>
    <w:rsid w:val="007A2054"/>
    <w:rsid w:val="007A2D2F"/>
    <w:rsid w:val="007A6CDF"/>
    <w:rsid w:val="007A6F27"/>
    <w:rsid w:val="007A7979"/>
    <w:rsid w:val="007A7D3B"/>
    <w:rsid w:val="007B0321"/>
    <w:rsid w:val="007B183D"/>
    <w:rsid w:val="007B191B"/>
    <w:rsid w:val="007B1D69"/>
    <w:rsid w:val="007C165F"/>
    <w:rsid w:val="007C1DCB"/>
    <w:rsid w:val="007C29FD"/>
    <w:rsid w:val="007C542D"/>
    <w:rsid w:val="007D1343"/>
    <w:rsid w:val="007D2377"/>
    <w:rsid w:val="007D2D9B"/>
    <w:rsid w:val="007D3342"/>
    <w:rsid w:val="007D38E8"/>
    <w:rsid w:val="007D733B"/>
    <w:rsid w:val="007E22C2"/>
    <w:rsid w:val="007E29BA"/>
    <w:rsid w:val="007E2C4D"/>
    <w:rsid w:val="007E2DB9"/>
    <w:rsid w:val="007E3EC6"/>
    <w:rsid w:val="007E3EFB"/>
    <w:rsid w:val="007E4D02"/>
    <w:rsid w:val="007E4D0D"/>
    <w:rsid w:val="007E5495"/>
    <w:rsid w:val="007E5EA9"/>
    <w:rsid w:val="007E6CE7"/>
    <w:rsid w:val="007F1C4A"/>
    <w:rsid w:val="007F3673"/>
    <w:rsid w:val="007F3B3E"/>
    <w:rsid w:val="007F507E"/>
    <w:rsid w:val="007F63B6"/>
    <w:rsid w:val="007F7080"/>
    <w:rsid w:val="007F79B4"/>
    <w:rsid w:val="00800341"/>
    <w:rsid w:val="00800885"/>
    <w:rsid w:val="00800E2F"/>
    <w:rsid w:val="00801427"/>
    <w:rsid w:val="0080162F"/>
    <w:rsid w:val="0080204A"/>
    <w:rsid w:val="008022A8"/>
    <w:rsid w:val="0080286D"/>
    <w:rsid w:val="00806897"/>
    <w:rsid w:val="0080747A"/>
    <w:rsid w:val="00811627"/>
    <w:rsid w:val="008117B6"/>
    <w:rsid w:val="00813F99"/>
    <w:rsid w:val="00814CA3"/>
    <w:rsid w:val="00817E9E"/>
    <w:rsid w:val="0082142D"/>
    <w:rsid w:val="00821BD6"/>
    <w:rsid w:val="00823FD7"/>
    <w:rsid w:val="00824824"/>
    <w:rsid w:val="008274F3"/>
    <w:rsid w:val="0082792B"/>
    <w:rsid w:val="008303A2"/>
    <w:rsid w:val="00831997"/>
    <w:rsid w:val="00831E3F"/>
    <w:rsid w:val="00831F99"/>
    <w:rsid w:val="00833913"/>
    <w:rsid w:val="00835A94"/>
    <w:rsid w:val="00836835"/>
    <w:rsid w:val="00836FB4"/>
    <w:rsid w:val="00837B67"/>
    <w:rsid w:val="00837BEB"/>
    <w:rsid w:val="00837EFC"/>
    <w:rsid w:val="0084055A"/>
    <w:rsid w:val="00842BCE"/>
    <w:rsid w:val="00846556"/>
    <w:rsid w:val="00846760"/>
    <w:rsid w:val="008478EF"/>
    <w:rsid w:val="00850449"/>
    <w:rsid w:val="00851C18"/>
    <w:rsid w:val="0085254B"/>
    <w:rsid w:val="00852D9B"/>
    <w:rsid w:val="0085673F"/>
    <w:rsid w:val="00856B05"/>
    <w:rsid w:val="00861FE3"/>
    <w:rsid w:val="008620B1"/>
    <w:rsid w:val="00863EF0"/>
    <w:rsid w:val="00864956"/>
    <w:rsid w:val="00864F1C"/>
    <w:rsid w:val="0087200B"/>
    <w:rsid w:val="00872803"/>
    <w:rsid w:val="00872BA2"/>
    <w:rsid w:val="0087384F"/>
    <w:rsid w:val="0087775F"/>
    <w:rsid w:val="00877E32"/>
    <w:rsid w:val="0088063C"/>
    <w:rsid w:val="00880FC4"/>
    <w:rsid w:val="00881039"/>
    <w:rsid w:val="00883AAA"/>
    <w:rsid w:val="00883B46"/>
    <w:rsid w:val="00890980"/>
    <w:rsid w:val="00890CBC"/>
    <w:rsid w:val="00892EBC"/>
    <w:rsid w:val="00894E39"/>
    <w:rsid w:val="00895418"/>
    <w:rsid w:val="008957D9"/>
    <w:rsid w:val="0089788C"/>
    <w:rsid w:val="00897AF8"/>
    <w:rsid w:val="008A05DC"/>
    <w:rsid w:val="008A202D"/>
    <w:rsid w:val="008A2536"/>
    <w:rsid w:val="008A4157"/>
    <w:rsid w:val="008A5FCC"/>
    <w:rsid w:val="008A7B4B"/>
    <w:rsid w:val="008B4846"/>
    <w:rsid w:val="008B5689"/>
    <w:rsid w:val="008B5DBC"/>
    <w:rsid w:val="008B749E"/>
    <w:rsid w:val="008C09B5"/>
    <w:rsid w:val="008C1171"/>
    <w:rsid w:val="008C17BA"/>
    <w:rsid w:val="008C1F20"/>
    <w:rsid w:val="008C2D17"/>
    <w:rsid w:val="008C3CC2"/>
    <w:rsid w:val="008C3E75"/>
    <w:rsid w:val="008C5F38"/>
    <w:rsid w:val="008C6B0E"/>
    <w:rsid w:val="008C6FC8"/>
    <w:rsid w:val="008C7870"/>
    <w:rsid w:val="008D3756"/>
    <w:rsid w:val="008D4971"/>
    <w:rsid w:val="008D77FD"/>
    <w:rsid w:val="008E16CE"/>
    <w:rsid w:val="008E1E77"/>
    <w:rsid w:val="008E350D"/>
    <w:rsid w:val="008E6A92"/>
    <w:rsid w:val="008F1D37"/>
    <w:rsid w:val="008F2A32"/>
    <w:rsid w:val="008F4BDD"/>
    <w:rsid w:val="008F7897"/>
    <w:rsid w:val="00900302"/>
    <w:rsid w:val="0090296E"/>
    <w:rsid w:val="00902E31"/>
    <w:rsid w:val="0090379A"/>
    <w:rsid w:val="00906C03"/>
    <w:rsid w:val="00911149"/>
    <w:rsid w:val="00911636"/>
    <w:rsid w:val="0091354B"/>
    <w:rsid w:val="00913E49"/>
    <w:rsid w:val="00913ED2"/>
    <w:rsid w:val="009147FF"/>
    <w:rsid w:val="00915805"/>
    <w:rsid w:val="00916358"/>
    <w:rsid w:val="009204BB"/>
    <w:rsid w:val="009225DE"/>
    <w:rsid w:val="00922AFC"/>
    <w:rsid w:val="009237A5"/>
    <w:rsid w:val="00925605"/>
    <w:rsid w:val="009301DE"/>
    <w:rsid w:val="00934718"/>
    <w:rsid w:val="009370E2"/>
    <w:rsid w:val="009379AA"/>
    <w:rsid w:val="009404BA"/>
    <w:rsid w:val="00940535"/>
    <w:rsid w:val="009407A8"/>
    <w:rsid w:val="0094395B"/>
    <w:rsid w:val="00945F19"/>
    <w:rsid w:val="00950233"/>
    <w:rsid w:val="00950841"/>
    <w:rsid w:val="00952407"/>
    <w:rsid w:val="00952DBF"/>
    <w:rsid w:val="00953B35"/>
    <w:rsid w:val="00954414"/>
    <w:rsid w:val="00954A83"/>
    <w:rsid w:val="00956763"/>
    <w:rsid w:val="00957BCF"/>
    <w:rsid w:val="00960CDB"/>
    <w:rsid w:val="009625F6"/>
    <w:rsid w:val="009627F9"/>
    <w:rsid w:val="00964270"/>
    <w:rsid w:val="009658D6"/>
    <w:rsid w:val="009671E4"/>
    <w:rsid w:val="009676D8"/>
    <w:rsid w:val="00967CC8"/>
    <w:rsid w:val="00967EC4"/>
    <w:rsid w:val="00975F96"/>
    <w:rsid w:val="00980A8A"/>
    <w:rsid w:val="0098324A"/>
    <w:rsid w:val="00985FFB"/>
    <w:rsid w:val="009869ED"/>
    <w:rsid w:val="00987CAC"/>
    <w:rsid w:val="00990CFC"/>
    <w:rsid w:val="00993516"/>
    <w:rsid w:val="00995DD7"/>
    <w:rsid w:val="00995E0E"/>
    <w:rsid w:val="00996052"/>
    <w:rsid w:val="009960C9"/>
    <w:rsid w:val="00996C55"/>
    <w:rsid w:val="00997DA9"/>
    <w:rsid w:val="009A2905"/>
    <w:rsid w:val="009A38CE"/>
    <w:rsid w:val="009A38D1"/>
    <w:rsid w:val="009A491C"/>
    <w:rsid w:val="009A5463"/>
    <w:rsid w:val="009A5B58"/>
    <w:rsid w:val="009A5E1D"/>
    <w:rsid w:val="009A649B"/>
    <w:rsid w:val="009A6EB1"/>
    <w:rsid w:val="009A72B6"/>
    <w:rsid w:val="009B3E5B"/>
    <w:rsid w:val="009B4294"/>
    <w:rsid w:val="009B430C"/>
    <w:rsid w:val="009B5295"/>
    <w:rsid w:val="009B60BD"/>
    <w:rsid w:val="009B6D4C"/>
    <w:rsid w:val="009B70F4"/>
    <w:rsid w:val="009B7374"/>
    <w:rsid w:val="009C0727"/>
    <w:rsid w:val="009C1EF7"/>
    <w:rsid w:val="009C2556"/>
    <w:rsid w:val="009C6C52"/>
    <w:rsid w:val="009D0718"/>
    <w:rsid w:val="009D162F"/>
    <w:rsid w:val="009D1776"/>
    <w:rsid w:val="009D5976"/>
    <w:rsid w:val="009D5A80"/>
    <w:rsid w:val="009D79AE"/>
    <w:rsid w:val="009E0053"/>
    <w:rsid w:val="009E03D1"/>
    <w:rsid w:val="009E040A"/>
    <w:rsid w:val="009E1576"/>
    <w:rsid w:val="009E2345"/>
    <w:rsid w:val="009E2D6E"/>
    <w:rsid w:val="009E312B"/>
    <w:rsid w:val="009E40AA"/>
    <w:rsid w:val="009E4E40"/>
    <w:rsid w:val="009E710F"/>
    <w:rsid w:val="009F206C"/>
    <w:rsid w:val="009F4D89"/>
    <w:rsid w:val="009F6A97"/>
    <w:rsid w:val="00A00283"/>
    <w:rsid w:val="00A008E4"/>
    <w:rsid w:val="00A00B50"/>
    <w:rsid w:val="00A00E20"/>
    <w:rsid w:val="00A0253A"/>
    <w:rsid w:val="00A02A94"/>
    <w:rsid w:val="00A03293"/>
    <w:rsid w:val="00A03ADC"/>
    <w:rsid w:val="00A1000D"/>
    <w:rsid w:val="00A10193"/>
    <w:rsid w:val="00A10AC7"/>
    <w:rsid w:val="00A10DF8"/>
    <w:rsid w:val="00A111CB"/>
    <w:rsid w:val="00A11201"/>
    <w:rsid w:val="00A126F1"/>
    <w:rsid w:val="00A12A9B"/>
    <w:rsid w:val="00A14055"/>
    <w:rsid w:val="00A14E15"/>
    <w:rsid w:val="00A15690"/>
    <w:rsid w:val="00A17E16"/>
    <w:rsid w:val="00A22D41"/>
    <w:rsid w:val="00A23BB2"/>
    <w:rsid w:val="00A24540"/>
    <w:rsid w:val="00A258B6"/>
    <w:rsid w:val="00A27388"/>
    <w:rsid w:val="00A300BF"/>
    <w:rsid w:val="00A30328"/>
    <w:rsid w:val="00A3255E"/>
    <w:rsid w:val="00A3267D"/>
    <w:rsid w:val="00A331C8"/>
    <w:rsid w:val="00A37794"/>
    <w:rsid w:val="00A43E28"/>
    <w:rsid w:val="00A44451"/>
    <w:rsid w:val="00A46428"/>
    <w:rsid w:val="00A46BDC"/>
    <w:rsid w:val="00A500E9"/>
    <w:rsid w:val="00A5105C"/>
    <w:rsid w:val="00A513DF"/>
    <w:rsid w:val="00A52415"/>
    <w:rsid w:val="00A5321A"/>
    <w:rsid w:val="00A57B01"/>
    <w:rsid w:val="00A601CF"/>
    <w:rsid w:val="00A60B2E"/>
    <w:rsid w:val="00A61566"/>
    <w:rsid w:val="00A6188E"/>
    <w:rsid w:val="00A62E69"/>
    <w:rsid w:val="00A634F8"/>
    <w:rsid w:val="00A67499"/>
    <w:rsid w:val="00A716CD"/>
    <w:rsid w:val="00A744D1"/>
    <w:rsid w:val="00A745E3"/>
    <w:rsid w:val="00A76173"/>
    <w:rsid w:val="00A762E1"/>
    <w:rsid w:val="00A77AE4"/>
    <w:rsid w:val="00A806F4"/>
    <w:rsid w:val="00A81FA6"/>
    <w:rsid w:val="00A84E31"/>
    <w:rsid w:val="00A8697D"/>
    <w:rsid w:val="00A86A28"/>
    <w:rsid w:val="00A873DD"/>
    <w:rsid w:val="00A9059D"/>
    <w:rsid w:val="00A90983"/>
    <w:rsid w:val="00A91C91"/>
    <w:rsid w:val="00A925A8"/>
    <w:rsid w:val="00A930DA"/>
    <w:rsid w:val="00A943AF"/>
    <w:rsid w:val="00A96B58"/>
    <w:rsid w:val="00AA0175"/>
    <w:rsid w:val="00AA0A83"/>
    <w:rsid w:val="00AA25E4"/>
    <w:rsid w:val="00AA3112"/>
    <w:rsid w:val="00AA33FB"/>
    <w:rsid w:val="00AA388E"/>
    <w:rsid w:val="00AA3B8A"/>
    <w:rsid w:val="00AA4C9D"/>
    <w:rsid w:val="00AA525C"/>
    <w:rsid w:val="00AA6162"/>
    <w:rsid w:val="00AA733A"/>
    <w:rsid w:val="00AA78DC"/>
    <w:rsid w:val="00AA7F1A"/>
    <w:rsid w:val="00AB10AA"/>
    <w:rsid w:val="00AB25F9"/>
    <w:rsid w:val="00AB2F51"/>
    <w:rsid w:val="00AB2FDC"/>
    <w:rsid w:val="00AB4394"/>
    <w:rsid w:val="00AB54EE"/>
    <w:rsid w:val="00AB6229"/>
    <w:rsid w:val="00AB67C0"/>
    <w:rsid w:val="00AC009E"/>
    <w:rsid w:val="00AC1689"/>
    <w:rsid w:val="00AC1FDD"/>
    <w:rsid w:val="00AC4CA0"/>
    <w:rsid w:val="00AC4D72"/>
    <w:rsid w:val="00AC4F4B"/>
    <w:rsid w:val="00AC53F6"/>
    <w:rsid w:val="00AC71A6"/>
    <w:rsid w:val="00AC7C80"/>
    <w:rsid w:val="00AC7D35"/>
    <w:rsid w:val="00AD15B2"/>
    <w:rsid w:val="00AD24FE"/>
    <w:rsid w:val="00AD2536"/>
    <w:rsid w:val="00AD362B"/>
    <w:rsid w:val="00AD4B24"/>
    <w:rsid w:val="00AD6D51"/>
    <w:rsid w:val="00AE1B54"/>
    <w:rsid w:val="00AE2FF1"/>
    <w:rsid w:val="00AE36A3"/>
    <w:rsid w:val="00AE3C57"/>
    <w:rsid w:val="00AE515D"/>
    <w:rsid w:val="00AE64C1"/>
    <w:rsid w:val="00AE6B2A"/>
    <w:rsid w:val="00AF198F"/>
    <w:rsid w:val="00AF3041"/>
    <w:rsid w:val="00AF3BBC"/>
    <w:rsid w:val="00AF48CD"/>
    <w:rsid w:val="00AF5E69"/>
    <w:rsid w:val="00AF5FAD"/>
    <w:rsid w:val="00AF6022"/>
    <w:rsid w:val="00AF7EC8"/>
    <w:rsid w:val="00B015A7"/>
    <w:rsid w:val="00B01F89"/>
    <w:rsid w:val="00B038CC"/>
    <w:rsid w:val="00B051B8"/>
    <w:rsid w:val="00B053D9"/>
    <w:rsid w:val="00B06556"/>
    <w:rsid w:val="00B06B04"/>
    <w:rsid w:val="00B06B85"/>
    <w:rsid w:val="00B07150"/>
    <w:rsid w:val="00B11F31"/>
    <w:rsid w:val="00B12AB1"/>
    <w:rsid w:val="00B12C14"/>
    <w:rsid w:val="00B14090"/>
    <w:rsid w:val="00B15932"/>
    <w:rsid w:val="00B161CF"/>
    <w:rsid w:val="00B16C7B"/>
    <w:rsid w:val="00B16F92"/>
    <w:rsid w:val="00B21E7A"/>
    <w:rsid w:val="00B21EA3"/>
    <w:rsid w:val="00B2296E"/>
    <w:rsid w:val="00B328E5"/>
    <w:rsid w:val="00B331CF"/>
    <w:rsid w:val="00B3388D"/>
    <w:rsid w:val="00B34168"/>
    <w:rsid w:val="00B345D9"/>
    <w:rsid w:val="00B34DF8"/>
    <w:rsid w:val="00B37B14"/>
    <w:rsid w:val="00B43D0A"/>
    <w:rsid w:val="00B43EF1"/>
    <w:rsid w:val="00B44303"/>
    <w:rsid w:val="00B445BB"/>
    <w:rsid w:val="00B47091"/>
    <w:rsid w:val="00B47D07"/>
    <w:rsid w:val="00B5144B"/>
    <w:rsid w:val="00B5170B"/>
    <w:rsid w:val="00B52EE1"/>
    <w:rsid w:val="00B53992"/>
    <w:rsid w:val="00B53D6E"/>
    <w:rsid w:val="00B54EA4"/>
    <w:rsid w:val="00B60CE1"/>
    <w:rsid w:val="00B64706"/>
    <w:rsid w:val="00B679D3"/>
    <w:rsid w:val="00B67FEA"/>
    <w:rsid w:val="00B708AD"/>
    <w:rsid w:val="00B710D2"/>
    <w:rsid w:val="00B7113C"/>
    <w:rsid w:val="00B712CC"/>
    <w:rsid w:val="00B723DF"/>
    <w:rsid w:val="00B72D64"/>
    <w:rsid w:val="00B731DE"/>
    <w:rsid w:val="00B734C3"/>
    <w:rsid w:val="00B73EB2"/>
    <w:rsid w:val="00B74252"/>
    <w:rsid w:val="00B74AC4"/>
    <w:rsid w:val="00B7514D"/>
    <w:rsid w:val="00B7627A"/>
    <w:rsid w:val="00B7678B"/>
    <w:rsid w:val="00B77533"/>
    <w:rsid w:val="00B77999"/>
    <w:rsid w:val="00B77B05"/>
    <w:rsid w:val="00B81154"/>
    <w:rsid w:val="00B85149"/>
    <w:rsid w:val="00B85A12"/>
    <w:rsid w:val="00B86498"/>
    <w:rsid w:val="00B90481"/>
    <w:rsid w:val="00B9063F"/>
    <w:rsid w:val="00B92975"/>
    <w:rsid w:val="00B945D4"/>
    <w:rsid w:val="00B94BAD"/>
    <w:rsid w:val="00B97A58"/>
    <w:rsid w:val="00BA1325"/>
    <w:rsid w:val="00BA48FC"/>
    <w:rsid w:val="00BA5870"/>
    <w:rsid w:val="00BA679F"/>
    <w:rsid w:val="00BB0399"/>
    <w:rsid w:val="00BB0AAC"/>
    <w:rsid w:val="00BB0CBB"/>
    <w:rsid w:val="00BB0EFB"/>
    <w:rsid w:val="00BB19C4"/>
    <w:rsid w:val="00BB3223"/>
    <w:rsid w:val="00BB3BC1"/>
    <w:rsid w:val="00BB4344"/>
    <w:rsid w:val="00BB4A7B"/>
    <w:rsid w:val="00BB5D61"/>
    <w:rsid w:val="00BC1307"/>
    <w:rsid w:val="00BC2B27"/>
    <w:rsid w:val="00BC3B27"/>
    <w:rsid w:val="00BC4C9B"/>
    <w:rsid w:val="00BC609B"/>
    <w:rsid w:val="00BC7910"/>
    <w:rsid w:val="00BC7BEA"/>
    <w:rsid w:val="00BD0BD5"/>
    <w:rsid w:val="00BD209D"/>
    <w:rsid w:val="00BD6641"/>
    <w:rsid w:val="00BE4117"/>
    <w:rsid w:val="00BE467F"/>
    <w:rsid w:val="00BE4DAD"/>
    <w:rsid w:val="00BE5E4B"/>
    <w:rsid w:val="00BE6C2B"/>
    <w:rsid w:val="00BE716C"/>
    <w:rsid w:val="00BE76C8"/>
    <w:rsid w:val="00BE7990"/>
    <w:rsid w:val="00BF1AB9"/>
    <w:rsid w:val="00BF29E1"/>
    <w:rsid w:val="00BF2F12"/>
    <w:rsid w:val="00BF30AB"/>
    <w:rsid w:val="00BF37A1"/>
    <w:rsid w:val="00BF3A0E"/>
    <w:rsid w:val="00BF3A82"/>
    <w:rsid w:val="00BF47F6"/>
    <w:rsid w:val="00BF4C9A"/>
    <w:rsid w:val="00BF58CF"/>
    <w:rsid w:val="00BF695F"/>
    <w:rsid w:val="00C0339F"/>
    <w:rsid w:val="00C038FE"/>
    <w:rsid w:val="00C0411C"/>
    <w:rsid w:val="00C057FE"/>
    <w:rsid w:val="00C07331"/>
    <w:rsid w:val="00C10955"/>
    <w:rsid w:val="00C11B85"/>
    <w:rsid w:val="00C13C70"/>
    <w:rsid w:val="00C22BC5"/>
    <w:rsid w:val="00C22CD6"/>
    <w:rsid w:val="00C23063"/>
    <w:rsid w:val="00C23DAA"/>
    <w:rsid w:val="00C24103"/>
    <w:rsid w:val="00C25539"/>
    <w:rsid w:val="00C267D7"/>
    <w:rsid w:val="00C31877"/>
    <w:rsid w:val="00C31885"/>
    <w:rsid w:val="00C3387C"/>
    <w:rsid w:val="00C34436"/>
    <w:rsid w:val="00C347A8"/>
    <w:rsid w:val="00C3617C"/>
    <w:rsid w:val="00C4222C"/>
    <w:rsid w:val="00C42806"/>
    <w:rsid w:val="00C42BB6"/>
    <w:rsid w:val="00C42DFC"/>
    <w:rsid w:val="00C430F8"/>
    <w:rsid w:val="00C43515"/>
    <w:rsid w:val="00C46BC0"/>
    <w:rsid w:val="00C53B91"/>
    <w:rsid w:val="00C53EBB"/>
    <w:rsid w:val="00C5519E"/>
    <w:rsid w:val="00C5610C"/>
    <w:rsid w:val="00C57088"/>
    <w:rsid w:val="00C60694"/>
    <w:rsid w:val="00C6189C"/>
    <w:rsid w:val="00C61B15"/>
    <w:rsid w:val="00C620D3"/>
    <w:rsid w:val="00C62687"/>
    <w:rsid w:val="00C64195"/>
    <w:rsid w:val="00C64773"/>
    <w:rsid w:val="00C71379"/>
    <w:rsid w:val="00C71913"/>
    <w:rsid w:val="00C73712"/>
    <w:rsid w:val="00C73A21"/>
    <w:rsid w:val="00C76728"/>
    <w:rsid w:val="00C76F72"/>
    <w:rsid w:val="00C77A75"/>
    <w:rsid w:val="00C80771"/>
    <w:rsid w:val="00C836EC"/>
    <w:rsid w:val="00C8413F"/>
    <w:rsid w:val="00C84368"/>
    <w:rsid w:val="00C84427"/>
    <w:rsid w:val="00C844F7"/>
    <w:rsid w:val="00C84D0E"/>
    <w:rsid w:val="00C859C7"/>
    <w:rsid w:val="00C8680A"/>
    <w:rsid w:val="00C87B56"/>
    <w:rsid w:val="00C87D7F"/>
    <w:rsid w:val="00C91002"/>
    <w:rsid w:val="00C91424"/>
    <w:rsid w:val="00C915E2"/>
    <w:rsid w:val="00C93462"/>
    <w:rsid w:val="00C97041"/>
    <w:rsid w:val="00C97042"/>
    <w:rsid w:val="00C9794E"/>
    <w:rsid w:val="00C979F3"/>
    <w:rsid w:val="00CA06CE"/>
    <w:rsid w:val="00CA0EED"/>
    <w:rsid w:val="00CA0F8C"/>
    <w:rsid w:val="00CA1224"/>
    <w:rsid w:val="00CA2794"/>
    <w:rsid w:val="00CB0616"/>
    <w:rsid w:val="00CB1364"/>
    <w:rsid w:val="00CB3215"/>
    <w:rsid w:val="00CB38A0"/>
    <w:rsid w:val="00CB38AF"/>
    <w:rsid w:val="00CB630A"/>
    <w:rsid w:val="00CB65EF"/>
    <w:rsid w:val="00CB6DBB"/>
    <w:rsid w:val="00CB72F5"/>
    <w:rsid w:val="00CC012F"/>
    <w:rsid w:val="00CC03E3"/>
    <w:rsid w:val="00CC0D0A"/>
    <w:rsid w:val="00CC1B7D"/>
    <w:rsid w:val="00CC1EF1"/>
    <w:rsid w:val="00CC3D8E"/>
    <w:rsid w:val="00CC41DA"/>
    <w:rsid w:val="00CC503C"/>
    <w:rsid w:val="00CC5AB4"/>
    <w:rsid w:val="00CC5F28"/>
    <w:rsid w:val="00CC6C4E"/>
    <w:rsid w:val="00CC6EA3"/>
    <w:rsid w:val="00CD49EC"/>
    <w:rsid w:val="00CE08AA"/>
    <w:rsid w:val="00CE313B"/>
    <w:rsid w:val="00CE4610"/>
    <w:rsid w:val="00CE475C"/>
    <w:rsid w:val="00CE7AEB"/>
    <w:rsid w:val="00CE7E3D"/>
    <w:rsid w:val="00CF0D1F"/>
    <w:rsid w:val="00CF0DC4"/>
    <w:rsid w:val="00CF0ECB"/>
    <w:rsid w:val="00CF1D5A"/>
    <w:rsid w:val="00CF3C7B"/>
    <w:rsid w:val="00CF4E4D"/>
    <w:rsid w:val="00CF7317"/>
    <w:rsid w:val="00D023A7"/>
    <w:rsid w:val="00D0254C"/>
    <w:rsid w:val="00D02A61"/>
    <w:rsid w:val="00D02D91"/>
    <w:rsid w:val="00D038F3"/>
    <w:rsid w:val="00D03E94"/>
    <w:rsid w:val="00D0438E"/>
    <w:rsid w:val="00D06225"/>
    <w:rsid w:val="00D075C8"/>
    <w:rsid w:val="00D10279"/>
    <w:rsid w:val="00D113C0"/>
    <w:rsid w:val="00D11965"/>
    <w:rsid w:val="00D126B7"/>
    <w:rsid w:val="00D134E0"/>
    <w:rsid w:val="00D13636"/>
    <w:rsid w:val="00D14F5B"/>
    <w:rsid w:val="00D17713"/>
    <w:rsid w:val="00D17CB6"/>
    <w:rsid w:val="00D20356"/>
    <w:rsid w:val="00D20FFB"/>
    <w:rsid w:val="00D2478F"/>
    <w:rsid w:val="00D260F8"/>
    <w:rsid w:val="00D26D78"/>
    <w:rsid w:val="00D3203E"/>
    <w:rsid w:val="00D3214A"/>
    <w:rsid w:val="00D32665"/>
    <w:rsid w:val="00D32E6E"/>
    <w:rsid w:val="00D33037"/>
    <w:rsid w:val="00D3377E"/>
    <w:rsid w:val="00D33E15"/>
    <w:rsid w:val="00D350D0"/>
    <w:rsid w:val="00D37530"/>
    <w:rsid w:val="00D41699"/>
    <w:rsid w:val="00D445FA"/>
    <w:rsid w:val="00D4503A"/>
    <w:rsid w:val="00D4520B"/>
    <w:rsid w:val="00D4733E"/>
    <w:rsid w:val="00D4777B"/>
    <w:rsid w:val="00D50DBD"/>
    <w:rsid w:val="00D54752"/>
    <w:rsid w:val="00D56B8F"/>
    <w:rsid w:val="00D5791A"/>
    <w:rsid w:val="00D60BDF"/>
    <w:rsid w:val="00D60DC5"/>
    <w:rsid w:val="00D6151B"/>
    <w:rsid w:val="00D61780"/>
    <w:rsid w:val="00D61D5A"/>
    <w:rsid w:val="00D623EB"/>
    <w:rsid w:val="00D62905"/>
    <w:rsid w:val="00D637FE"/>
    <w:rsid w:val="00D63F04"/>
    <w:rsid w:val="00D65A6E"/>
    <w:rsid w:val="00D66D1C"/>
    <w:rsid w:val="00D72133"/>
    <w:rsid w:val="00D7221D"/>
    <w:rsid w:val="00D7237B"/>
    <w:rsid w:val="00D7363A"/>
    <w:rsid w:val="00D73FB7"/>
    <w:rsid w:val="00D73FB9"/>
    <w:rsid w:val="00D75FCF"/>
    <w:rsid w:val="00D76B16"/>
    <w:rsid w:val="00D76B66"/>
    <w:rsid w:val="00D773D0"/>
    <w:rsid w:val="00D77DC0"/>
    <w:rsid w:val="00D80073"/>
    <w:rsid w:val="00D80EB6"/>
    <w:rsid w:val="00D80FD9"/>
    <w:rsid w:val="00D81A8E"/>
    <w:rsid w:val="00D8329D"/>
    <w:rsid w:val="00D83408"/>
    <w:rsid w:val="00D83715"/>
    <w:rsid w:val="00D84668"/>
    <w:rsid w:val="00D84A3A"/>
    <w:rsid w:val="00D863CC"/>
    <w:rsid w:val="00D87B9A"/>
    <w:rsid w:val="00D87BD3"/>
    <w:rsid w:val="00D90D24"/>
    <w:rsid w:val="00D90EBF"/>
    <w:rsid w:val="00D916A9"/>
    <w:rsid w:val="00D94144"/>
    <w:rsid w:val="00D956BD"/>
    <w:rsid w:val="00D9611D"/>
    <w:rsid w:val="00D97463"/>
    <w:rsid w:val="00D9773D"/>
    <w:rsid w:val="00D97C6C"/>
    <w:rsid w:val="00D97D3F"/>
    <w:rsid w:val="00DA09EB"/>
    <w:rsid w:val="00DA2D2A"/>
    <w:rsid w:val="00DA4B88"/>
    <w:rsid w:val="00DA78B5"/>
    <w:rsid w:val="00DA7EEA"/>
    <w:rsid w:val="00DB304D"/>
    <w:rsid w:val="00DB3AAA"/>
    <w:rsid w:val="00DB439A"/>
    <w:rsid w:val="00DC04AB"/>
    <w:rsid w:val="00DC1AE7"/>
    <w:rsid w:val="00DC28FF"/>
    <w:rsid w:val="00DC2D48"/>
    <w:rsid w:val="00DC3253"/>
    <w:rsid w:val="00DC41C7"/>
    <w:rsid w:val="00DC5381"/>
    <w:rsid w:val="00DC5FA6"/>
    <w:rsid w:val="00DC631F"/>
    <w:rsid w:val="00DC6760"/>
    <w:rsid w:val="00DD30F7"/>
    <w:rsid w:val="00DD388E"/>
    <w:rsid w:val="00DD4EBF"/>
    <w:rsid w:val="00DD60C4"/>
    <w:rsid w:val="00DD736C"/>
    <w:rsid w:val="00DE2EE4"/>
    <w:rsid w:val="00DE5657"/>
    <w:rsid w:val="00DF0316"/>
    <w:rsid w:val="00DF0E5F"/>
    <w:rsid w:val="00DF11D0"/>
    <w:rsid w:val="00DF13A6"/>
    <w:rsid w:val="00DF13E5"/>
    <w:rsid w:val="00DF1972"/>
    <w:rsid w:val="00DF519C"/>
    <w:rsid w:val="00DF57DB"/>
    <w:rsid w:val="00DF665C"/>
    <w:rsid w:val="00E00339"/>
    <w:rsid w:val="00E005AF"/>
    <w:rsid w:val="00E014FE"/>
    <w:rsid w:val="00E025F4"/>
    <w:rsid w:val="00E04238"/>
    <w:rsid w:val="00E05D27"/>
    <w:rsid w:val="00E0766F"/>
    <w:rsid w:val="00E076E5"/>
    <w:rsid w:val="00E077E1"/>
    <w:rsid w:val="00E10F45"/>
    <w:rsid w:val="00E12E0B"/>
    <w:rsid w:val="00E1539A"/>
    <w:rsid w:val="00E16ECF"/>
    <w:rsid w:val="00E20692"/>
    <w:rsid w:val="00E206EA"/>
    <w:rsid w:val="00E21972"/>
    <w:rsid w:val="00E224CF"/>
    <w:rsid w:val="00E230B4"/>
    <w:rsid w:val="00E24645"/>
    <w:rsid w:val="00E24CCA"/>
    <w:rsid w:val="00E254A0"/>
    <w:rsid w:val="00E25680"/>
    <w:rsid w:val="00E2702D"/>
    <w:rsid w:val="00E30182"/>
    <w:rsid w:val="00E3229A"/>
    <w:rsid w:val="00E33AF6"/>
    <w:rsid w:val="00E36364"/>
    <w:rsid w:val="00E3647C"/>
    <w:rsid w:val="00E36A70"/>
    <w:rsid w:val="00E41451"/>
    <w:rsid w:val="00E415B8"/>
    <w:rsid w:val="00E42787"/>
    <w:rsid w:val="00E427EE"/>
    <w:rsid w:val="00E4577B"/>
    <w:rsid w:val="00E45817"/>
    <w:rsid w:val="00E45BFB"/>
    <w:rsid w:val="00E46F93"/>
    <w:rsid w:val="00E50D6A"/>
    <w:rsid w:val="00E513D0"/>
    <w:rsid w:val="00E6068D"/>
    <w:rsid w:val="00E61C32"/>
    <w:rsid w:val="00E67B6F"/>
    <w:rsid w:val="00E704F7"/>
    <w:rsid w:val="00E7076F"/>
    <w:rsid w:val="00E70C45"/>
    <w:rsid w:val="00E73382"/>
    <w:rsid w:val="00E7433B"/>
    <w:rsid w:val="00E75ABE"/>
    <w:rsid w:val="00E7646B"/>
    <w:rsid w:val="00E76542"/>
    <w:rsid w:val="00E76FF1"/>
    <w:rsid w:val="00E77000"/>
    <w:rsid w:val="00E77777"/>
    <w:rsid w:val="00E81560"/>
    <w:rsid w:val="00E83789"/>
    <w:rsid w:val="00E83838"/>
    <w:rsid w:val="00E83A19"/>
    <w:rsid w:val="00E850BA"/>
    <w:rsid w:val="00E8562C"/>
    <w:rsid w:val="00E858A9"/>
    <w:rsid w:val="00E86556"/>
    <w:rsid w:val="00E876CB"/>
    <w:rsid w:val="00E900A3"/>
    <w:rsid w:val="00E91310"/>
    <w:rsid w:val="00E9144E"/>
    <w:rsid w:val="00E92FA6"/>
    <w:rsid w:val="00E9477E"/>
    <w:rsid w:val="00E94EC3"/>
    <w:rsid w:val="00E9694D"/>
    <w:rsid w:val="00EA1AF6"/>
    <w:rsid w:val="00EA2EEB"/>
    <w:rsid w:val="00EA50EC"/>
    <w:rsid w:val="00EA5D5D"/>
    <w:rsid w:val="00EA692F"/>
    <w:rsid w:val="00EB37A8"/>
    <w:rsid w:val="00EB40B0"/>
    <w:rsid w:val="00EB4443"/>
    <w:rsid w:val="00EB74BC"/>
    <w:rsid w:val="00EC16F8"/>
    <w:rsid w:val="00EC336E"/>
    <w:rsid w:val="00ED2C08"/>
    <w:rsid w:val="00ED3A64"/>
    <w:rsid w:val="00ED4194"/>
    <w:rsid w:val="00ED560D"/>
    <w:rsid w:val="00ED605B"/>
    <w:rsid w:val="00ED6260"/>
    <w:rsid w:val="00ED6B98"/>
    <w:rsid w:val="00ED6C94"/>
    <w:rsid w:val="00ED7F1C"/>
    <w:rsid w:val="00EE1040"/>
    <w:rsid w:val="00EE4797"/>
    <w:rsid w:val="00EE5B40"/>
    <w:rsid w:val="00EE5D08"/>
    <w:rsid w:val="00EE7685"/>
    <w:rsid w:val="00EF0BF1"/>
    <w:rsid w:val="00EF0EA0"/>
    <w:rsid w:val="00EF35D0"/>
    <w:rsid w:val="00EF3CF4"/>
    <w:rsid w:val="00EF4C89"/>
    <w:rsid w:val="00EF5F9F"/>
    <w:rsid w:val="00EF64BD"/>
    <w:rsid w:val="00F0242A"/>
    <w:rsid w:val="00F05050"/>
    <w:rsid w:val="00F053EF"/>
    <w:rsid w:val="00F0676E"/>
    <w:rsid w:val="00F10BC5"/>
    <w:rsid w:val="00F12FA6"/>
    <w:rsid w:val="00F1327E"/>
    <w:rsid w:val="00F141DF"/>
    <w:rsid w:val="00F15307"/>
    <w:rsid w:val="00F16041"/>
    <w:rsid w:val="00F16F37"/>
    <w:rsid w:val="00F17A7A"/>
    <w:rsid w:val="00F20245"/>
    <w:rsid w:val="00F216B1"/>
    <w:rsid w:val="00F23A2A"/>
    <w:rsid w:val="00F23E20"/>
    <w:rsid w:val="00F23F90"/>
    <w:rsid w:val="00F24F70"/>
    <w:rsid w:val="00F25611"/>
    <w:rsid w:val="00F30A87"/>
    <w:rsid w:val="00F31DA3"/>
    <w:rsid w:val="00F32F11"/>
    <w:rsid w:val="00F331FC"/>
    <w:rsid w:val="00F3371D"/>
    <w:rsid w:val="00F35CBE"/>
    <w:rsid w:val="00F374B9"/>
    <w:rsid w:val="00F406A9"/>
    <w:rsid w:val="00F40823"/>
    <w:rsid w:val="00F40BF4"/>
    <w:rsid w:val="00F41942"/>
    <w:rsid w:val="00F4261F"/>
    <w:rsid w:val="00F43B0B"/>
    <w:rsid w:val="00F43BA6"/>
    <w:rsid w:val="00F508B0"/>
    <w:rsid w:val="00F51C02"/>
    <w:rsid w:val="00F5227C"/>
    <w:rsid w:val="00F53937"/>
    <w:rsid w:val="00F54C78"/>
    <w:rsid w:val="00F555DD"/>
    <w:rsid w:val="00F55D28"/>
    <w:rsid w:val="00F5610C"/>
    <w:rsid w:val="00F566C7"/>
    <w:rsid w:val="00F57850"/>
    <w:rsid w:val="00F626E0"/>
    <w:rsid w:val="00F64195"/>
    <w:rsid w:val="00F646A4"/>
    <w:rsid w:val="00F65C61"/>
    <w:rsid w:val="00F65D33"/>
    <w:rsid w:val="00F6667B"/>
    <w:rsid w:val="00F675A0"/>
    <w:rsid w:val="00F7027C"/>
    <w:rsid w:val="00F70333"/>
    <w:rsid w:val="00F72892"/>
    <w:rsid w:val="00F729B4"/>
    <w:rsid w:val="00F73106"/>
    <w:rsid w:val="00F73F33"/>
    <w:rsid w:val="00F7494E"/>
    <w:rsid w:val="00F74B06"/>
    <w:rsid w:val="00F75C80"/>
    <w:rsid w:val="00F80AFA"/>
    <w:rsid w:val="00F8155F"/>
    <w:rsid w:val="00F81BA9"/>
    <w:rsid w:val="00F82D92"/>
    <w:rsid w:val="00F85FA6"/>
    <w:rsid w:val="00F860A4"/>
    <w:rsid w:val="00F86357"/>
    <w:rsid w:val="00F90FBA"/>
    <w:rsid w:val="00F93C02"/>
    <w:rsid w:val="00F955C4"/>
    <w:rsid w:val="00F95855"/>
    <w:rsid w:val="00F95C7C"/>
    <w:rsid w:val="00F96297"/>
    <w:rsid w:val="00FA106A"/>
    <w:rsid w:val="00FA13BE"/>
    <w:rsid w:val="00FA1A86"/>
    <w:rsid w:val="00FA1B4B"/>
    <w:rsid w:val="00FA3174"/>
    <w:rsid w:val="00FA384A"/>
    <w:rsid w:val="00FA4229"/>
    <w:rsid w:val="00FA433D"/>
    <w:rsid w:val="00FA4DCD"/>
    <w:rsid w:val="00FA65D1"/>
    <w:rsid w:val="00FA6845"/>
    <w:rsid w:val="00FA6CA0"/>
    <w:rsid w:val="00FA701F"/>
    <w:rsid w:val="00FA78E7"/>
    <w:rsid w:val="00FB01B3"/>
    <w:rsid w:val="00FB4CE4"/>
    <w:rsid w:val="00FB5013"/>
    <w:rsid w:val="00FB507A"/>
    <w:rsid w:val="00FB6A28"/>
    <w:rsid w:val="00FB76CD"/>
    <w:rsid w:val="00FC662C"/>
    <w:rsid w:val="00FC6851"/>
    <w:rsid w:val="00FC7394"/>
    <w:rsid w:val="00FD2F99"/>
    <w:rsid w:val="00FD3B61"/>
    <w:rsid w:val="00FD5E0B"/>
    <w:rsid w:val="00FD79B7"/>
    <w:rsid w:val="00FE15EB"/>
    <w:rsid w:val="00FE4B51"/>
    <w:rsid w:val="00FE4E3B"/>
    <w:rsid w:val="00FE551A"/>
    <w:rsid w:val="00FE5772"/>
    <w:rsid w:val="00FE752E"/>
    <w:rsid w:val="00FE7DFE"/>
    <w:rsid w:val="00FF06F1"/>
    <w:rsid w:val="00FF2C7A"/>
    <w:rsid w:val="00FF330B"/>
    <w:rsid w:val="00FF4869"/>
    <w:rsid w:val="00FF7510"/>
    <w:rsid w:val="00FF7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D18ACD"/>
  <w15:docId w15:val="{46804143-F042-4640-B650-B2CC126C8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58A9"/>
    <w:pPr>
      <w:spacing w:after="0" w:line="240" w:lineRule="auto"/>
    </w:pPr>
    <w:rPr>
      <w:rFonts w:ascii="Calibri" w:hAnsi="Calibri"/>
    </w:rPr>
  </w:style>
  <w:style w:type="paragraph" w:styleId="Heading1">
    <w:name w:val="heading 1"/>
    <w:next w:val="BodyText"/>
    <w:link w:val="Heading1Char"/>
    <w:uiPriority w:val="1"/>
    <w:qFormat/>
    <w:rsid w:val="00E858A9"/>
    <w:pPr>
      <w:keepNext/>
      <w:keepLines/>
      <w:tabs>
        <w:tab w:val="left" w:pos="3345"/>
      </w:tabs>
      <w:spacing w:before="240" w:after="120" w:line="268" w:lineRule="auto"/>
      <w:outlineLvl w:val="0"/>
    </w:pPr>
    <w:rPr>
      <w:rFonts w:ascii="Calibri" w:eastAsiaTheme="majorEastAsia" w:hAnsi="Calibri" w:cstheme="majorBidi"/>
      <w:b/>
      <w:color w:val="003865"/>
      <w:sz w:val="40"/>
      <w:szCs w:val="40"/>
    </w:rPr>
  </w:style>
  <w:style w:type="paragraph" w:styleId="Heading2">
    <w:name w:val="heading 2"/>
    <w:next w:val="BodyText"/>
    <w:link w:val="Heading2Char"/>
    <w:uiPriority w:val="1"/>
    <w:unhideWhenUsed/>
    <w:qFormat/>
    <w:rsid w:val="000341DE"/>
    <w:pPr>
      <w:keepNext/>
      <w:keepLines/>
      <w:pBdr>
        <w:bottom w:val="single" w:sz="4" w:space="1" w:color="auto"/>
      </w:pBdr>
      <w:tabs>
        <w:tab w:val="left" w:pos="2400"/>
      </w:tabs>
      <w:spacing w:before="240" w:after="120" w:line="269" w:lineRule="auto"/>
      <w:outlineLvl w:val="1"/>
    </w:pPr>
    <w:rPr>
      <w:rFonts w:eastAsiaTheme="majorEastAsia" w:cstheme="majorBidi"/>
      <w:b/>
      <w:bCs/>
      <w:color w:val="003865"/>
      <w:sz w:val="32"/>
      <w:szCs w:val="32"/>
    </w:rPr>
  </w:style>
  <w:style w:type="paragraph" w:styleId="Heading3">
    <w:name w:val="heading 3"/>
    <w:next w:val="BodyText"/>
    <w:link w:val="Heading3Char"/>
    <w:uiPriority w:val="1"/>
    <w:unhideWhenUsed/>
    <w:qFormat/>
    <w:rsid w:val="00E858A9"/>
    <w:pPr>
      <w:keepNext/>
      <w:tabs>
        <w:tab w:val="left" w:pos="735"/>
      </w:tabs>
      <w:spacing w:before="240" w:after="120" w:line="268" w:lineRule="auto"/>
      <w:outlineLvl w:val="2"/>
    </w:pPr>
    <w:rPr>
      <w:rFonts w:eastAsiaTheme="majorEastAsia" w:cs="Arial"/>
      <w:b/>
      <w:color w:val="003865"/>
      <w:sz w:val="24"/>
      <w:szCs w:val="24"/>
    </w:rPr>
  </w:style>
  <w:style w:type="paragraph" w:styleId="Heading4">
    <w:name w:val="heading 4"/>
    <w:basedOn w:val="Normal"/>
    <w:next w:val="Normal"/>
    <w:link w:val="Heading4Char"/>
    <w:uiPriority w:val="9"/>
    <w:unhideWhenUsed/>
    <w:qFormat/>
    <w:rsid w:val="00F64195"/>
    <w:pPr>
      <w:keepNext/>
      <w:keepLines/>
      <w:spacing w:before="40"/>
      <w:outlineLvl w:val="3"/>
    </w:pPr>
    <w:rPr>
      <w:rFonts w:asciiTheme="majorHAnsi" w:eastAsiaTheme="majorEastAsia" w:hAnsiTheme="majorHAnsi" w:cstheme="majorBidi"/>
      <w:i/>
      <w:iCs/>
      <w:sz w:val="24"/>
    </w:rPr>
  </w:style>
  <w:style w:type="paragraph" w:styleId="Heading5">
    <w:name w:val="heading 5"/>
    <w:basedOn w:val="Normal"/>
    <w:next w:val="Normal"/>
    <w:link w:val="Heading5Char"/>
    <w:uiPriority w:val="9"/>
    <w:semiHidden/>
    <w:unhideWhenUsed/>
    <w:qFormat/>
    <w:rsid w:val="007C165F"/>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7C165F"/>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7C165F"/>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7C165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C165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ulletList">
    <w:name w:val="1Bullet List"/>
    <w:rsid w:val="00E91310"/>
    <w:pPr>
      <w:widowControl w:val="0"/>
      <w:tabs>
        <w:tab w:val="left" w:pos="720"/>
      </w:tabs>
      <w:autoSpaceDE w:val="0"/>
      <w:autoSpaceDN w:val="0"/>
      <w:adjustRightInd w:val="0"/>
      <w:ind w:left="720" w:hanging="720"/>
      <w:jc w:val="both"/>
    </w:pPr>
    <w:rPr>
      <w:sz w:val="24"/>
      <w:szCs w:val="24"/>
    </w:rPr>
  </w:style>
  <w:style w:type="paragraph" w:customStyle="1" w:styleId="2BulletList">
    <w:name w:val="2Bullet List"/>
    <w:rsid w:val="00E91310"/>
    <w:pPr>
      <w:widowControl w:val="0"/>
      <w:tabs>
        <w:tab w:val="left" w:pos="720"/>
        <w:tab w:val="left" w:pos="1440"/>
      </w:tabs>
      <w:autoSpaceDE w:val="0"/>
      <w:autoSpaceDN w:val="0"/>
      <w:adjustRightInd w:val="0"/>
      <w:ind w:left="1440" w:hanging="720"/>
      <w:jc w:val="both"/>
    </w:pPr>
    <w:rPr>
      <w:sz w:val="24"/>
      <w:szCs w:val="24"/>
    </w:rPr>
  </w:style>
  <w:style w:type="paragraph" w:customStyle="1" w:styleId="3BulletList">
    <w:name w:val="3Bullet List"/>
    <w:rsid w:val="00E91310"/>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BulletList">
    <w:name w:val="4Bullet List"/>
    <w:rsid w:val="00E91310"/>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BulletList">
    <w:name w:val="5Bullet List"/>
    <w:rsid w:val="00E91310"/>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BulletList">
    <w:name w:val="6Bullet List"/>
    <w:rsid w:val="00E9131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BulletList">
    <w:name w:val="7Bullet List"/>
    <w:rsid w:val="00E9131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BulletList">
    <w:name w:val="8Bullet List"/>
    <w:rsid w:val="00E9131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Triangles">
    <w:name w:val="1Triangles"/>
    <w:rsid w:val="00E91310"/>
    <w:pPr>
      <w:widowControl w:val="0"/>
      <w:tabs>
        <w:tab w:val="left" w:pos="720"/>
      </w:tabs>
      <w:autoSpaceDE w:val="0"/>
      <w:autoSpaceDN w:val="0"/>
      <w:adjustRightInd w:val="0"/>
      <w:ind w:left="720" w:hanging="720"/>
      <w:jc w:val="both"/>
    </w:pPr>
    <w:rPr>
      <w:sz w:val="24"/>
      <w:szCs w:val="24"/>
    </w:rPr>
  </w:style>
  <w:style w:type="paragraph" w:customStyle="1" w:styleId="2Triangles">
    <w:name w:val="2Triangles"/>
    <w:rsid w:val="00E91310"/>
    <w:pPr>
      <w:widowControl w:val="0"/>
      <w:tabs>
        <w:tab w:val="left" w:pos="720"/>
        <w:tab w:val="left" w:pos="1440"/>
      </w:tabs>
      <w:autoSpaceDE w:val="0"/>
      <w:autoSpaceDN w:val="0"/>
      <w:adjustRightInd w:val="0"/>
      <w:ind w:left="1440" w:hanging="720"/>
      <w:jc w:val="both"/>
    </w:pPr>
    <w:rPr>
      <w:sz w:val="24"/>
      <w:szCs w:val="24"/>
    </w:rPr>
  </w:style>
  <w:style w:type="paragraph" w:customStyle="1" w:styleId="3Triangles">
    <w:name w:val="3Triangles"/>
    <w:rsid w:val="00E91310"/>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Triangles">
    <w:name w:val="4Triangles"/>
    <w:rsid w:val="00E91310"/>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Triangles">
    <w:name w:val="5Triangles"/>
    <w:rsid w:val="00E91310"/>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Triangles">
    <w:name w:val="6Triangles"/>
    <w:rsid w:val="00E9131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Triangles">
    <w:name w:val="7Triangles"/>
    <w:rsid w:val="00E9131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Triangles">
    <w:name w:val="8Triangles"/>
    <w:rsid w:val="00E9131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a">
    <w:name w:val="_"/>
    <w:rsid w:val="00E91310"/>
    <w:pPr>
      <w:widowControl w:val="0"/>
      <w:autoSpaceDE w:val="0"/>
      <w:autoSpaceDN w:val="0"/>
      <w:adjustRightInd w:val="0"/>
      <w:ind w:left="-1080"/>
    </w:pPr>
    <w:rPr>
      <w:sz w:val="24"/>
      <w:szCs w:val="24"/>
    </w:rPr>
  </w:style>
  <w:style w:type="character" w:customStyle="1" w:styleId="DefaultPara">
    <w:name w:val="Default Para"/>
    <w:rsid w:val="00E91310"/>
  </w:style>
  <w:style w:type="character" w:customStyle="1" w:styleId="SYSHYPERTEXT">
    <w:name w:val="SYS_HYPERTEXT"/>
    <w:rsid w:val="00E91310"/>
    <w:rPr>
      <w:color w:val="0000FF"/>
    </w:rPr>
  </w:style>
  <w:style w:type="paragraph" w:styleId="Header">
    <w:name w:val="header"/>
    <w:basedOn w:val="Normal"/>
    <w:rsid w:val="00E91310"/>
    <w:pPr>
      <w:tabs>
        <w:tab w:val="center" w:pos="4320"/>
        <w:tab w:val="right" w:pos="8640"/>
      </w:tabs>
    </w:pPr>
  </w:style>
  <w:style w:type="character" w:styleId="PageNumber">
    <w:name w:val="page number"/>
    <w:basedOn w:val="DefaultParagraphFont"/>
    <w:rsid w:val="00E91310"/>
  </w:style>
  <w:style w:type="paragraph" w:styleId="BodyText">
    <w:name w:val="Body Text"/>
    <w:link w:val="BodyTextChar"/>
    <w:unhideWhenUsed/>
    <w:qFormat/>
    <w:rsid w:val="00E858A9"/>
    <w:pPr>
      <w:spacing w:before="200" w:after="200" w:line="268" w:lineRule="auto"/>
    </w:pPr>
  </w:style>
  <w:style w:type="paragraph" w:styleId="Caption">
    <w:name w:val="caption"/>
    <w:basedOn w:val="Normal"/>
    <w:next w:val="Normal"/>
    <w:uiPriority w:val="35"/>
    <w:semiHidden/>
    <w:unhideWhenUsed/>
    <w:qFormat/>
    <w:rsid w:val="007C165F"/>
    <w:pPr>
      <w:spacing w:after="200"/>
    </w:pPr>
    <w:rPr>
      <w:i/>
      <w:iCs/>
      <w:color w:val="1F497D" w:themeColor="text2"/>
      <w:sz w:val="18"/>
      <w:szCs w:val="18"/>
    </w:rPr>
  </w:style>
  <w:style w:type="paragraph" w:styleId="BodyText2">
    <w:name w:val="Body Text 2"/>
    <w:basedOn w:val="Normal"/>
    <w:rsid w:val="00E913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styleId="BodyText3">
    <w:name w:val="Body Text 3"/>
    <w:basedOn w:val="Normal"/>
    <w:rsid w:val="00E913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styleId="Hyperlink">
    <w:name w:val="Hyperlink"/>
    <w:rsid w:val="00E91310"/>
    <w:rPr>
      <w:color w:val="0000FF"/>
      <w:u w:val="single"/>
    </w:rPr>
  </w:style>
  <w:style w:type="character" w:styleId="FollowedHyperlink">
    <w:name w:val="FollowedHyperlink"/>
    <w:rsid w:val="00E91310"/>
    <w:rPr>
      <w:color w:val="800080"/>
      <w:u w:val="single"/>
    </w:rPr>
  </w:style>
  <w:style w:type="paragraph" w:styleId="Footer">
    <w:name w:val="footer"/>
    <w:basedOn w:val="Normal"/>
    <w:link w:val="FooterChar"/>
    <w:uiPriority w:val="99"/>
    <w:rsid w:val="00E91310"/>
    <w:pPr>
      <w:tabs>
        <w:tab w:val="center" w:pos="4320"/>
        <w:tab w:val="right" w:pos="8640"/>
      </w:tabs>
    </w:pPr>
  </w:style>
  <w:style w:type="paragraph" w:customStyle="1" w:styleId="Default">
    <w:name w:val="Default"/>
    <w:rsid w:val="00800885"/>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56059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F4C89"/>
    <w:rPr>
      <w:rFonts w:ascii="Tahoma" w:hAnsi="Tahoma" w:cs="Tahoma"/>
      <w:sz w:val="16"/>
      <w:szCs w:val="16"/>
    </w:rPr>
  </w:style>
  <w:style w:type="paragraph" w:styleId="ListParagraph">
    <w:name w:val="List Paragraph"/>
    <w:basedOn w:val="Normal"/>
    <w:qFormat/>
    <w:rsid w:val="007C165F"/>
    <w:pPr>
      <w:ind w:left="720"/>
      <w:contextualSpacing/>
    </w:pPr>
  </w:style>
  <w:style w:type="paragraph" w:styleId="ListBullet">
    <w:name w:val="List Bullet"/>
    <w:basedOn w:val="Normal"/>
    <w:rsid w:val="00C4222C"/>
    <w:pPr>
      <w:numPr>
        <w:numId w:val="1"/>
      </w:numPr>
      <w:spacing w:after="120"/>
    </w:pPr>
  </w:style>
  <w:style w:type="character" w:customStyle="1" w:styleId="BodyTextChar">
    <w:name w:val="Body Text Char"/>
    <w:basedOn w:val="DefaultParagraphFont"/>
    <w:link w:val="BodyText"/>
    <w:rsid w:val="00E858A9"/>
  </w:style>
  <w:style w:type="paragraph" w:customStyle="1" w:styleId="StyleListBulletAfter12pt">
    <w:name w:val="Style List Bullet + After:  12 pt"/>
    <w:basedOn w:val="ListBullet"/>
    <w:rsid w:val="00C4222C"/>
  </w:style>
  <w:style w:type="character" w:styleId="Strong">
    <w:name w:val="Strong"/>
    <w:basedOn w:val="DefaultParagraphFont"/>
    <w:uiPriority w:val="22"/>
    <w:qFormat/>
    <w:rsid w:val="007C165F"/>
    <w:rPr>
      <w:b/>
      <w:bCs/>
    </w:rPr>
  </w:style>
  <w:style w:type="character" w:styleId="Emphasis">
    <w:name w:val="Emphasis"/>
    <w:basedOn w:val="DefaultParagraphFont"/>
    <w:uiPriority w:val="20"/>
    <w:qFormat/>
    <w:rsid w:val="007C165F"/>
    <w:rPr>
      <w:i/>
      <w:iCs/>
    </w:rPr>
  </w:style>
  <w:style w:type="paragraph" w:styleId="Revision">
    <w:name w:val="Revision"/>
    <w:hidden/>
    <w:uiPriority w:val="99"/>
    <w:semiHidden/>
    <w:rsid w:val="00895418"/>
  </w:style>
  <w:style w:type="paragraph" w:styleId="NoSpacing">
    <w:name w:val="No Spacing"/>
    <w:uiPriority w:val="1"/>
    <w:qFormat/>
    <w:rsid w:val="007C165F"/>
    <w:pPr>
      <w:spacing w:after="0" w:line="240" w:lineRule="auto"/>
    </w:pPr>
    <w:rPr>
      <w:rFonts w:ascii="Calibri" w:hAnsi="Calibri"/>
    </w:rPr>
  </w:style>
  <w:style w:type="character" w:customStyle="1" w:styleId="Heading1Char">
    <w:name w:val="Heading 1 Char"/>
    <w:basedOn w:val="DefaultParagraphFont"/>
    <w:link w:val="Heading1"/>
    <w:uiPriority w:val="1"/>
    <w:rsid w:val="00E858A9"/>
    <w:rPr>
      <w:rFonts w:ascii="Calibri" w:eastAsiaTheme="majorEastAsia" w:hAnsi="Calibri" w:cstheme="majorBidi"/>
      <w:b/>
      <w:color w:val="003865"/>
      <w:sz w:val="40"/>
      <w:szCs w:val="40"/>
    </w:rPr>
  </w:style>
  <w:style w:type="character" w:customStyle="1" w:styleId="Heading2Char">
    <w:name w:val="Heading 2 Char"/>
    <w:basedOn w:val="DefaultParagraphFont"/>
    <w:link w:val="Heading2"/>
    <w:uiPriority w:val="1"/>
    <w:rsid w:val="000341DE"/>
    <w:rPr>
      <w:rFonts w:eastAsiaTheme="majorEastAsia" w:cstheme="majorBidi"/>
      <w:b/>
      <w:bCs/>
      <w:color w:val="003865"/>
      <w:sz w:val="32"/>
      <w:szCs w:val="32"/>
    </w:rPr>
  </w:style>
  <w:style w:type="character" w:customStyle="1" w:styleId="Heading3Char">
    <w:name w:val="Heading 3 Char"/>
    <w:basedOn w:val="DefaultParagraphFont"/>
    <w:link w:val="Heading3"/>
    <w:uiPriority w:val="1"/>
    <w:rsid w:val="00E858A9"/>
    <w:rPr>
      <w:rFonts w:eastAsiaTheme="majorEastAsia" w:cs="Arial"/>
      <w:b/>
      <w:color w:val="003865"/>
      <w:sz w:val="24"/>
      <w:szCs w:val="24"/>
    </w:rPr>
  </w:style>
  <w:style w:type="character" w:customStyle="1" w:styleId="Heading4Char">
    <w:name w:val="Heading 4 Char"/>
    <w:basedOn w:val="DefaultParagraphFont"/>
    <w:link w:val="Heading4"/>
    <w:uiPriority w:val="9"/>
    <w:rsid w:val="00F64195"/>
    <w:rPr>
      <w:rFonts w:asciiTheme="majorHAnsi" w:eastAsiaTheme="majorEastAsia" w:hAnsiTheme="majorHAnsi" w:cstheme="majorBidi"/>
      <w:i/>
      <w:iCs/>
      <w:sz w:val="24"/>
    </w:rPr>
  </w:style>
  <w:style w:type="character" w:customStyle="1" w:styleId="Heading5Char">
    <w:name w:val="Heading 5 Char"/>
    <w:basedOn w:val="DefaultParagraphFont"/>
    <w:link w:val="Heading5"/>
    <w:uiPriority w:val="9"/>
    <w:semiHidden/>
    <w:rsid w:val="007C165F"/>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7C165F"/>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7C165F"/>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7C165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C165F"/>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7C165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16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165F"/>
    <w:pPr>
      <w:numPr>
        <w:ilvl w:val="1"/>
      </w:numPr>
      <w:spacing w:after="16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7C165F"/>
    <w:rPr>
      <w:rFonts w:eastAsiaTheme="minorEastAsia"/>
      <w:color w:val="5A5A5A" w:themeColor="text1" w:themeTint="A5"/>
      <w:spacing w:val="15"/>
    </w:rPr>
  </w:style>
  <w:style w:type="paragraph" w:styleId="Quote">
    <w:name w:val="Quote"/>
    <w:basedOn w:val="Normal"/>
    <w:next w:val="Normal"/>
    <w:link w:val="QuoteChar"/>
    <w:uiPriority w:val="29"/>
    <w:qFormat/>
    <w:rsid w:val="007C165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C165F"/>
    <w:rPr>
      <w:rFonts w:ascii="Calibri" w:hAnsi="Calibri"/>
      <w:i/>
      <w:iCs/>
      <w:color w:val="404040" w:themeColor="text1" w:themeTint="BF"/>
    </w:rPr>
  </w:style>
  <w:style w:type="paragraph" w:styleId="IntenseQuote">
    <w:name w:val="Intense Quote"/>
    <w:basedOn w:val="Normal"/>
    <w:next w:val="Normal"/>
    <w:link w:val="IntenseQuoteChar"/>
    <w:uiPriority w:val="30"/>
    <w:qFormat/>
    <w:rsid w:val="007C165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C165F"/>
    <w:rPr>
      <w:rFonts w:ascii="Calibri" w:hAnsi="Calibri"/>
      <w:i/>
      <w:iCs/>
      <w:color w:val="4F81BD" w:themeColor="accent1"/>
    </w:rPr>
  </w:style>
  <w:style w:type="character" w:styleId="SubtleEmphasis">
    <w:name w:val="Subtle Emphasis"/>
    <w:basedOn w:val="DefaultParagraphFont"/>
    <w:uiPriority w:val="19"/>
    <w:qFormat/>
    <w:rsid w:val="007C165F"/>
    <w:rPr>
      <w:i/>
      <w:iCs/>
      <w:color w:val="404040" w:themeColor="text1" w:themeTint="BF"/>
    </w:rPr>
  </w:style>
  <w:style w:type="character" w:styleId="IntenseEmphasis">
    <w:name w:val="Intense Emphasis"/>
    <w:basedOn w:val="DefaultParagraphFont"/>
    <w:uiPriority w:val="21"/>
    <w:qFormat/>
    <w:rsid w:val="007C165F"/>
    <w:rPr>
      <w:i/>
      <w:iCs/>
      <w:color w:val="4F81BD" w:themeColor="accent1"/>
    </w:rPr>
  </w:style>
  <w:style w:type="character" w:styleId="SubtleReference">
    <w:name w:val="Subtle Reference"/>
    <w:basedOn w:val="DefaultParagraphFont"/>
    <w:uiPriority w:val="31"/>
    <w:qFormat/>
    <w:rsid w:val="007C165F"/>
    <w:rPr>
      <w:smallCaps/>
      <w:color w:val="5A5A5A" w:themeColor="text1" w:themeTint="A5"/>
    </w:rPr>
  </w:style>
  <w:style w:type="character" w:styleId="IntenseReference">
    <w:name w:val="Intense Reference"/>
    <w:basedOn w:val="DefaultParagraphFont"/>
    <w:uiPriority w:val="32"/>
    <w:qFormat/>
    <w:rsid w:val="007C165F"/>
    <w:rPr>
      <w:b/>
      <w:bCs/>
      <w:smallCaps/>
      <w:color w:val="4F81BD" w:themeColor="accent1"/>
      <w:spacing w:val="5"/>
    </w:rPr>
  </w:style>
  <w:style w:type="character" w:styleId="BookTitle">
    <w:name w:val="Book Title"/>
    <w:basedOn w:val="DefaultParagraphFont"/>
    <w:uiPriority w:val="33"/>
    <w:qFormat/>
    <w:rsid w:val="007C165F"/>
    <w:rPr>
      <w:b/>
      <w:bCs/>
      <w:i/>
      <w:iCs/>
      <w:spacing w:val="5"/>
    </w:rPr>
  </w:style>
  <w:style w:type="paragraph" w:styleId="TOCHeading">
    <w:name w:val="TOC Heading"/>
    <w:basedOn w:val="Heading1"/>
    <w:next w:val="Normal"/>
    <w:uiPriority w:val="39"/>
    <w:semiHidden/>
    <w:unhideWhenUsed/>
    <w:qFormat/>
    <w:rsid w:val="007C165F"/>
    <w:pPr>
      <w:tabs>
        <w:tab w:val="clear" w:pos="3345"/>
      </w:tabs>
      <w:spacing w:after="0" w:line="240" w:lineRule="auto"/>
      <w:outlineLvl w:val="9"/>
    </w:pPr>
    <w:rPr>
      <w:rFonts w:asciiTheme="majorHAnsi" w:hAnsiTheme="majorHAnsi"/>
      <w:b w:val="0"/>
      <w:color w:val="365F91" w:themeColor="accent1" w:themeShade="BF"/>
      <w:sz w:val="32"/>
      <w:szCs w:val="32"/>
    </w:rPr>
  </w:style>
  <w:style w:type="character" w:customStyle="1" w:styleId="FooterChar">
    <w:name w:val="Footer Char"/>
    <w:basedOn w:val="DefaultParagraphFont"/>
    <w:link w:val="Footer"/>
    <w:uiPriority w:val="99"/>
    <w:rsid w:val="001B6B06"/>
  </w:style>
  <w:style w:type="character" w:styleId="CommentReference">
    <w:name w:val="annotation reference"/>
    <w:basedOn w:val="DefaultParagraphFont"/>
    <w:semiHidden/>
    <w:unhideWhenUsed/>
    <w:rsid w:val="00D63F04"/>
    <w:rPr>
      <w:sz w:val="16"/>
      <w:szCs w:val="16"/>
    </w:rPr>
  </w:style>
  <w:style w:type="paragraph" w:styleId="CommentText">
    <w:name w:val="annotation text"/>
    <w:basedOn w:val="Normal"/>
    <w:link w:val="CommentTextChar"/>
    <w:semiHidden/>
    <w:unhideWhenUsed/>
    <w:rsid w:val="00D63F04"/>
    <w:rPr>
      <w:sz w:val="20"/>
      <w:szCs w:val="20"/>
    </w:rPr>
  </w:style>
  <w:style w:type="character" w:customStyle="1" w:styleId="CommentTextChar">
    <w:name w:val="Comment Text Char"/>
    <w:basedOn w:val="DefaultParagraphFont"/>
    <w:link w:val="CommentText"/>
    <w:semiHidden/>
    <w:rsid w:val="00D63F04"/>
    <w:rPr>
      <w:sz w:val="20"/>
      <w:szCs w:val="20"/>
    </w:rPr>
  </w:style>
  <w:style w:type="paragraph" w:styleId="CommentSubject">
    <w:name w:val="annotation subject"/>
    <w:basedOn w:val="CommentText"/>
    <w:next w:val="CommentText"/>
    <w:link w:val="CommentSubjectChar"/>
    <w:semiHidden/>
    <w:unhideWhenUsed/>
    <w:rsid w:val="00D63F04"/>
    <w:rPr>
      <w:b/>
      <w:bCs/>
    </w:rPr>
  </w:style>
  <w:style w:type="character" w:customStyle="1" w:styleId="CommentSubjectChar">
    <w:name w:val="Comment Subject Char"/>
    <w:basedOn w:val="CommentTextChar"/>
    <w:link w:val="CommentSubject"/>
    <w:semiHidden/>
    <w:rsid w:val="00D63F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572">
      <w:bodyDiv w:val="1"/>
      <w:marLeft w:val="60"/>
      <w:marRight w:val="60"/>
      <w:marTop w:val="60"/>
      <w:marBottom w:val="15"/>
      <w:divBdr>
        <w:top w:val="none" w:sz="0" w:space="0" w:color="auto"/>
        <w:left w:val="none" w:sz="0" w:space="0" w:color="auto"/>
        <w:bottom w:val="none" w:sz="0" w:space="0" w:color="auto"/>
        <w:right w:val="none" w:sz="0" w:space="0" w:color="auto"/>
      </w:divBdr>
      <w:divsChild>
        <w:div w:id="130952323">
          <w:marLeft w:val="0"/>
          <w:marRight w:val="0"/>
          <w:marTop w:val="0"/>
          <w:marBottom w:val="0"/>
          <w:divBdr>
            <w:top w:val="none" w:sz="0" w:space="0" w:color="auto"/>
            <w:left w:val="none" w:sz="0" w:space="0" w:color="auto"/>
            <w:bottom w:val="none" w:sz="0" w:space="0" w:color="auto"/>
            <w:right w:val="none" w:sz="0" w:space="0" w:color="auto"/>
          </w:divBdr>
        </w:div>
        <w:div w:id="135029660">
          <w:marLeft w:val="0"/>
          <w:marRight w:val="0"/>
          <w:marTop w:val="0"/>
          <w:marBottom w:val="0"/>
          <w:divBdr>
            <w:top w:val="none" w:sz="0" w:space="0" w:color="auto"/>
            <w:left w:val="none" w:sz="0" w:space="0" w:color="auto"/>
            <w:bottom w:val="none" w:sz="0" w:space="0" w:color="auto"/>
            <w:right w:val="none" w:sz="0" w:space="0" w:color="auto"/>
          </w:divBdr>
        </w:div>
        <w:div w:id="140199586">
          <w:marLeft w:val="0"/>
          <w:marRight w:val="0"/>
          <w:marTop w:val="0"/>
          <w:marBottom w:val="0"/>
          <w:divBdr>
            <w:top w:val="none" w:sz="0" w:space="0" w:color="auto"/>
            <w:left w:val="none" w:sz="0" w:space="0" w:color="auto"/>
            <w:bottom w:val="none" w:sz="0" w:space="0" w:color="auto"/>
            <w:right w:val="none" w:sz="0" w:space="0" w:color="auto"/>
          </w:divBdr>
        </w:div>
        <w:div w:id="165025019">
          <w:marLeft w:val="0"/>
          <w:marRight w:val="0"/>
          <w:marTop w:val="0"/>
          <w:marBottom w:val="0"/>
          <w:divBdr>
            <w:top w:val="none" w:sz="0" w:space="0" w:color="auto"/>
            <w:left w:val="none" w:sz="0" w:space="0" w:color="auto"/>
            <w:bottom w:val="none" w:sz="0" w:space="0" w:color="auto"/>
            <w:right w:val="none" w:sz="0" w:space="0" w:color="auto"/>
          </w:divBdr>
        </w:div>
        <w:div w:id="233275361">
          <w:marLeft w:val="0"/>
          <w:marRight w:val="0"/>
          <w:marTop w:val="0"/>
          <w:marBottom w:val="0"/>
          <w:divBdr>
            <w:top w:val="none" w:sz="0" w:space="0" w:color="auto"/>
            <w:left w:val="none" w:sz="0" w:space="0" w:color="auto"/>
            <w:bottom w:val="none" w:sz="0" w:space="0" w:color="auto"/>
            <w:right w:val="none" w:sz="0" w:space="0" w:color="auto"/>
          </w:divBdr>
        </w:div>
        <w:div w:id="236519906">
          <w:marLeft w:val="0"/>
          <w:marRight w:val="0"/>
          <w:marTop w:val="0"/>
          <w:marBottom w:val="0"/>
          <w:divBdr>
            <w:top w:val="none" w:sz="0" w:space="0" w:color="auto"/>
            <w:left w:val="none" w:sz="0" w:space="0" w:color="auto"/>
            <w:bottom w:val="none" w:sz="0" w:space="0" w:color="auto"/>
            <w:right w:val="none" w:sz="0" w:space="0" w:color="auto"/>
          </w:divBdr>
        </w:div>
        <w:div w:id="274560804">
          <w:marLeft w:val="0"/>
          <w:marRight w:val="0"/>
          <w:marTop w:val="0"/>
          <w:marBottom w:val="0"/>
          <w:divBdr>
            <w:top w:val="none" w:sz="0" w:space="0" w:color="auto"/>
            <w:left w:val="none" w:sz="0" w:space="0" w:color="auto"/>
            <w:bottom w:val="none" w:sz="0" w:space="0" w:color="auto"/>
            <w:right w:val="none" w:sz="0" w:space="0" w:color="auto"/>
          </w:divBdr>
        </w:div>
        <w:div w:id="331493830">
          <w:marLeft w:val="0"/>
          <w:marRight w:val="0"/>
          <w:marTop w:val="0"/>
          <w:marBottom w:val="0"/>
          <w:divBdr>
            <w:top w:val="none" w:sz="0" w:space="0" w:color="auto"/>
            <w:left w:val="none" w:sz="0" w:space="0" w:color="auto"/>
            <w:bottom w:val="none" w:sz="0" w:space="0" w:color="auto"/>
            <w:right w:val="none" w:sz="0" w:space="0" w:color="auto"/>
          </w:divBdr>
        </w:div>
        <w:div w:id="444538856">
          <w:marLeft w:val="0"/>
          <w:marRight w:val="0"/>
          <w:marTop w:val="0"/>
          <w:marBottom w:val="0"/>
          <w:divBdr>
            <w:top w:val="none" w:sz="0" w:space="0" w:color="auto"/>
            <w:left w:val="none" w:sz="0" w:space="0" w:color="auto"/>
            <w:bottom w:val="none" w:sz="0" w:space="0" w:color="auto"/>
            <w:right w:val="none" w:sz="0" w:space="0" w:color="auto"/>
          </w:divBdr>
        </w:div>
        <w:div w:id="513375455">
          <w:marLeft w:val="0"/>
          <w:marRight w:val="0"/>
          <w:marTop w:val="0"/>
          <w:marBottom w:val="0"/>
          <w:divBdr>
            <w:top w:val="none" w:sz="0" w:space="0" w:color="auto"/>
            <w:left w:val="none" w:sz="0" w:space="0" w:color="auto"/>
            <w:bottom w:val="none" w:sz="0" w:space="0" w:color="auto"/>
            <w:right w:val="none" w:sz="0" w:space="0" w:color="auto"/>
          </w:divBdr>
        </w:div>
        <w:div w:id="514464967">
          <w:marLeft w:val="0"/>
          <w:marRight w:val="0"/>
          <w:marTop w:val="0"/>
          <w:marBottom w:val="0"/>
          <w:divBdr>
            <w:top w:val="none" w:sz="0" w:space="0" w:color="auto"/>
            <w:left w:val="none" w:sz="0" w:space="0" w:color="auto"/>
            <w:bottom w:val="none" w:sz="0" w:space="0" w:color="auto"/>
            <w:right w:val="none" w:sz="0" w:space="0" w:color="auto"/>
          </w:divBdr>
        </w:div>
        <w:div w:id="522091692">
          <w:marLeft w:val="0"/>
          <w:marRight w:val="0"/>
          <w:marTop w:val="0"/>
          <w:marBottom w:val="0"/>
          <w:divBdr>
            <w:top w:val="none" w:sz="0" w:space="0" w:color="auto"/>
            <w:left w:val="none" w:sz="0" w:space="0" w:color="auto"/>
            <w:bottom w:val="none" w:sz="0" w:space="0" w:color="auto"/>
            <w:right w:val="none" w:sz="0" w:space="0" w:color="auto"/>
          </w:divBdr>
        </w:div>
        <w:div w:id="549847490">
          <w:marLeft w:val="0"/>
          <w:marRight w:val="0"/>
          <w:marTop w:val="0"/>
          <w:marBottom w:val="0"/>
          <w:divBdr>
            <w:top w:val="none" w:sz="0" w:space="0" w:color="auto"/>
            <w:left w:val="none" w:sz="0" w:space="0" w:color="auto"/>
            <w:bottom w:val="none" w:sz="0" w:space="0" w:color="auto"/>
            <w:right w:val="none" w:sz="0" w:space="0" w:color="auto"/>
          </w:divBdr>
        </w:div>
        <w:div w:id="571158826">
          <w:marLeft w:val="0"/>
          <w:marRight w:val="0"/>
          <w:marTop w:val="0"/>
          <w:marBottom w:val="0"/>
          <w:divBdr>
            <w:top w:val="none" w:sz="0" w:space="0" w:color="auto"/>
            <w:left w:val="none" w:sz="0" w:space="0" w:color="auto"/>
            <w:bottom w:val="none" w:sz="0" w:space="0" w:color="auto"/>
            <w:right w:val="none" w:sz="0" w:space="0" w:color="auto"/>
          </w:divBdr>
        </w:div>
        <w:div w:id="734858534">
          <w:marLeft w:val="0"/>
          <w:marRight w:val="0"/>
          <w:marTop w:val="0"/>
          <w:marBottom w:val="0"/>
          <w:divBdr>
            <w:top w:val="none" w:sz="0" w:space="0" w:color="auto"/>
            <w:left w:val="none" w:sz="0" w:space="0" w:color="auto"/>
            <w:bottom w:val="none" w:sz="0" w:space="0" w:color="auto"/>
            <w:right w:val="none" w:sz="0" w:space="0" w:color="auto"/>
          </w:divBdr>
        </w:div>
        <w:div w:id="852917297">
          <w:marLeft w:val="0"/>
          <w:marRight w:val="0"/>
          <w:marTop w:val="0"/>
          <w:marBottom w:val="0"/>
          <w:divBdr>
            <w:top w:val="none" w:sz="0" w:space="0" w:color="auto"/>
            <w:left w:val="none" w:sz="0" w:space="0" w:color="auto"/>
            <w:bottom w:val="none" w:sz="0" w:space="0" w:color="auto"/>
            <w:right w:val="none" w:sz="0" w:space="0" w:color="auto"/>
          </w:divBdr>
        </w:div>
        <w:div w:id="885220769">
          <w:marLeft w:val="0"/>
          <w:marRight w:val="0"/>
          <w:marTop w:val="0"/>
          <w:marBottom w:val="0"/>
          <w:divBdr>
            <w:top w:val="none" w:sz="0" w:space="0" w:color="auto"/>
            <w:left w:val="none" w:sz="0" w:space="0" w:color="auto"/>
            <w:bottom w:val="none" w:sz="0" w:space="0" w:color="auto"/>
            <w:right w:val="none" w:sz="0" w:space="0" w:color="auto"/>
          </w:divBdr>
        </w:div>
        <w:div w:id="921719138">
          <w:marLeft w:val="0"/>
          <w:marRight w:val="0"/>
          <w:marTop w:val="0"/>
          <w:marBottom w:val="0"/>
          <w:divBdr>
            <w:top w:val="none" w:sz="0" w:space="0" w:color="auto"/>
            <w:left w:val="none" w:sz="0" w:space="0" w:color="auto"/>
            <w:bottom w:val="none" w:sz="0" w:space="0" w:color="auto"/>
            <w:right w:val="none" w:sz="0" w:space="0" w:color="auto"/>
          </w:divBdr>
        </w:div>
        <w:div w:id="1124808185">
          <w:marLeft w:val="0"/>
          <w:marRight w:val="0"/>
          <w:marTop w:val="0"/>
          <w:marBottom w:val="0"/>
          <w:divBdr>
            <w:top w:val="none" w:sz="0" w:space="0" w:color="auto"/>
            <w:left w:val="none" w:sz="0" w:space="0" w:color="auto"/>
            <w:bottom w:val="none" w:sz="0" w:space="0" w:color="auto"/>
            <w:right w:val="none" w:sz="0" w:space="0" w:color="auto"/>
          </w:divBdr>
        </w:div>
        <w:div w:id="1298149345">
          <w:marLeft w:val="0"/>
          <w:marRight w:val="0"/>
          <w:marTop w:val="0"/>
          <w:marBottom w:val="0"/>
          <w:divBdr>
            <w:top w:val="none" w:sz="0" w:space="0" w:color="auto"/>
            <w:left w:val="none" w:sz="0" w:space="0" w:color="auto"/>
            <w:bottom w:val="none" w:sz="0" w:space="0" w:color="auto"/>
            <w:right w:val="none" w:sz="0" w:space="0" w:color="auto"/>
          </w:divBdr>
        </w:div>
        <w:div w:id="1319269194">
          <w:marLeft w:val="0"/>
          <w:marRight w:val="0"/>
          <w:marTop w:val="0"/>
          <w:marBottom w:val="0"/>
          <w:divBdr>
            <w:top w:val="none" w:sz="0" w:space="0" w:color="auto"/>
            <w:left w:val="none" w:sz="0" w:space="0" w:color="auto"/>
            <w:bottom w:val="none" w:sz="0" w:space="0" w:color="auto"/>
            <w:right w:val="none" w:sz="0" w:space="0" w:color="auto"/>
          </w:divBdr>
        </w:div>
        <w:div w:id="1368215720">
          <w:marLeft w:val="0"/>
          <w:marRight w:val="0"/>
          <w:marTop w:val="0"/>
          <w:marBottom w:val="0"/>
          <w:divBdr>
            <w:top w:val="none" w:sz="0" w:space="0" w:color="auto"/>
            <w:left w:val="none" w:sz="0" w:space="0" w:color="auto"/>
            <w:bottom w:val="none" w:sz="0" w:space="0" w:color="auto"/>
            <w:right w:val="none" w:sz="0" w:space="0" w:color="auto"/>
          </w:divBdr>
        </w:div>
        <w:div w:id="1411851049">
          <w:marLeft w:val="0"/>
          <w:marRight w:val="0"/>
          <w:marTop w:val="0"/>
          <w:marBottom w:val="0"/>
          <w:divBdr>
            <w:top w:val="none" w:sz="0" w:space="0" w:color="auto"/>
            <w:left w:val="none" w:sz="0" w:space="0" w:color="auto"/>
            <w:bottom w:val="none" w:sz="0" w:space="0" w:color="auto"/>
            <w:right w:val="none" w:sz="0" w:space="0" w:color="auto"/>
          </w:divBdr>
        </w:div>
        <w:div w:id="1519932120">
          <w:marLeft w:val="0"/>
          <w:marRight w:val="0"/>
          <w:marTop w:val="0"/>
          <w:marBottom w:val="0"/>
          <w:divBdr>
            <w:top w:val="none" w:sz="0" w:space="0" w:color="auto"/>
            <w:left w:val="none" w:sz="0" w:space="0" w:color="auto"/>
            <w:bottom w:val="none" w:sz="0" w:space="0" w:color="auto"/>
            <w:right w:val="none" w:sz="0" w:space="0" w:color="auto"/>
          </w:divBdr>
        </w:div>
        <w:div w:id="1557472255">
          <w:marLeft w:val="0"/>
          <w:marRight w:val="0"/>
          <w:marTop w:val="0"/>
          <w:marBottom w:val="0"/>
          <w:divBdr>
            <w:top w:val="none" w:sz="0" w:space="0" w:color="auto"/>
            <w:left w:val="none" w:sz="0" w:space="0" w:color="auto"/>
            <w:bottom w:val="none" w:sz="0" w:space="0" w:color="auto"/>
            <w:right w:val="none" w:sz="0" w:space="0" w:color="auto"/>
          </w:divBdr>
        </w:div>
        <w:div w:id="1582105048">
          <w:marLeft w:val="0"/>
          <w:marRight w:val="0"/>
          <w:marTop w:val="0"/>
          <w:marBottom w:val="0"/>
          <w:divBdr>
            <w:top w:val="none" w:sz="0" w:space="0" w:color="auto"/>
            <w:left w:val="none" w:sz="0" w:space="0" w:color="auto"/>
            <w:bottom w:val="none" w:sz="0" w:space="0" w:color="auto"/>
            <w:right w:val="none" w:sz="0" w:space="0" w:color="auto"/>
          </w:divBdr>
        </w:div>
        <w:div w:id="1710063345">
          <w:marLeft w:val="0"/>
          <w:marRight w:val="0"/>
          <w:marTop w:val="0"/>
          <w:marBottom w:val="0"/>
          <w:divBdr>
            <w:top w:val="none" w:sz="0" w:space="0" w:color="auto"/>
            <w:left w:val="none" w:sz="0" w:space="0" w:color="auto"/>
            <w:bottom w:val="none" w:sz="0" w:space="0" w:color="auto"/>
            <w:right w:val="none" w:sz="0" w:space="0" w:color="auto"/>
          </w:divBdr>
        </w:div>
        <w:div w:id="1752772614">
          <w:marLeft w:val="0"/>
          <w:marRight w:val="0"/>
          <w:marTop w:val="0"/>
          <w:marBottom w:val="0"/>
          <w:divBdr>
            <w:top w:val="none" w:sz="0" w:space="0" w:color="auto"/>
            <w:left w:val="none" w:sz="0" w:space="0" w:color="auto"/>
            <w:bottom w:val="none" w:sz="0" w:space="0" w:color="auto"/>
            <w:right w:val="none" w:sz="0" w:space="0" w:color="auto"/>
          </w:divBdr>
        </w:div>
        <w:div w:id="1813214408">
          <w:marLeft w:val="0"/>
          <w:marRight w:val="0"/>
          <w:marTop w:val="0"/>
          <w:marBottom w:val="0"/>
          <w:divBdr>
            <w:top w:val="none" w:sz="0" w:space="0" w:color="auto"/>
            <w:left w:val="none" w:sz="0" w:space="0" w:color="auto"/>
            <w:bottom w:val="none" w:sz="0" w:space="0" w:color="auto"/>
            <w:right w:val="none" w:sz="0" w:space="0" w:color="auto"/>
          </w:divBdr>
        </w:div>
        <w:div w:id="1819223066">
          <w:marLeft w:val="0"/>
          <w:marRight w:val="0"/>
          <w:marTop w:val="0"/>
          <w:marBottom w:val="0"/>
          <w:divBdr>
            <w:top w:val="none" w:sz="0" w:space="0" w:color="auto"/>
            <w:left w:val="none" w:sz="0" w:space="0" w:color="auto"/>
            <w:bottom w:val="none" w:sz="0" w:space="0" w:color="auto"/>
            <w:right w:val="none" w:sz="0" w:space="0" w:color="auto"/>
          </w:divBdr>
        </w:div>
        <w:div w:id="1850943744">
          <w:marLeft w:val="0"/>
          <w:marRight w:val="0"/>
          <w:marTop w:val="0"/>
          <w:marBottom w:val="0"/>
          <w:divBdr>
            <w:top w:val="none" w:sz="0" w:space="0" w:color="auto"/>
            <w:left w:val="none" w:sz="0" w:space="0" w:color="auto"/>
            <w:bottom w:val="none" w:sz="0" w:space="0" w:color="auto"/>
            <w:right w:val="none" w:sz="0" w:space="0" w:color="auto"/>
          </w:divBdr>
        </w:div>
        <w:div w:id="1886482137">
          <w:marLeft w:val="0"/>
          <w:marRight w:val="0"/>
          <w:marTop w:val="0"/>
          <w:marBottom w:val="0"/>
          <w:divBdr>
            <w:top w:val="none" w:sz="0" w:space="0" w:color="auto"/>
            <w:left w:val="none" w:sz="0" w:space="0" w:color="auto"/>
            <w:bottom w:val="none" w:sz="0" w:space="0" w:color="auto"/>
            <w:right w:val="none" w:sz="0" w:space="0" w:color="auto"/>
          </w:divBdr>
        </w:div>
        <w:div w:id="1978029152">
          <w:marLeft w:val="0"/>
          <w:marRight w:val="0"/>
          <w:marTop w:val="0"/>
          <w:marBottom w:val="0"/>
          <w:divBdr>
            <w:top w:val="none" w:sz="0" w:space="0" w:color="auto"/>
            <w:left w:val="none" w:sz="0" w:space="0" w:color="auto"/>
            <w:bottom w:val="none" w:sz="0" w:space="0" w:color="auto"/>
            <w:right w:val="none" w:sz="0" w:space="0" w:color="auto"/>
          </w:divBdr>
        </w:div>
        <w:div w:id="2045397593">
          <w:marLeft w:val="0"/>
          <w:marRight w:val="0"/>
          <w:marTop w:val="0"/>
          <w:marBottom w:val="0"/>
          <w:divBdr>
            <w:top w:val="none" w:sz="0" w:space="0" w:color="auto"/>
            <w:left w:val="none" w:sz="0" w:space="0" w:color="auto"/>
            <w:bottom w:val="none" w:sz="0" w:space="0" w:color="auto"/>
            <w:right w:val="none" w:sz="0" w:space="0" w:color="auto"/>
          </w:divBdr>
        </w:div>
      </w:divsChild>
    </w:div>
    <w:div w:id="148258125">
      <w:bodyDiv w:val="1"/>
      <w:marLeft w:val="0"/>
      <w:marRight w:val="0"/>
      <w:marTop w:val="0"/>
      <w:marBottom w:val="0"/>
      <w:divBdr>
        <w:top w:val="none" w:sz="0" w:space="0" w:color="auto"/>
        <w:left w:val="none" w:sz="0" w:space="0" w:color="auto"/>
        <w:bottom w:val="none" w:sz="0" w:space="0" w:color="auto"/>
        <w:right w:val="none" w:sz="0" w:space="0" w:color="auto"/>
      </w:divBdr>
    </w:div>
    <w:div w:id="507446586">
      <w:bodyDiv w:val="1"/>
      <w:marLeft w:val="0"/>
      <w:marRight w:val="0"/>
      <w:marTop w:val="0"/>
      <w:marBottom w:val="0"/>
      <w:divBdr>
        <w:top w:val="none" w:sz="0" w:space="0" w:color="auto"/>
        <w:left w:val="none" w:sz="0" w:space="0" w:color="auto"/>
        <w:bottom w:val="none" w:sz="0" w:space="0" w:color="auto"/>
        <w:right w:val="none" w:sz="0" w:space="0" w:color="auto"/>
      </w:divBdr>
    </w:div>
    <w:div w:id="556091595">
      <w:bodyDiv w:val="1"/>
      <w:marLeft w:val="0"/>
      <w:marRight w:val="0"/>
      <w:marTop w:val="0"/>
      <w:marBottom w:val="0"/>
      <w:divBdr>
        <w:top w:val="none" w:sz="0" w:space="0" w:color="auto"/>
        <w:left w:val="none" w:sz="0" w:space="0" w:color="auto"/>
        <w:bottom w:val="none" w:sz="0" w:space="0" w:color="auto"/>
        <w:right w:val="none" w:sz="0" w:space="0" w:color="auto"/>
      </w:divBdr>
    </w:div>
    <w:div w:id="569192947">
      <w:bodyDiv w:val="1"/>
      <w:marLeft w:val="0"/>
      <w:marRight w:val="0"/>
      <w:marTop w:val="0"/>
      <w:marBottom w:val="0"/>
      <w:divBdr>
        <w:top w:val="none" w:sz="0" w:space="0" w:color="auto"/>
        <w:left w:val="none" w:sz="0" w:space="0" w:color="auto"/>
        <w:bottom w:val="none" w:sz="0" w:space="0" w:color="auto"/>
        <w:right w:val="none" w:sz="0" w:space="0" w:color="auto"/>
      </w:divBdr>
    </w:div>
    <w:div w:id="617833075">
      <w:bodyDiv w:val="1"/>
      <w:marLeft w:val="0"/>
      <w:marRight w:val="0"/>
      <w:marTop w:val="0"/>
      <w:marBottom w:val="0"/>
      <w:divBdr>
        <w:top w:val="none" w:sz="0" w:space="0" w:color="auto"/>
        <w:left w:val="none" w:sz="0" w:space="0" w:color="auto"/>
        <w:bottom w:val="none" w:sz="0" w:space="0" w:color="auto"/>
        <w:right w:val="none" w:sz="0" w:space="0" w:color="auto"/>
      </w:divBdr>
    </w:div>
    <w:div w:id="799149858">
      <w:bodyDiv w:val="1"/>
      <w:marLeft w:val="0"/>
      <w:marRight w:val="0"/>
      <w:marTop w:val="0"/>
      <w:marBottom w:val="0"/>
      <w:divBdr>
        <w:top w:val="none" w:sz="0" w:space="0" w:color="auto"/>
        <w:left w:val="none" w:sz="0" w:space="0" w:color="auto"/>
        <w:bottom w:val="none" w:sz="0" w:space="0" w:color="auto"/>
        <w:right w:val="none" w:sz="0" w:space="0" w:color="auto"/>
      </w:divBdr>
    </w:div>
    <w:div w:id="846596447">
      <w:bodyDiv w:val="1"/>
      <w:marLeft w:val="0"/>
      <w:marRight w:val="0"/>
      <w:marTop w:val="0"/>
      <w:marBottom w:val="0"/>
      <w:divBdr>
        <w:top w:val="none" w:sz="0" w:space="0" w:color="auto"/>
        <w:left w:val="none" w:sz="0" w:space="0" w:color="auto"/>
        <w:bottom w:val="none" w:sz="0" w:space="0" w:color="auto"/>
        <w:right w:val="none" w:sz="0" w:space="0" w:color="auto"/>
      </w:divBdr>
    </w:div>
    <w:div w:id="1491678343">
      <w:bodyDiv w:val="1"/>
      <w:marLeft w:val="60"/>
      <w:marRight w:val="60"/>
      <w:marTop w:val="60"/>
      <w:marBottom w:val="15"/>
      <w:divBdr>
        <w:top w:val="none" w:sz="0" w:space="0" w:color="auto"/>
        <w:left w:val="none" w:sz="0" w:space="0" w:color="auto"/>
        <w:bottom w:val="none" w:sz="0" w:space="0" w:color="auto"/>
        <w:right w:val="none" w:sz="0" w:space="0" w:color="auto"/>
      </w:divBdr>
      <w:divsChild>
        <w:div w:id="6180454">
          <w:marLeft w:val="0"/>
          <w:marRight w:val="0"/>
          <w:marTop w:val="0"/>
          <w:marBottom w:val="0"/>
          <w:divBdr>
            <w:top w:val="none" w:sz="0" w:space="0" w:color="auto"/>
            <w:left w:val="none" w:sz="0" w:space="0" w:color="auto"/>
            <w:bottom w:val="none" w:sz="0" w:space="0" w:color="auto"/>
            <w:right w:val="none" w:sz="0" w:space="0" w:color="auto"/>
          </w:divBdr>
        </w:div>
        <w:div w:id="48652241">
          <w:marLeft w:val="0"/>
          <w:marRight w:val="0"/>
          <w:marTop w:val="0"/>
          <w:marBottom w:val="0"/>
          <w:divBdr>
            <w:top w:val="none" w:sz="0" w:space="0" w:color="auto"/>
            <w:left w:val="none" w:sz="0" w:space="0" w:color="auto"/>
            <w:bottom w:val="none" w:sz="0" w:space="0" w:color="auto"/>
            <w:right w:val="none" w:sz="0" w:space="0" w:color="auto"/>
          </w:divBdr>
        </w:div>
        <w:div w:id="75983683">
          <w:marLeft w:val="0"/>
          <w:marRight w:val="0"/>
          <w:marTop w:val="0"/>
          <w:marBottom w:val="0"/>
          <w:divBdr>
            <w:top w:val="none" w:sz="0" w:space="0" w:color="auto"/>
            <w:left w:val="none" w:sz="0" w:space="0" w:color="auto"/>
            <w:bottom w:val="none" w:sz="0" w:space="0" w:color="auto"/>
            <w:right w:val="none" w:sz="0" w:space="0" w:color="auto"/>
          </w:divBdr>
        </w:div>
        <w:div w:id="264308144">
          <w:marLeft w:val="0"/>
          <w:marRight w:val="0"/>
          <w:marTop w:val="0"/>
          <w:marBottom w:val="0"/>
          <w:divBdr>
            <w:top w:val="none" w:sz="0" w:space="0" w:color="auto"/>
            <w:left w:val="none" w:sz="0" w:space="0" w:color="auto"/>
            <w:bottom w:val="none" w:sz="0" w:space="0" w:color="auto"/>
            <w:right w:val="none" w:sz="0" w:space="0" w:color="auto"/>
          </w:divBdr>
        </w:div>
        <w:div w:id="320622269">
          <w:marLeft w:val="0"/>
          <w:marRight w:val="0"/>
          <w:marTop w:val="0"/>
          <w:marBottom w:val="0"/>
          <w:divBdr>
            <w:top w:val="none" w:sz="0" w:space="0" w:color="auto"/>
            <w:left w:val="none" w:sz="0" w:space="0" w:color="auto"/>
            <w:bottom w:val="none" w:sz="0" w:space="0" w:color="auto"/>
            <w:right w:val="none" w:sz="0" w:space="0" w:color="auto"/>
          </w:divBdr>
        </w:div>
        <w:div w:id="379676130">
          <w:marLeft w:val="0"/>
          <w:marRight w:val="0"/>
          <w:marTop w:val="0"/>
          <w:marBottom w:val="0"/>
          <w:divBdr>
            <w:top w:val="none" w:sz="0" w:space="0" w:color="auto"/>
            <w:left w:val="none" w:sz="0" w:space="0" w:color="auto"/>
            <w:bottom w:val="none" w:sz="0" w:space="0" w:color="auto"/>
            <w:right w:val="none" w:sz="0" w:space="0" w:color="auto"/>
          </w:divBdr>
        </w:div>
        <w:div w:id="433013661">
          <w:marLeft w:val="0"/>
          <w:marRight w:val="0"/>
          <w:marTop w:val="0"/>
          <w:marBottom w:val="0"/>
          <w:divBdr>
            <w:top w:val="none" w:sz="0" w:space="0" w:color="auto"/>
            <w:left w:val="none" w:sz="0" w:space="0" w:color="auto"/>
            <w:bottom w:val="none" w:sz="0" w:space="0" w:color="auto"/>
            <w:right w:val="none" w:sz="0" w:space="0" w:color="auto"/>
          </w:divBdr>
        </w:div>
        <w:div w:id="491798577">
          <w:marLeft w:val="0"/>
          <w:marRight w:val="0"/>
          <w:marTop w:val="0"/>
          <w:marBottom w:val="0"/>
          <w:divBdr>
            <w:top w:val="none" w:sz="0" w:space="0" w:color="auto"/>
            <w:left w:val="none" w:sz="0" w:space="0" w:color="auto"/>
            <w:bottom w:val="none" w:sz="0" w:space="0" w:color="auto"/>
            <w:right w:val="none" w:sz="0" w:space="0" w:color="auto"/>
          </w:divBdr>
        </w:div>
        <w:div w:id="533082959">
          <w:marLeft w:val="0"/>
          <w:marRight w:val="0"/>
          <w:marTop w:val="0"/>
          <w:marBottom w:val="0"/>
          <w:divBdr>
            <w:top w:val="none" w:sz="0" w:space="0" w:color="auto"/>
            <w:left w:val="none" w:sz="0" w:space="0" w:color="auto"/>
            <w:bottom w:val="none" w:sz="0" w:space="0" w:color="auto"/>
            <w:right w:val="none" w:sz="0" w:space="0" w:color="auto"/>
          </w:divBdr>
        </w:div>
        <w:div w:id="549615924">
          <w:marLeft w:val="0"/>
          <w:marRight w:val="0"/>
          <w:marTop w:val="0"/>
          <w:marBottom w:val="0"/>
          <w:divBdr>
            <w:top w:val="none" w:sz="0" w:space="0" w:color="auto"/>
            <w:left w:val="none" w:sz="0" w:space="0" w:color="auto"/>
            <w:bottom w:val="none" w:sz="0" w:space="0" w:color="auto"/>
            <w:right w:val="none" w:sz="0" w:space="0" w:color="auto"/>
          </w:divBdr>
        </w:div>
        <w:div w:id="693576273">
          <w:marLeft w:val="0"/>
          <w:marRight w:val="0"/>
          <w:marTop w:val="0"/>
          <w:marBottom w:val="0"/>
          <w:divBdr>
            <w:top w:val="none" w:sz="0" w:space="0" w:color="auto"/>
            <w:left w:val="none" w:sz="0" w:space="0" w:color="auto"/>
            <w:bottom w:val="none" w:sz="0" w:space="0" w:color="auto"/>
            <w:right w:val="none" w:sz="0" w:space="0" w:color="auto"/>
          </w:divBdr>
        </w:div>
        <w:div w:id="733507878">
          <w:marLeft w:val="0"/>
          <w:marRight w:val="0"/>
          <w:marTop w:val="0"/>
          <w:marBottom w:val="0"/>
          <w:divBdr>
            <w:top w:val="none" w:sz="0" w:space="0" w:color="auto"/>
            <w:left w:val="none" w:sz="0" w:space="0" w:color="auto"/>
            <w:bottom w:val="none" w:sz="0" w:space="0" w:color="auto"/>
            <w:right w:val="none" w:sz="0" w:space="0" w:color="auto"/>
          </w:divBdr>
        </w:div>
        <w:div w:id="738329561">
          <w:marLeft w:val="0"/>
          <w:marRight w:val="0"/>
          <w:marTop w:val="0"/>
          <w:marBottom w:val="0"/>
          <w:divBdr>
            <w:top w:val="none" w:sz="0" w:space="0" w:color="auto"/>
            <w:left w:val="none" w:sz="0" w:space="0" w:color="auto"/>
            <w:bottom w:val="none" w:sz="0" w:space="0" w:color="auto"/>
            <w:right w:val="none" w:sz="0" w:space="0" w:color="auto"/>
          </w:divBdr>
        </w:div>
        <w:div w:id="766539687">
          <w:marLeft w:val="0"/>
          <w:marRight w:val="0"/>
          <w:marTop w:val="0"/>
          <w:marBottom w:val="0"/>
          <w:divBdr>
            <w:top w:val="none" w:sz="0" w:space="0" w:color="auto"/>
            <w:left w:val="none" w:sz="0" w:space="0" w:color="auto"/>
            <w:bottom w:val="none" w:sz="0" w:space="0" w:color="auto"/>
            <w:right w:val="none" w:sz="0" w:space="0" w:color="auto"/>
          </w:divBdr>
        </w:div>
        <w:div w:id="814761948">
          <w:marLeft w:val="0"/>
          <w:marRight w:val="0"/>
          <w:marTop w:val="0"/>
          <w:marBottom w:val="0"/>
          <w:divBdr>
            <w:top w:val="none" w:sz="0" w:space="0" w:color="auto"/>
            <w:left w:val="none" w:sz="0" w:space="0" w:color="auto"/>
            <w:bottom w:val="none" w:sz="0" w:space="0" w:color="auto"/>
            <w:right w:val="none" w:sz="0" w:space="0" w:color="auto"/>
          </w:divBdr>
        </w:div>
        <w:div w:id="897323485">
          <w:marLeft w:val="0"/>
          <w:marRight w:val="0"/>
          <w:marTop w:val="0"/>
          <w:marBottom w:val="0"/>
          <w:divBdr>
            <w:top w:val="none" w:sz="0" w:space="0" w:color="auto"/>
            <w:left w:val="none" w:sz="0" w:space="0" w:color="auto"/>
            <w:bottom w:val="none" w:sz="0" w:space="0" w:color="auto"/>
            <w:right w:val="none" w:sz="0" w:space="0" w:color="auto"/>
          </w:divBdr>
        </w:div>
        <w:div w:id="956451479">
          <w:marLeft w:val="0"/>
          <w:marRight w:val="0"/>
          <w:marTop w:val="0"/>
          <w:marBottom w:val="0"/>
          <w:divBdr>
            <w:top w:val="none" w:sz="0" w:space="0" w:color="auto"/>
            <w:left w:val="none" w:sz="0" w:space="0" w:color="auto"/>
            <w:bottom w:val="none" w:sz="0" w:space="0" w:color="auto"/>
            <w:right w:val="none" w:sz="0" w:space="0" w:color="auto"/>
          </w:divBdr>
        </w:div>
        <w:div w:id="1027292865">
          <w:marLeft w:val="0"/>
          <w:marRight w:val="0"/>
          <w:marTop w:val="0"/>
          <w:marBottom w:val="0"/>
          <w:divBdr>
            <w:top w:val="none" w:sz="0" w:space="0" w:color="auto"/>
            <w:left w:val="none" w:sz="0" w:space="0" w:color="auto"/>
            <w:bottom w:val="none" w:sz="0" w:space="0" w:color="auto"/>
            <w:right w:val="none" w:sz="0" w:space="0" w:color="auto"/>
          </w:divBdr>
        </w:div>
        <w:div w:id="1049381007">
          <w:marLeft w:val="0"/>
          <w:marRight w:val="0"/>
          <w:marTop w:val="0"/>
          <w:marBottom w:val="0"/>
          <w:divBdr>
            <w:top w:val="none" w:sz="0" w:space="0" w:color="auto"/>
            <w:left w:val="none" w:sz="0" w:space="0" w:color="auto"/>
            <w:bottom w:val="none" w:sz="0" w:space="0" w:color="auto"/>
            <w:right w:val="none" w:sz="0" w:space="0" w:color="auto"/>
          </w:divBdr>
        </w:div>
        <w:div w:id="1226143700">
          <w:marLeft w:val="0"/>
          <w:marRight w:val="0"/>
          <w:marTop w:val="0"/>
          <w:marBottom w:val="0"/>
          <w:divBdr>
            <w:top w:val="none" w:sz="0" w:space="0" w:color="auto"/>
            <w:left w:val="none" w:sz="0" w:space="0" w:color="auto"/>
            <w:bottom w:val="none" w:sz="0" w:space="0" w:color="auto"/>
            <w:right w:val="none" w:sz="0" w:space="0" w:color="auto"/>
          </w:divBdr>
        </w:div>
        <w:div w:id="1273366763">
          <w:marLeft w:val="0"/>
          <w:marRight w:val="0"/>
          <w:marTop w:val="0"/>
          <w:marBottom w:val="0"/>
          <w:divBdr>
            <w:top w:val="none" w:sz="0" w:space="0" w:color="auto"/>
            <w:left w:val="none" w:sz="0" w:space="0" w:color="auto"/>
            <w:bottom w:val="none" w:sz="0" w:space="0" w:color="auto"/>
            <w:right w:val="none" w:sz="0" w:space="0" w:color="auto"/>
          </w:divBdr>
        </w:div>
        <w:div w:id="1293752070">
          <w:marLeft w:val="0"/>
          <w:marRight w:val="0"/>
          <w:marTop w:val="0"/>
          <w:marBottom w:val="0"/>
          <w:divBdr>
            <w:top w:val="none" w:sz="0" w:space="0" w:color="auto"/>
            <w:left w:val="none" w:sz="0" w:space="0" w:color="auto"/>
            <w:bottom w:val="none" w:sz="0" w:space="0" w:color="auto"/>
            <w:right w:val="none" w:sz="0" w:space="0" w:color="auto"/>
          </w:divBdr>
        </w:div>
        <w:div w:id="1295713079">
          <w:marLeft w:val="0"/>
          <w:marRight w:val="0"/>
          <w:marTop w:val="0"/>
          <w:marBottom w:val="0"/>
          <w:divBdr>
            <w:top w:val="none" w:sz="0" w:space="0" w:color="auto"/>
            <w:left w:val="none" w:sz="0" w:space="0" w:color="auto"/>
            <w:bottom w:val="none" w:sz="0" w:space="0" w:color="auto"/>
            <w:right w:val="none" w:sz="0" w:space="0" w:color="auto"/>
          </w:divBdr>
        </w:div>
        <w:div w:id="1302806349">
          <w:marLeft w:val="0"/>
          <w:marRight w:val="0"/>
          <w:marTop w:val="0"/>
          <w:marBottom w:val="0"/>
          <w:divBdr>
            <w:top w:val="none" w:sz="0" w:space="0" w:color="auto"/>
            <w:left w:val="none" w:sz="0" w:space="0" w:color="auto"/>
            <w:bottom w:val="none" w:sz="0" w:space="0" w:color="auto"/>
            <w:right w:val="none" w:sz="0" w:space="0" w:color="auto"/>
          </w:divBdr>
        </w:div>
        <w:div w:id="1509902587">
          <w:marLeft w:val="0"/>
          <w:marRight w:val="0"/>
          <w:marTop w:val="0"/>
          <w:marBottom w:val="0"/>
          <w:divBdr>
            <w:top w:val="none" w:sz="0" w:space="0" w:color="auto"/>
            <w:left w:val="none" w:sz="0" w:space="0" w:color="auto"/>
            <w:bottom w:val="none" w:sz="0" w:space="0" w:color="auto"/>
            <w:right w:val="none" w:sz="0" w:space="0" w:color="auto"/>
          </w:divBdr>
        </w:div>
        <w:div w:id="1553730171">
          <w:marLeft w:val="0"/>
          <w:marRight w:val="0"/>
          <w:marTop w:val="0"/>
          <w:marBottom w:val="0"/>
          <w:divBdr>
            <w:top w:val="none" w:sz="0" w:space="0" w:color="auto"/>
            <w:left w:val="none" w:sz="0" w:space="0" w:color="auto"/>
            <w:bottom w:val="none" w:sz="0" w:space="0" w:color="auto"/>
            <w:right w:val="none" w:sz="0" w:space="0" w:color="auto"/>
          </w:divBdr>
        </w:div>
        <w:div w:id="1627736823">
          <w:marLeft w:val="0"/>
          <w:marRight w:val="0"/>
          <w:marTop w:val="0"/>
          <w:marBottom w:val="0"/>
          <w:divBdr>
            <w:top w:val="none" w:sz="0" w:space="0" w:color="auto"/>
            <w:left w:val="none" w:sz="0" w:space="0" w:color="auto"/>
            <w:bottom w:val="none" w:sz="0" w:space="0" w:color="auto"/>
            <w:right w:val="none" w:sz="0" w:space="0" w:color="auto"/>
          </w:divBdr>
        </w:div>
        <w:div w:id="1653365614">
          <w:marLeft w:val="0"/>
          <w:marRight w:val="0"/>
          <w:marTop w:val="0"/>
          <w:marBottom w:val="0"/>
          <w:divBdr>
            <w:top w:val="none" w:sz="0" w:space="0" w:color="auto"/>
            <w:left w:val="none" w:sz="0" w:space="0" w:color="auto"/>
            <w:bottom w:val="none" w:sz="0" w:space="0" w:color="auto"/>
            <w:right w:val="none" w:sz="0" w:space="0" w:color="auto"/>
          </w:divBdr>
        </w:div>
        <w:div w:id="1741712463">
          <w:marLeft w:val="0"/>
          <w:marRight w:val="0"/>
          <w:marTop w:val="0"/>
          <w:marBottom w:val="0"/>
          <w:divBdr>
            <w:top w:val="none" w:sz="0" w:space="0" w:color="auto"/>
            <w:left w:val="none" w:sz="0" w:space="0" w:color="auto"/>
            <w:bottom w:val="none" w:sz="0" w:space="0" w:color="auto"/>
            <w:right w:val="none" w:sz="0" w:space="0" w:color="auto"/>
          </w:divBdr>
        </w:div>
        <w:div w:id="1887374909">
          <w:marLeft w:val="0"/>
          <w:marRight w:val="0"/>
          <w:marTop w:val="0"/>
          <w:marBottom w:val="0"/>
          <w:divBdr>
            <w:top w:val="none" w:sz="0" w:space="0" w:color="auto"/>
            <w:left w:val="none" w:sz="0" w:space="0" w:color="auto"/>
            <w:bottom w:val="none" w:sz="0" w:space="0" w:color="auto"/>
            <w:right w:val="none" w:sz="0" w:space="0" w:color="auto"/>
          </w:divBdr>
        </w:div>
        <w:div w:id="1951157452">
          <w:marLeft w:val="0"/>
          <w:marRight w:val="0"/>
          <w:marTop w:val="0"/>
          <w:marBottom w:val="0"/>
          <w:divBdr>
            <w:top w:val="none" w:sz="0" w:space="0" w:color="auto"/>
            <w:left w:val="none" w:sz="0" w:space="0" w:color="auto"/>
            <w:bottom w:val="none" w:sz="0" w:space="0" w:color="auto"/>
            <w:right w:val="none" w:sz="0" w:space="0" w:color="auto"/>
          </w:divBdr>
        </w:div>
        <w:div w:id="2075657967">
          <w:marLeft w:val="0"/>
          <w:marRight w:val="0"/>
          <w:marTop w:val="0"/>
          <w:marBottom w:val="0"/>
          <w:divBdr>
            <w:top w:val="none" w:sz="0" w:space="0" w:color="auto"/>
            <w:left w:val="none" w:sz="0" w:space="0" w:color="auto"/>
            <w:bottom w:val="none" w:sz="0" w:space="0" w:color="auto"/>
            <w:right w:val="none" w:sz="0" w:space="0" w:color="auto"/>
          </w:divBdr>
        </w:div>
        <w:div w:id="2090153335">
          <w:marLeft w:val="0"/>
          <w:marRight w:val="0"/>
          <w:marTop w:val="0"/>
          <w:marBottom w:val="0"/>
          <w:divBdr>
            <w:top w:val="none" w:sz="0" w:space="0" w:color="auto"/>
            <w:left w:val="none" w:sz="0" w:space="0" w:color="auto"/>
            <w:bottom w:val="none" w:sz="0" w:space="0" w:color="auto"/>
            <w:right w:val="none" w:sz="0" w:space="0" w:color="auto"/>
          </w:divBdr>
        </w:div>
        <w:div w:id="2134706714">
          <w:marLeft w:val="0"/>
          <w:marRight w:val="0"/>
          <w:marTop w:val="0"/>
          <w:marBottom w:val="0"/>
          <w:divBdr>
            <w:top w:val="none" w:sz="0" w:space="0" w:color="auto"/>
            <w:left w:val="none" w:sz="0" w:space="0" w:color="auto"/>
            <w:bottom w:val="none" w:sz="0" w:space="0" w:color="auto"/>
            <w:right w:val="none" w:sz="0" w:space="0" w:color="auto"/>
          </w:divBdr>
        </w:div>
      </w:divsChild>
    </w:div>
    <w:div w:id="1580869024">
      <w:bodyDiv w:val="1"/>
      <w:marLeft w:val="0"/>
      <w:marRight w:val="0"/>
      <w:marTop w:val="0"/>
      <w:marBottom w:val="0"/>
      <w:divBdr>
        <w:top w:val="none" w:sz="0" w:space="0" w:color="auto"/>
        <w:left w:val="none" w:sz="0" w:space="0" w:color="auto"/>
        <w:bottom w:val="none" w:sz="0" w:space="0" w:color="auto"/>
        <w:right w:val="none" w:sz="0" w:space="0" w:color="auto"/>
      </w:divBdr>
    </w:div>
    <w:div w:id="1581252783">
      <w:bodyDiv w:val="1"/>
      <w:marLeft w:val="0"/>
      <w:marRight w:val="0"/>
      <w:marTop w:val="0"/>
      <w:marBottom w:val="0"/>
      <w:divBdr>
        <w:top w:val="none" w:sz="0" w:space="0" w:color="auto"/>
        <w:left w:val="none" w:sz="0" w:space="0" w:color="auto"/>
        <w:bottom w:val="none" w:sz="0" w:space="0" w:color="auto"/>
        <w:right w:val="none" w:sz="0" w:space="0" w:color="auto"/>
      </w:divBdr>
    </w:div>
    <w:div w:id="1588879076">
      <w:bodyDiv w:val="1"/>
      <w:marLeft w:val="0"/>
      <w:marRight w:val="0"/>
      <w:marTop w:val="0"/>
      <w:marBottom w:val="0"/>
      <w:divBdr>
        <w:top w:val="none" w:sz="0" w:space="0" w:color="auto"/>
        <w:left w:val="none" w:sz="0" w:space="0" w:color="auto"/>
        <w:bottom w:val="none" w:sz="0" w:space="0" w:color="auto"/>
        <w:right w:val="none" w:sz="0" w:space="0" w:color="auto"/>
      </w:divBdr>
    </w:div>
    <w:div w:id="1724938557">
      <w:bodyDiv w:val="1"/>
      <w:marLeft w:val="0"/>
      <w:marRight w:val="0"/>
      <w:marTop w:val="0"/>
      <w:marBottom w:val="0"/>
      <w:divBdr>
        <w:top w:val="none" w:sz="0" w:space="0" w:color="auto"/>
        <w:left w:val="none" w:sz="0" w:space="0" w:color="auto"/>
        <w:bottom w:val="none" w:sz="0" w:space="0" w:color="auto"/>
        <w:right w:val="none" w:sz="0" w:space="0" w:color="auto"/>
      </w:divBdr>
    </w:div>
    <w:div w:id="1728409520">
      <w:bodyDiv w:val="1"/>
      <w:marLeft w:val="0"/>
      <w:marRight w:val="0"/>
      <w:marTop w:val="0"/>
      <w:marBottom w:val="0"/>
      <w:divBdr>
        <w:top w:val="none" w:sz="0" w:space="0" w:color="auto"/>
        <w:left w:val="none" w:sz="0" w:space="0" w:color="auto"/>
        <w:bottom w:val="none" w:sz="0" w:space="0" w:color="auto"/>
        <w:right w:val="none" w:sz="0" w:space="0" w:color="auto"/>
      </w:divBdr>
    </w:div>
    <w:div w:id="198142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hyperlink" Target="http://mn.gov/deed/data/export-sta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11433002692845212"/>
          <c:y val="7.7848123714265444E-2"/>
          <c:w val="0.60311787949583218"/>
          <c:h val="0.77849258204426564"/>
        </c:manualLayout>
      </c:layout>
      <c:pieChart>
        <c:varyColors val="1"/>
        <c:ser>
          <c:idx val="0"/>
          <c:order val="0"/>
          <c:tx>
            <c:strRef>
              <c:f>Sheet1!$B$1</c:f>
              <c:strCache>
                <c:ptCount val="1"/>
                <c:pt idx="0">
                  <c:v>MN 2025-Q2</c:v>
                </c:pt>
              </c:strCache>
            </c:strRef>
          </c:tx>
          <c:spPr>
            <a:ln w="9525">
              <a:solidFill>
                <a:schemeClr val="tx1">
                  <a:lumMod val="65000"/>
                  <a:lumOff val="35000"/>
                </a:schemeClr>
              </a:solidFill>
            </a:ln>
          </c:spPr>
          <c:dPt>
            <c:idx val="0"/>
            <c:bubble3D val="0"/>
            <c:spPr>
              <a:solidFill>
                <a:srgbClr val="003865"/>
              </a:solidFill>
              <a:ln w="9525">
                <a:solidFill>
                  <a:schemeClr val="tx1">
                    <a:lumMod val="65000"/>
                    <a:lumOff val="35000"/>
                  </a:schemeClr>
                </a:solidFill>
              </a:ln>
              <a:effectLst/>
            </c:spPr>
            <c:extLst>
              <c:ext xmlns:c16="http://schemas.microsoft.com/office/drawing/2014/chart" uri="{C3380CC4-5D6E-409C-BE32-E72D297353CC}">
                <c16:uniqueId val="{00000001-B63D-430A-B006-CBF57C87BB3A}"/>
              </c:ext>
            </c:extLst>
          </c:dPt>
          <c:dPt>
            <c:idx val="1"/>
            <c:bubble3D val="0"/>
            <c:spPr>
              <a:solidFill>
                <a:srgbClr val="78BE21"/>
              </a:solidFill>
              <a:ln w="9525">
                <a:solidFill>
                  <a:schemeClr val="tx1">
                    <a:lumMod val="65000"/>
                    <a:lumOff val="35000"/>
                  </a:schemeClr>
                </a:solidFill>
              </a:ln>
              <a:effectLst/>
            </c:spPr>
            <c:extLst>
              <c:ext xmlns:c16="http://schemas.microsoft.com/office/drawing/2014/chart" uri="{C3380CC4-5D6E-409C-BE32-E72D297353CC}">
                <c16:uniqueId val="{00000003-B63D-430A-B006-CBF57C87BB3A}"/>
              </c:ext>
            </c:extLst>
          </c:dPt>
          <c:dPt>
            <c:idx val="2"/>
            <c:bubble3D val="0"/>
            <c:spPr>
              <a:solidFill>
                <a:srgbClr val="008EAA"/>
              </a:solidFill>
              <a:ln w="9525">
                <a:solidFill>
                  <a:schemeClr val="tx1">
                    <a:lumMod val="65000"/>
                    <a:lumOff val="35000"/>
                  </a:schemeClr>
                </a:solidFill>
              </a:ln>
              <a:effectLst/>
            </c:spPr>
            <c:extLst>
              <c:ext xmlns:c16="http://schemas.microsoft.com/office/drawing/2014/chart" uri="{C3380CC4-5D6E-409C-BE32-E72D297353CC}">
                <c16:uniqueId val="{00000005-B63D-430A-B006-CBF57C87BB3A}"/>
              </c:ext>
            </c:extLst>
          </c:dPt>
          <c:dPt>
            <c:idx val="3"/>
            <c:bubble3D val="0"/>
            <c:spPr>
              <a:solidFill>
                <a:srgbClr val="8D3F2B"/>
              </a:solidFill>
              <a:ln w="9525">
                <a:solidFill>
                  <a:schemeClr val="tx1">
                    <a:lumMod val="65000"/>
                    <a:lumOff val="35000"/>
                  </a:schemeClr>
                </a:solidFill>
              </a:ln>
              <a:effectLst/>
            </c:spPr>
            <c:extLst>
              <c:ext xmlns:c16="http://schemas.microsoft.com/office/drawing/2014/chart" uri="{C3380CC4-5D6E-409C-BE32-E72D297353CC}">
                <c16:uniqueId val="{00000007-B63D-430A-B006-CBF57C87BB3A}"/>
              </c:ext>
            </c:extLst>
          </c:dPt>
          <c:dPt>
            <c:idx val="4"/>
            <c:bubble3D val="0"/>
            <c:spPr>
              <a:solidFill>
                <a:srgbClr val="948193"/>
              </a:solidFill>
              <a:ln w="9525">
                <a:solidFill>
                  <a:srgbClr val="7030A0"/>
                </a:solidFill>
              </a:ln>
              <a:effectLst/>
            </c:spPr>
            <c:extLst>
              <c:ext xmlns:c16="http://schemas.microsoft.com/office/drawing/2014/chart" uri="{C3380CC4-5D6E-409C-BE32-E72D297353CC}">
                <c16:uniqueId val="{00000009-B63D-430A-B006-CBF57C87BB3A}"/>
              </c:ext>
            </c:extLst>
          </c:dPt>
          <c:dPt>
            <c:idx val="5"/>
            <c:bubble3D val="0"/>
            <c:spPr>
              <a:solidFill>
                <a:srgbClr val="FFC845"/>
              </a:solidFill>
              <a:ln w="9525">
                <a:solidFill>
                  <a:schemeClr val="tx1">
                    <a:lumMod val="65000"/>
                    <a:lumOff val="35000"/>
                  </a:schemeClr>
                </a:solidFill>
              </a:ln>
              <a:effectLst/>
            </c:spPr>
            <c:extLst>
              <c:ext xmlns:c16="http://schemas.microsoft.com/office/drawing/2014/chart" uri="{C3380CC4-5D6E-409C-BE32-E72D297353CC}">
                <c16:uniqueId val="{0000000B-B63D-430A-B006-CBF57C87BB3A}"/>
              </c:ext>
            </c:extLst>
          </c:dPt>
          <c:dPt>
            <c:idx val="6"/>
            <c:bubble3D val="0"/>
            <c:spPr>
              <a:solidFill>
                <a:srgbClr val="9BCBEB"/>
              </a:solidFill>
              <a:ln w="9525">
                <a:solidFill>
                  <a:schemeClr val="tx1">
                    <a:lumMod val="65000"/>
                    <a:lumOff val="35000"/>
                  </a:schemeClr>
                </a:solidFill>
              </a:ln>
              <a:effectLst/>
            </c:spPr>
            <c:extLst>
              <c:ext xmlns:c16="http://schemas.microsoft.com/office/drawing/2014/chart" uri="{C3380CC4-5D6E-409C-BE32-E72D297353CC}">
                <c16:uniqueId val="{0000000D-B63D-430A-B006-CBF57C87BB3A}"/>
              </c:ext>
            </c:extLst>
          </c:dPt>
          <c:dPt>
            <c:idx val="7"/>
            <c:bubble3D val="0"/>
            <c:spPr>
              <a:solidFill>
                <a:schemeClr val="accent1">
                  <a:tint val="30000"/>
                </a:schemeClr>
              </a:solidFill>
              <a:ln w="9525">
                <a:solidFill>
                  <a:schemeClr val="tx1">
                    <a:lumMod val="65000"/>
                    <a:lumOff val="35000"/>
                  </a:schemeClr>
                </a:solidFill>
              </a:ln>
              <a:effectLst/>
            </c:spPr>
            <c:extLst>
              <c:ext xmlns:c16="http://schemas.microsoft.com/office/drawing/2014/chart" uri="{C3380CC4-5D6E-409C-BE32-E72D297353CC}">
                <c16:uniqueId val="{0000000F-B63D-430A-B006-CBF57C87BB3A}"/>
              </c:ext>
            </c:extLst>
          </c:dPt>
          <c:dPt>
            <c:idx val="8"/>
            <c:bubble3D val="0"/>
            <c:spPr>
              <a:solidFill>
                <a:schemeClr val="accent1">
                  <a:tint val="13000"/>
                </a:schemeClr>
              </a:solidFill>
              <a:ln w="9525">
                <a:solidFill>
                  <a:schemeClr val="tx1">
                    <a:lumMod val="65000"/>
                    <a:lumOff val="35000"/>
                  </a:schemeClr>
                </a:solidFill>
              </a:ln>
              <a:effectLst/>
            </c:spPr>
            <c:extLst>
              <c:ext xmlns:c16="http://schemas.microsoft.com/office/drawing/2014/chart" uri="{C3380CC4-5D6E-409C-BE32-E72D297353CC}">
                <c16:uniqueId val="{00000011-B63D-430A-B006-CBF57C87BB3A}"/>
              </c:ext>
            </c:extLst>
          </c:dPt>
          <c:dLbls>
            <c:dLbl>
              <c:idx val="0"/>
              <c:layout>
                <c:manualLayout>
                  <c:x val="1.4747588369635693E-2"/>
                  <c:y val="4.5045340616206755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9283771346763471"/>
                      <c:h val="0.23852297179068829"/>
                    </c:manualLayout>
                  </c15:layout>
                </c:ext>
                <c:ext xmlns:c16="http://schemas.microsoft.com/office/drawing/2014/chart" uri="{C3380CC4-5D6E-409C-BE32-E72D297353CC}">
                  <c16:uniqueId val="{00000001-B63D-430A-B006-CBF57C87BB3A}"/>
                </c:ext>
              </c:extLst>
            </c:dLbl>
            <c:dLbl>
              <c:idx val="1"/>
              <c:layout>
                <c:manualLayout>
                  <c:x val="-9.4094488188977178E-3"/>
                  <c:y val="-5.4149819110449034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3200971469475406"/>
                      <c:h val="0.26012922371190089"/>
                    </c:manualLayout>
                  </c15:layout>
                </c:ext>
                <c:ext xmlns:c16="http://schemas.microsoft.com/office/drawing/2014/chart" uri="{C3380CC4-5D6E-409C-BE32-E72D297353CC}">
                  <c16:uniqueId val="{00000003-B63D-430A-B006-CBF57C87BB3A}"/>
                </c:ext>
              </c:extLst>
            </c:dLbl>
            <c:dLbl>
              <c:idx val="2"/>
              <c:layout>
                <c:manualLayout>
                  <c:x val="3.0303200736271681E-2"/>
                  <c:y val="-4.2162339504859189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632017351997667"/>
                      <c:h val="0.11352333767267854"/>
                    </c:manualLayout>
                  </c15:layout>
                </c:ext>
                <c:ext xmlns:c16="http://schemas.microsoft.com/office/drawing/2014/chart" uri="{C3380CC4-5D6E-409C-BE32-E72D297353CC}">
                  <c16:uniqueId val="{00000005-B63D-430A-B006-CBF57C87BB3A}"/>
                </c:ext>
              </c:extLst>
            </c:dLbl>
            <c:dLbl>
              <c:idx val="3"/>
              <c:layout>
                <c:manualLayout>
                  <c:x val="-7.9364162543501253E-17"/>
                  <c:y val="-5.2563784256697645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47914681119405528"/>
                      <c:h val="0.11147584592466482"/>
                    </c:manualLayout>
                  </c15:layout>
                </c:ext>
                <c:ext xmlns:c16="http://schemas.microsoft.com/office/drawing/2014/chart" uri="{C3380CC4-5D6E-409C-BE32-E72D297353CC}">
                  <c16:uniqueId val="{00000007-B63D-430A-B006-CBF57C87BB3A}"/>
                </c:ext>
              </c:extLst>
            </c:dLbl>
            <c:dLbl>
              <c:idx val="4"/>
              <c:layout>
                <c:manualLayout>
                  <c:x val="0.15100419265773596"/>
                  <c:y val="1.0819086803338773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43080649009782868"/>
                      <c:h val="7.8229410512875075E-2"/>
                    </c:manualLayout>
                  </c15:layout>
                </c:ext>
                <c:ext xmlns:c16="http://schemas.microsoft.com/office/drawing/2014/chart" uri="{C3380CC4-5D6E-409C-BE32-E72D297353CC}">
                  <c16:uniqueId val="{00000009-B63D-430A-B006-CBF57C87BB3A}"/>
                </c:ext>
              </c:extLst>
            </c:dLbl>
            <c:dLbl>
              <c:idx val="5"/>
              <c:layout>
                <c:manualLayout>
                  <c:x val="4.0859665269114085E-3"/>
                  <c:y val="-0.2346716307200730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4162082012475714"/>
                      <c:h val="7.6764806573091385E-2"/>
                    </c:manualLayout>
                  </c15:layout>
                </c:ext>
                <c:ext xmlns:c16="http://schemas.microsoft.com/office/drawing/2014/chart" uri="{C3380CC4-5D6E-409C-BE32-E72D297353CC}">
                  <c16:uniqueId val="{0000000B-B63D-430A-B006-CBF57C87BB3A}"/>
                </c:ext>
              </c:extLst>
            </c:dLbl>
            <c:dLbl>
              <c:idx val="6"/>
              <c:layout>
                <c:manualLayout>
                  <c:x val="0.12732648002333041"/>
                  <c:y val="-4.8843164267387926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30804534849810439"/>
                      <c:h val="0.10333590323681451"/>
                    </c:manualLayout>
                  </c15:layout>
                </c:ext>
                <c:ext xmlns:c16="http://schemas.microsoft.com/office/drawing/2014/chart" uri="{C3380CC4-5D6E-409C-BE32-E72D297353CC}">
                  <c16:uniqueId val="{0000000D-B63D-430A-B006-CBF57C87BB3A}"/>
                </c:ext>
              </c:extLst>
            </c:dLbl>
            <c:dLbl>
              <c:idx val="8"/>
              <c:layout>
                <c:manualLayout>
                  <c:x val="2.8112449799196824E-2"/>
                  <c:y val="-2.5252525252525252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1-B63D-430A-B006-CBF57C87BB3A}"/>
                </c:ext>
              </c:extLst>
            </c:dLbl>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dLblPos val="outEnd"/>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Sheet1!$A$2:$A$7</c:f>
              <c:strCache>
                <c:ptCount val="6"/>
                <c:pt idx="0">
                  <c:v>Integrated circuits</c:v>
                </c:pt>
                <c:pt idx="1">
                  <c:v>Electric generators</c:v>
                </c:pt>
                <c:pt idx="2">
                  <c:v>Switches</c:v>
                </c:pt>
                <c:pt idx="3">
                  <c:v>Insulated wire, cable</c:v>
                </c:pt>
                <c:pt idx="4">
                  <c:v>Telecomm. equip.</c:v>
                </c:pt>
                <c:pt idx="5">
                  <c:v>Other</c:v>
                </c:pt>
              </c:strCache>
            </c:strRef>
          </c:cat>
          <c:val>
            <c:numRef>
              <c:f>Sheet1!$B$2:$B$7</c:f>
              <c:numCache>
                <c:formatCode>_("$"* #,##0_);_("$"* \(#,##0\);_("$"* "-"??_);_(@_)</c:formatCode>
                <c:ptCount val="6"/>
                <c:pt idx="0">
                  <c:v>386131758</c:v>
                </c:pt>
                <c:pt idx="1">
                  <c:v>201527211</c:v>
                </c:pt>
                <c:pt idx="2">
                  <c:v>134984791</c:v>
                </c:pt>
                <c:pt idx="3">
                  <c:v>128949878</c:v>
                </c:pt>
                <c:pt idx="4">
                  <c:v>127228826</c:v>
                </c:pt>
                <c:pt idx="5">
                  <c:v>886319255</c:v>
                </c:pt>
              </c:numCache>
            </c:numRef>
          </c:val>
          <c:extLst>
            <c:ext xmlns:c16="http://schemas.microsoft.com/office/drawing/2014/chart" uri="{C3380CC4-5D6E-409C-BE32-E72D297353CC}">
              <c16:uniqueId val="{00000012-B63D-430A-B006-CBF57C87BB3A}"/>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B6C44-9FF8-492D-ADB5-283AD1E5C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711</Words>
  <Characters>4101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Minnesota Quarterly Export Statistics, 2nd Quarter 2025</vt:lpstr>
    </vt:vector>
  </TitlesOfParts>
  <Company>MN DEED</Company>
  <LinksUpToDate>false</LinksUpToDate>
  <CharactersWithSpaces>4803</CharactersWithSpaces>
  <SharedDoc>false</SharedDoc>
  <HLinks>
    <vt:vector size="12" baseType="variant">
      <vt:variant>
        <vt:i4>6488181</vt:i4>
      </vt:variant>
      <vt:variant>
        <vt:i4>9</vt:i4>
      </vt:variant>
      <vt:variant>
        <vt:i4>0</vt:i4>
      </vt:variant>
      <vt:variant>
        <vt:i4>5</vt:i4>
      </vt:variant>
      <vt:variant>
        <vt:lpwstr>http://www.deed.state.mn.us/facts/manufacturing.htm</vt:lpwstr>
      </vt:variant>
      <vt:variant>
        <vt:lpwstr/>
      </vt:variant>
      <vt:variant>
        <vt:i4>3211383</vt:i4>
      </vt:variant>
      <vt:variant>
        <vt:i4>6</vt:i4>
      </vt:variant>
      <vt:variant>
        <vt:i4>0</vt:i4>
      </vt:variant>
      <vt:variant>
        <vt:i4>5</vt:i4>
      </vt:variant>
      <vt:variant>
        <vt:lpwstr>http://www.exportminnesota.com/itradestats.htm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Quarterly Export Statistics, 2nd Quarter 2025</dc:title>
  <dc:subject>Minnesota Quarterly Export Statistics</dc:subject>
  <dc:creator>Economic Analysis Unit (T. Ho-Kim)</dc:creator>
  <dc:description>2nd qtr 2025_x000d_
(publ Sept 2025)</dc:description>
  <cp:lastModifiedBy>Ho-Kim, Thu-Mai (DEED)</cp:lastModifiedBy>
  <cp:revision>3</cp:revision>
  <cp:lastPrinted>2021-02-10T19:09:00Z</cp:lastPrinted>
  <dcterms:created xsi:type="dcterms:W3CDTF">2025-09-04T20:06:00Z</dcterms:created>
  <dcterms:modified xsi:type="dcterms:W3CDTF">2025-09-04T20:06:00Z</dcterms:modified>
</cp:coreProperties>
</file>