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A4581" w14:textId="753E6719" w:rsidR="001B6E5E" w:rsidRPr="00DC1AE7" w:rsidRDefault="004E75BE" w:rsidP="004E75BE">
      <w:pPr>
        <w:tabs>
          <w:tab w:val="left" w:pos="360"/>
          <w:tab w:val="left" w:pos="6660"/>
        </w:tabs>
        <w:spacing w:after="120"/>
        <w:jc w:val="center"/>
      </w:pPr>
      <w:r w:rsidRPr="00DC1AE7">
        <w:rPr>
          <w:noProof/>
        </w:rPr>
        <w:drawing>
          <wp:inline distT="0" distB="0" distL="0" distR="0" wp14:anchorId="76061B12" wp14:editId="3A9C159C">
            <wp:extent cx="6492240" cy="1136015"/>
            <wp:effectExtent l="0" t="0" r="3810" b="6985"/>
            <wp:docPr id="1422532016" name="Picture 1" descr="A picture containing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532016" name="Picture 1" descr="A picture containing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92240" cy="1136015"/>
                    </a:xfrm>
                    <a:prstGeom prst="rect">
                      <a:avLst/>
                    </a:prstGeom>
                  </pic:spPr>
                </pic:pic>
              </a:graphicData>
            </a:graphic>
          </wp:inline>
        </w:drawing>
      </w:r>
    </w:p>
    <w:p w14:paraId="280C54B8" w14:textId="06608C74" w:rsidR="00D84668" w:rsidRPr="00DC1AE7" w:rsidRDefault="00D84668" w:rsidP="00D84668">
      <w:pPr>
        <w:pStyle w:val="NoSpacing"/>
        <w:jc w:val="center"/>
        <w:rPr>
          <w:rStyle w:val="Emphasis"/>
          <w:b/>
        </w:rPr>
      </w:pPr>
      <w:r w:rsidRPr="00DC1AE7">
        <w:rPr>
          <w:rStyle w:val="Emphasis"/>
          <w:b/>
        </w:rPr>
        <w:t xml:space="preserve">Data on Minnesota Exports for </w:t>
      </w:r>
      <w:r w:rsidR="000F06F6" w:rsidRPr="00DC1AE7">
        <w:rPr>
          <w:rStyle w:val="Emphasis"/>
          <w:b/>
        </w:rPr>
        <w:t>F</w:t>
      </w:r>
      <w:r w:rsidR="004E75BE" w:rsidRPr="00DC1AE7">
        <w:rPr>
          <w:rStyle w:val="Emphasis"/>
          <w:b/>
        </w:rPr>
        <w:t>irst</w:t>
      </w:r>
      <w:r w:rsidRPr="00DC1AE7">
        <w:rPr>
          <w:rStyle w:val="Emphasis"/>
          <w:b/>
        </w:rPr>
        <w:t xml:space="preserve"> Quarter 202</w:t>
      </w:r>
      <w:r w:rsidR="004E75BE" w:rsidRPr="00DC1AE7">
        <w:rPr>
          <w:rStyle w:val="Emphasis"/>
          <w:b/>
        </w:rPr>
        <w:t>5</w:t>
      </w:r>
      <w:r w:rsidRPr="00DC1AE7">
        <w:rPr>
          <w:rStyle w:val="Emphasis"/>
          <w:b/>
        </w:rPr>
        <w:t xml:space="preserve"> – Published </w:t>
      </w:r>
      <w:r w:rsidR="002815FF" w:rsidRPr="00DC1AE7">
        <w:rPr>
          <w:rStyle w:val="Emphasis"/>
          <w:b/>
        </w:rPr>
        <w:t>Ma</w:t>
      </w:r>
      <w:r w:rsidR="002C1DC1" w:rsidRPr="00DC1AE7">
        <w:rPr>
          <w:rStyle w:val="Emphasis"/>
          <w:b/>
        </w:rPr>
        <w:t>y</w:t>
      </w:r>
      <w:r w:rsidR="00E25680" w:rsidRPr="00DC1AE7">
        <w:rPr>
          <w:rStyle w:val="Emphasis"/>
          <w:b/>
        </w:rPr>
        <w:t xml:space="preserve"> </w:t>
      </w:r>
      <w:r w:rsidRPr="00DC1AE7">
        <w:rPr>
          <w:rStyle w:val="Emphasis"/>
          <w:b/>
        </w:rPr>
        <w:t>202</w:t>
      </w:r>
      <w:r w:rsidR="000F06F6" w:rsidRPr="00DC1AE7">
        <w:rPr>
          <w:rStyle w:val="Emphasis"/>
          <w:b/>
        </w:rPr>
        <w:t>5</w:t>
      </w:r>
      <w:r w:rsidR="006042ED" w:rsidRPr="00DC1AE7">
        <w:rPr>
          <w:rStyle w:val="Emphasis"/>
          <w:b/>
        </w:rPr>
        <w:t xml:space="preserve"> </w:t>
      </w:r>
    </w:p>
    <w:p w14:paraId="7C1ADAF3" w14:textId="77777777" w:rsidR="00D84668" w:rsidRPr="00DC1AE7" w:rsidRDefault="00D84668" w:rsidP="00D84668">
      <w:pPr>
        <w:pStyle w:val="NoSpacing"/>
        <w:jc w:val="center"/>
        <w:rPr>
          <w:rStyle w:val="Emphasis"/>
          <w:b/>
          <w:bCs/>
        </w:rPr>
      </w:pPr>
      <w:r w:rsidRPr="00DC1AE7">
        <w:rPr>
          <w:rStyle w:val="Emphasis"/>
          <w:b/>
        </w:rPr>
        <w:t>For More Information</w:t>
      </w:r>
      <w:r w:rsidRPr="00DC1AE7">
        <w:rPr>
          <w:rStyle w:val="Emphasis"/>
        </w:rPr>
        <w:t xml:space="preserve">: </w:t>
      </w:r>
      <w:r w:rsidRPr="00DC1AE7">
        <w:rPr>
          <w:b/>
          <w:bCs/>
          <w:i/>
          <w:iCs/>
        </w:rPr>
        <w:t>Mary Haugen (mary.haugen@state.mn.us)</w:t>
      </w:r>
    </w:p>
    <w:p w14:paraId="18DCA261" w14:textId="53AAF2C0" w:rsidR="00641D3B" w:rsidRPr="00DC1AE7" w:rsidRDefault="00CC5F28" w:rsidP="00C9794E">
      <w:pPr>
        <w:pStyle w:val="Heading1"/>
        <w:rPr>
          <w:rFonts w:asciiTheme="minorHAnsi" w:hAnsiTheme="minorHAnsi"/>
          <w:color w:val="auto"/>
          <w:sz w:val="36"/>
          <w:szCs w:val="28"/>
        </w:rPr>
        <w:sectPr w:rsidR="00641D3B" w:rsidRPr="00DC1AE7" w:rsidSect="00FE15EB">
          <w:headerReference w:type="even" r:id="rId9"/>
          <w:headerReference w:type="default" r:id="rId10"/>
          <w:footerReference w:type="even" r:id="rId11"/>
          <w:footnotePr>
            <w:numRestart w:val="eachSect"/>
          </w:footnotePr>
          <w:endnotePr>
            <w:numFmt w:val="decimal"/>
          </w:endnotePr>
          <w:type w:val="continuous"/>
          <w:pgSz w:w="12240" w:h="15840" w:code="1"/>
          <w:pgMar w:top="864" w:right="1008" w:bottom="864" w:left="1008" w:header="720" w:footer="720" w:gutter="0"/>
          <w:cols w:space="720"/>
          <w:titlePg/>
          <w:docGrid w:linePitch="272"/>
        </w:sectPr>
      </w:pPr>
      <w:r w:rsidRPr="00DC1AE7">
        <w:rPr>
          <w:rFonts w:asciiTheme="minorHAnsi" w:hAnsiTheme="minorHAnsi"/>
          <w:color w:val="auto"/>
          <w:sz w:val="36"/>
          <w:szCs w:val="28"/>
        </w:rPr>
        <w:t xml:space="preserve">Minnesota </w:t>
      </w:r>
      <w:r w:rsidR="00FA433D" w:rsidRPr="00DC1AE7">
        <w:rPr>
          <w:rFonts w:asciiTheme="minorHAnsi" w:hAnsiTheme="minorHAnsi"/>
          <w:color w:val="auto"/>
          <w:sz w:val="36"/>
          <w:szCs w:val="28"/>
        </w:rPr>
        <w:t xml:space="preserve">Exports </w:t>
      </w:r>
      <w:r w:rsidR="00631D47" w:rsidRPr="00DC1AE7">
        <w:rPr>
          <w:rFonts w:asciiTheme="minorHAnsi" w:hAnsiTheme="minorHAnsi"/>
          <w:color w:val="auto"/>
          <w:sz w:val="36"/>
          <w:szCs w:val="28"/>
        </w:rPr>
        <w:t>Slip</w:t>
      </w:r>
      <w:r w:rsidR="000F06F6" w:rsidRPr="00DC1AE7">
        <w:rPr>
          <w:rFonts w:asciiTheme="minorHAnsi" w:hAnsiTheme="minorHAnsi"/>
          <w:color w:val="auto"/>
          <w:sz w:val="36"/>
          <w:szCs w:val="28"/>
        </w:rPr>
        <w:t xml:space="preserve"> </w:t>
      </w:r>
      <w:r w:rsidR="00BB19C4" w:rsidRPr="00DC1AE7">
        <w:rPr>
          <w:rFonts w:asciiTheme="minorHAnsi" w:hAnsiTheme="minorHAnsi"/>
          <w:color w:val="auto"/>
          <w:sz w:val="36"/>
          <w:szCs w:val="28"/>
        </w:rPr>
        <w:t>6</w:t>
      </w:r>
      <w:r w:rsidR="006042ED" w:rsidRPr="00DC1AE7">
        <w:rPr>
          <w:rFonts w:asciiTheme="minorHAnsi" w:hAnsiTheme="minorHAnsi"/>
          <w:color w:val="auto"/>
          <w:sz w:val="36"/>
          <w:szCs w:val="28"/>
        </w:rPr>
        <w:t>%</w:t>
      </w:r>
      <w:r w:rsidR="00ED7F1C" w:rsidRPr="00DC1AE7">
        <w:rPr>
          <w:rFonts w:asciiTheme="minorHAnsi" w:hAnsiTheme="minorHAnsi"/>
          <w:color w:val="auto"/>
          <w:sz w:val="36"/>
          <w:szCs w:val="28"/>
        </w:rPr>
        <w:t xml:space="preserve"> </w:t>
      </w:r>
      <w:r w:rsidR="000D5EC5" w:rsidRPr="00DC1AE7">
        <w:rPr>
          <w:rFonts w:asciiTheme="minorHAnsi" w:hAnsiTheme="minorHAnsi"/>
          <w:color w:val="auto"/>
          <w:sz w:val="36"/>
          <w:szCs w:val="28"/>
        </w:rPr>
        <w:t>to $</w:t>
      </w:r>
      <w:r w:rsidR="006042ED" w:rsidRPr="00DC1AE7">
        <w:rPr>
          <w:rFonts w:asciiTheme="minorHAnsi" w:hAnsiTheme="minorHAnsi"/>
          <w:color w:val="auto"/>
          <w:sz w:val="36"/>
          <w:szCs w:val="28"/>
        </w:rPr>
        <w:t>6</w:t>
      </w:r>
      <w:r w:rsidR="00BB19C4" w:rsidRPr="00DC1AE7">
        <w:rPr>
          <w:rFonts w:asciiTheme="minorHAnsi" w:hAnsiTheme="minorHAnsi"/>
          <w:color w:val="auto"/>
          <w:sz w:val="36"/>
          <w:szCs w:val="28"/>
        </w:rPr>
        <w:t>.3</w:t>
      </w:r>
      <w:r w:rsidR="000D5EC5" w:rsidRPr="00DC1AE7">
        <w:rPr>
          <w:rFonts w:asciiTheme="minorHAnsi" w:hAnsiTheme="minorHAnsi"/>
          <w:color w:val="auto"/>
          <w:sz w:val="36"/>
          <w:szCs w:val="28"/>
        </w:rPr>
        <w:t xml:space="preserve"> Billion</w:t>
      </w:r>
      <w:r w:rsidR="00ED7F1C" w:rsidRPr="00DC1AE7">
        <w:rPr>
          <w:rFonts w:asciiTheme="minorHAnsi" w:hAnsiTheme="minorHAnsi"/>
          <w:color w:val="auto"/>
          <w:sz w:val="36"/>
          <w:szCs w:val="28"/>
        </w:rPr>
        <w:t xml:space="preserve"> </w:t>
      </w:r>
      <w:r w:rsidRPr="00DC1AE7">
        <w:rPr>
          <w:rFonts w:asciiTheme="minorHAnsi" w:hAnsiTheme="minorHAnsi"/>
          <w:color w:val="auto"/>
          <w:sz w:val="36"/>
          <w:szCs w:val="28"/>
        </w:rPr>
        <w:t xml:space="preserve">in </w:t>
      </w:r>
      <w:r w:rsidR="004E75BE" w:rsidRPr="00DC1AE7">
        <w:rPr>
          <w:rFonts w:asciiTheme="minorHAnsi" w:hAnsiTheme="minorHAnsi"/>
          <w:color w:val="auto"/>
          <w:sz w:val="36"/>
          <w:szCs w:val="28"/>
        </w:rPr>
        <w:t>First</w:t>
      </w:r>
      <w:r w:rsidRPr="00DC1AE7">
        <w:rPr>
          <w:rFonts w:asciiTheme="minorHAnsi" w:hAnsiTheme="minorHAnsi"/>
          <w:color w:val="auto"/>
          <w:sz w:val="36"/>
          <w:szCs w:val="28"/>
        </w:rPr>
        <w:t xml:space="preserve"> Quarter</w:t>
      </w:r>
    </w:p>
    <w:p w14:paraId="387A80FC" w14:textId="15154B6A" w:rsidR="000F06F6" w:rsidRPr="00DC1AE7" w:rsidRDefault="007F1C4A" w:rsidP="00533150">
      <w:pPr>
        <w:pStyle w:val="ListParagraph"/>
        <w:numPr>
          <w:ilvl w:val="0"/>
          <w:numId w:val="9"/>
        </w:numPr>
        <w:spacing w:before="60" w:line="271" w:lineRule="auto"/>
      </w:pPr>
      <w:r w:rsidRPr="00DC1AE7">
        <w:t>Minnesota exports</w:t>
      </w:r>
      <w:r w:rsidR="00F20245" w:rsidRPr="00DC1AE7">
        <w:t xml:space="preserve"> of goods</w:t>
      </w:r>
      <w:r w:rsidRPr="00DC1AE7">
        <w:t xml:space="preserve"> (incl</w:t>
      </w:r>
      <w:r w:rsidR="004C6288" w:rsidRPr="00DC1AE7">
        <w:t>uding</w:t>
      </w:r>
      <w:r w:rsidRPr="00DC1AE7">
        <w:t xml:space="preserve"> agricultur</w:t>
      </w:r>
      <w:r w:rsidR="00E21972" w:rsidRPr="00DC1AE7">
        <w:t>e</w:t>
      </w:r>
      <w:r w:rsidRPr="00DC1AE7">
        <w:t>, mining and manufact</w:t>
      </w:r>
      <w:r w:rsidR="00A02A94" w:rsidRPr="00DC1AE7">
        <w:t>ur</w:t>
      </w:r>
      <w:r w:rsidR="00E21972" w:rsidRPr="00DC1AE7">
        <w:t>ing</w:t>
      </w:r>
      <w:r w:rsidR="00A02A94" w:rsidRPr="00DC1AE7">
        <w:t xml:space="preserve">) </w:t>
      </w:r>
      <w:r w:rsidR="00367E5D" w:rsidRPr="00DC1AE7">
        <w:t>declin</w:t>
      </w:r>
      <w:r w:rsidR="00A17E16" w:rsidRPr="00DC1AE7">
        <w:t>ed</w:t>
      </w:r>
      <w:r w:rsidR="00367E5D" w:rsidRPr="00DC1AE7">
        <w:t xml:space="preserve"> to </w:t>
      </w:r>
      <w:r w:rsidR="000F06F6" w:rsidRPr="00DC1AE7">
        <w:t>$6</w:t>
      </w:r>
      <w:r w:rsidR="00BB19C4" w:rsidRPr="00DC1AE7">
        <w:t>.3</w:t>
      </w:r>
      <w:r w:rsidR="000F06F6" w:rsidRPr="00DC1AE7">
        <w:t xml:space="preserve"> billion</w:t>
      </w:r>
      <w:r w:rsidR="007A6CDF" w:rsidRPr="00DC1AE7">
        <w:t xml:space="preserve"> in the </w:t>
      </w:r>
      <w:r w:rsidR="004E75BE" w:rsidRPr="00DC1AE7">
        <w:t>first</w:t>
      </w:r>
      <w:r w:rsidR="007A6CDF" w:rsidRPr="00DC1AE7">
        <w:t xml:space="preserve"> quarter </w:t>
      </w:r>
      <w:r w:rsidR="00BB19C4" w:rsidRPr="00DC1AE7">
        <w:t>2025</w:t>
      </w:r>
      <w:r w:rsidR="00A17E16" w:rsidRPr="00DC1AE7">
        <w:t>, slipping 6% compared to the first quarter of 2024.</w:t>
      </w:r>
    </w:p>
    <w:p w14:paraId="2CEA33A8" w14:textId="6036A1E9" w:rsidR="006042ED" w:rsidRPr="00DC1AE7" w:rsidRDefault="000F06F6" w:rsidP="001C114C">
      <w:pPr>
        <w:pStyle w:val="ListParagraph"/>
        <w:numPr>
          <w:ilvl w:val="0"/>
          <w:numId w:val="9"/>
        </w:numPr>
        <w:spacing w:before="60" w:line="271" w:lineRule="auto"/>
      </w:pPr>
      <w:r w:rsidRPr="00DC1AE7">
        <w:t>U.S. exports grew a modes</w:t>
      </w:r>
      <w:r w:rsidR="00AA388E" w:rsidRPr="00DC1AE7">
        <w:t>t</w:t>
      </w:r>
      <w:r w:rsidRPr="00DC1AE7">
        <w:t xml:space="preserve"> </w:t>
      </w:r>
      <w:r w:rsidR="00AA388E" w:rsidRPr="00DC1AE7">
        <w:t>3</w:t>
      </w:r>
      <w:r w:rsidRPr="00DC1AE7">
        <w:t xml:space="preserve">% during this period, </w:t>
      </w:r>
      <w:r w:rsidR="006D017C" w:rsidRPr="00DC1AE7">
        <w:t>with</w:t>
      </w:r>
      <w:r w:rsidRPr="00DC1AE7">
        <w:t xml:space="preserve"> </w:t>
      </w:r>
      <w:r w:rsidR="00AF3BBC" w:rsidRPr="00DC1AE7">
        <w:t xml:space="preserve">more </w:t>
      </w:r>
      <w:r w:rsidRPr="00DC1AE7">
        <w:t xml:space="preserve">states </w:t>
      </w:r>
      <w:r w:rsidR="00027632" w:rsidRPr="00DC1AE7">
        <w:t>experienc</w:t>
      </w:r>
      <w:r w:rsidR="006D017C" w:rsidRPr="00DC1AE7">
        <w:t>ing export</w:t>
      </w:r>
      <w:r w:rsidR="00027632" w:rsidRPr="00DC1AE7">
        <w:t xml:space="preserve"> </w:t>
      </w:r>
      <w:r w:rsidR="00AF3BBC" w:rsidRPr="00DC1AE7">
        <w:t xml:space="preserve">gains </w:t>
      </w:r>
      <w:r w:rsidR="006D017C" w:rsidRPr="00DC1AE7">
        <w:t xml:space="preserve">(30) </w:t>
      </w:r>
      <w:r w:rsidR="00AF3BBC" w:rsidRPr="00DC1AE7">
        <w:t>than declines</w:t>
      </w:r>
      <w:r w:rsidR="006D017C" w:rsidRPr="00DC1AE7">
        <w:t xml:space="preserve"> (20)</w:t>
      </w:r>
      <w:r w:rsidRPr="00DC1AE7">
        <w:t>.</w:t>
      </w:r>
    </w:p>
    <w:p w14:paraId="3A74B700" w14:textId="54E42823" w:rsidR="00027632" w:rsidRPr="00DC1AE7" w:rsidRDefault="00027632" w:rsidP="000F733F">
      <w:pPr>
        <w:pStyle w:val="ListParagraph"/>
        <w:numPr>
          <w:ilvl w:val="0"/>
          <w:numId w:val="9"/>
        </w:numPr>
        <w:spacing w:before="60" w:line="271" w:lineRule="auto"/>
      </w:pPr>
      <w:r w:rsidRPr="00DC1AE7">
        <w:t>U.S.</w:t>
      </w:r>
      <w:r w:rsidR="00A17E16" w:rsidRPr="00DC1AE7">
        <w:t xml:space="preserve"> exporters of goods</w:t>
      </w:r>
      <w:r w:rsidR="00AF3BBC" w:rsidRPr="00DC1AE7">
        <w:t xml:space="preserve"> </w:t>
      </w:r>
      <w:r w:rsidR="00A17E16" w:rsidRPr="00DC1AE7">
        <w:t>are facing</w:t>
      </w:r>
      <w:r w:rsidR="00AF3BBC" w:rsidRPr="00DC1AE7">
        <w:t xml:space="preserve"> </w:t>
      </w:r>
      <w:r w:rsidR="00631D47" w:rsidRPr="00DC1AE7">
        <w:t>ongoing challeng</w:t>
      </w:r>
      <w:r w:rsidR="00C42DFC" w:rsidRPr="00DC1AE7">
        <w:t xml:space="preserve">es of </w:t>
      </w:r>
      <w:r w:rsidR="00A17E16" w:rsidRPr="00DC1AE7">
        <w:t>changing</w:t>
      </w:r>
      <w:r w:rsidR="00AF3BBC" w:rsidRPr="00DC1AE7">
        <w:t xml:space="preserve"> </w:t>
      </w:r>
      <w:r w:rsidRPr="00DC1AE7">
        <w:t>tariff policies</w:t>
      </w:r>
      <w:r w:rsidR="00367E5D" w:rsidRPr="00DC1AE7">
        <w:t xml:space="preserve"> on U.S. imports</w:t>
      </w:r>
      <w:r w:rsidR="00A17E16" w:rsidRPr="00DC1AE7">
        <w:t xml:space="preserve"> and</w:t>
      </w:r>
      <w:r w:rsidR="006D017C" w:rsidRPr="00DC1AE7">
        <w:t xml:space="preserve"> </w:t>
      </w:r>
      <w:r w:rsidR="00367E5D" w:rsidRPr="00DC1AE7">
        <w:t>retaliat</w:t>
      </w:r>
      <w:r w:rsidR="00A17E16" w:rsidRPr="00DC1AE7">
        <w:t>ory tariffs</w:t>
      </w:r>
      <w:r w:rsidR="00367E5D" w:rsidRPr="00DC1AE7">
        <w:t xml:space="preserve"> by other countries on U.S. exports</w:t>
      </w:r>
      <w:r w:rsidR="00A17E16" w:rsidRPr="00DC1AE7">
        <w:t xml:space="preserve">, as well as </w:t>
      </w:r>
      <w:r w:rsidR="00800341">
        <w:t>concerns about</w:t>
      </w:r>
      <w:r w:rsidR="00A17E16" w:rsidRPr="00DC1AE7">
        <w:t xml:space="preserve"> general</w:t>
      </w:r>
      <w:r w:rsidR="00AF3BBC" w:rsidRPr="00DC1AE7">
        <w:t xml:space="preserve"> economic conditions</w:t>
      </w:r>
      <w:r w:rsidRPr="00DC1AE7">
        <w:t>.</w:t>
      </w:r>
    </w:p>
    <w:p w14:paraId="03CA25DA" w14:textId="00DFD9EC" w:rsidR="007F1C4A" w:rsidRPr="00DC1AE7" w:rsidRDefault="007F1C4A" w:rsidP="00C9794E">
      <w:pPr>
        <w:pStyle w:val="Heading4"/>
        <w:spacing w:before="0" w:after="120"/>
        <w:rPr>
          <w:szCs w:val="24"/>
        </w:rPr>
      </w:pPr>
      <w:r w:rsidRPr="00DC1AE7">
        <w:rPr>
          <w:szCs w:val="24"/>
        </w:rPr>
        <w:t xml:space="preserve">Figure </w:t>
      </w:r>
      <w:r w:rsidRPr="00DC1AE7">
        <w:rPr>
          <w:szCs w:val="24"/>
        </w:rPr>
        <w:fldChar w:fldCharType="begin"/>
      </w:r>
      <w:r w:rsidRPr="00DC1AE7">
        <w:rPr>
          <w:szCs w:val="24"/>
        </w:rPr>
        <w:instrText xml:space="preserve"> SEQ Figure \* ARABIC </w:instrText>
      </w:r>
      <w:r w:rsidRPr="00DC1AE7">
        <w:rPr>
          <w:szCs w:val="24"/>
        </w:rPr>
        <w:fldChar w:fldCharType="separate"/>
      </w:r>
      <w:r w:rsidR="00C430F8" w:rsidRPr="00DC1AE7">
        <w:rPr>
          <w:szCs w:val="24"/>
        </w:rPr>
        <w:t>1</w:t>
      </w:r>
      <w:r w:rsidRPr="00DC1AE7">
        <w:rPr>
          <w:szCs w:val="24"/>
        </w:rPr>
        <w:fldChar w:fldCharType="end"/>
      </w:r>
      <w:r w:rsidR="00A52415" w:rsidRPr="00DC1AE7">
        <w:rPr>
          <w:szCs w:val="24"/>
        </w:rPr>
        <w:t>.</w:t>
      </w:r>
      <w:r w:rsidR="00F72892" w:rsidRPr="00DC1AE7">
        <w:rPr>
          <w:szCs w:val="24"/>
        </w:rPr>
        <w:t xml:space="preserve"> </w:t>
      </w:r>
      <w:r w:rsidR="006D017C" w:rsidRPr="00DC1AE7">
        <w:rPr>
          <w:szCs w:val="24"/>
        </w:rPr>
        <w:t>Over Half of States Have Export Gains</w:t>
      </w:r>
    </w:p>
    <w:p w14:paraId="707F3AD6" w14:textId="2C7E84A6" w:rsidR="009F4D89" w:rsidRPr="00DC1AE7" w:rsidRDefault="009F4D89" w:rsidP="009F4D89">
      <w:r w:rsidRPr="00DC1AE7">
        <w:rPr>
          <w:noProof/>
        </w:rPr>
        <mc:AlternateContent>
          <mc:Choice Requires="wps">
            <w:drawing>
              <wp:anchor distT="0" distB="0" distL="114300" distR="114300" simplePos="0" relativeHeight="251660800" behindDoc="0" locked="0" layoutInCell="1" allowOverlap="1" wp14:anchorId="098AB7ED" wp14:editId="4AF28D43">
                <wp:simplePos x="0" y="0"/>
                <wp:positionH relativeFrom="page">
                  <wp:posOffset>3976729</wp:posOffset>
                </wp:positionH>
                <wp:positionV relativeFrom="paragraph">
                  <wp:posOffset>1536231</wp:posOffset>
                </wp:positionV>
                <wp:extent cx="1319530" cy="250900"/>
                <wp:effectExtent l="0" t="0" r="0" b="0"/>
                <wp:wrapNone/>
                <wp:docPr id="1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9530" cy="250900"/>
                        </a:xfrm>
                        <a:prstGeom prst="rect">
                          <a:avLst/>
                        </a:prstGeom>
                        <a:noFill/>
                        <a:ln w="9525">
                          <a:noFill/>
                          <a:miter lim="800000"/>
                          <a:headEnd/>
                          <a:tailEnd/>
                        </a:ln>
                      </wps:spPr>
                      <wps:txbx>
                        <w:txbxContent>
                          <w:p w14:paraId="3C4BE73A" w14:textId="42E6E448" w:rsidR="00CC5F28" w:rsidRPr="004873BD" w:rsidRDefault="00CC5F28" w:rsidP="000341DE">
                            <w:pPr>
                              <w:rPr>
                                <w:b/>
                                <w:bCs/>
                                <w:iCs/>
                                <w:sz w:val="18"/>
                              </w:rPr>
                            </w:pPr>
                            <w:r w:rsidRPr="004873BD">
                              <w:rPr>
                                <w:b/>
                                <w:bCs/>
                                <w:iCs/>
                                <w:sz w:val="18"/>
                              </w:rPr>
                              <w:t xml:space="preserve">Decline    </w:t>
                            </w:r>
                            <w:r w:rsidR="00BE4117" w:rsidRPr="004873BD">
                              <w:rPr>
                                <w:b/>
                                <w:bCs/>
                                <w:iCs/>
                                <w:sz w:val="18"/>
                              </w:rPr>
                              <w:t xml:space="preserve">  </w:t>
                            </w:r>
                            <w:r w:rsidRPr="004873BD">
                              <w:rPr>
                                <w:b/>
                                <w:bCs/>
                                <w:iCs/>
                                <w:sz w:val="18"/>
                              </w:rPr>
                              <w:t xml:space="preserve"> 0%   Growth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8AB7ED" id="_x0000_t202" coordsize="21600,21600" o:spt="202" path="m,l,21600r21600,l21600,xe">
                <v:stroke joinstyle="miter"/>
                <v:path gradientshapeok="t" o:connecttype="rect"/>
              </v:shapetype>
              <v:shape id="Text Box 2" o:spid="_x0000_s1026" type="#_x0000_t202" alt="&quot;&quot;" style="position:absolute;margin-left:313.15pt;margin-top:120.95pt;width:103.9pt;height:19.7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8At9wEAAM0DAAAOAAAAZHJzL2Uyb0RvYy54bWysU8tu2zAQvBfoPxC815Idu40Fy0GaNEWB&#10;9AEk/YA1RVlESS5L0pbcr8+SchyjuRXVgeBqydmd2eHqajCa7aUPCm3Np5OSM2kFNspua/7z8e7d&#10;JWchgm1Ao5U1P8jAr9Zv36x6V8kZdqgb6RmB2FD1ruZdjK4qiiA6aSBM0ElLyRa9gUih3xaNh57Q&#10;jS5mZfm+6NE3zqOQIdDf2zHJ1xm/baWI39s2yMh0zam3mFef101ai/UKqq0H1ylxbAP+oQsDylLR&#10;E9QtRGA7r15BGSU8BmzjRKApsG2VkJkDsZmWf7F56MDJzIXECe4kU/h/sOLb/sH98CwOH3GgAWYS&#10;wd2j+BWYxZsO7FZee499J6GhwtMkWdG7UB2vJqlDFRLIpv+KDQ0ZdhEz0NB6k1QhnozQaQCHk+hy&#10;iEykkhfT5eKCUoJys0W5LPNUCqiebzsf4meJhqVNzT0NNaPD/j7E1A1Uz0dSMYt3Sus8WG1ZX/Pl&#10;YrbIF84yRkXynVam5pdl+kYnJJKfbJMvR1B63FMBbY+sE9GRchw2Ax1M7DfYHIi/x9Ff9B5o06H/&#10;w1lP3qp5+L0DLznTXyxpuJzO58mMOZgvPswo8OeZzXkGrCComkfOxu1NzAYeuV6T1q3KMrx0cuyV&#10;PJPVOfo7mfI8zqdeXuH6CQAA//8DAFBLAwQUAAYACAAAACEAH/6maN8AAAALAQAADwAAAGRycy9k&#10;b3ducmV2LnhtbEyPTU/DMAyG70j8h8hI3FjSrlRdaTohEFcQ40PiljVeW9E4VZOt5d9jTuxo+9Hr&#10;5622ixvECafQe9KQrBQIpMbbnloN729PNwWIEA1ZM3hCDT8YYFtfXlSmtH6mVzztYis4hEJpNHQx&#10;jqWUoenQmbDyIxLfDn5yJvI4tdJOZuZwN8hUqVw60xN/6MyIDx0237uj0/DxfPj6zNRL++hux9kv&#10;SpLbSK2vr5b7OxARl/gPw58+q0PNTnt/JBvEoCFP8zWjGtIs2YBgolhnCYg9b4okA1lX8rxD/QsA&#10;AP//AwBQSwECLQAUAAYACAAAACEAtoM4kv4AAADhAQAAEwAAAAAAAAAAAAAAAAAAAAAAW0NvbnRl&#10;bnRfVHlwZXNdLnhtbFBLAQItABQABgAIAAAAIQA4/SH/1gAAAJQBAAALAAAAAAAAAAAAAAAAAC8B&#10;AABfcmVscy8ucmVsc1BLAQItABQABgAIAAAAIQDoa8At9wEAAM0DAAAOAAAAAAAAAAAAAAAAAC4C&#10;AABkcnMvZTJvRG9jLnhtbFBLAQItABQABgAIAAAAIQAf/qZo3wAAAAsBAAAPAAAAAAAAAAAAAAAA&#10;AFEEAABkcnMvZG93bnJldi54bWxQSwUGAAAAAAQABADzAAAAXQUAAAAA&#10;" filled="f" stroked="f">
                <v:textbox>
                  <w:txbxContent>
                    <w:p w14:paraId="3C4BE73A" w14:textId="42E6E448" w:rsidR="00CC5F28" w:rsidRPr="004873BD" w:rsidRDefault="00CC5F28" w:rsidP="000341DE">
                      <w:pPr>
                        <w:rPr>
                          <w:b/>
                          <w:bCs/>
                          <w:iCs/>
                          <w:sz w:val="18"/>
                        </w:rPr>
                      </w:pPr>
                      <w:r w:rsidRPr="004873BD">
                        <w:rPr>
                          <w:b/>
                          <w:bCs/>
                          <w:iCs/>
                          <w:sz w:val="18"/>
                        </w:rPr>
                        <w:t xml:space="preserve">Decline    </w:t>
                      </w:r>
                      <w:r w:rsidR="00BE4117" w:rsidRPr="004873BD">
                        <w:rPr>
                          <w:b/>
                          <w:bCs/>
                          <w:iCs/>
                          <w:sz w:val="18"/>
                        </w:rPr>
                        <w:t xml:space="preserve">  </w:t>
                      </w:r>
                      <w:r w:rsidRPr="004873BD">
                        <w:rPr>
                          <w:b/>
                          <w:bCs/>
                          <w:iCs/>
                          <w:sz w:val="18"/>
                        </w:rPr>
                        <w:t xml:space="preserve"> 0%   Growth</w:t>
                      </w:r>
                    </w:p>
                  </w:txbxContent>
                </v:textbox>
                <w10:wrap anchorx="page"/>
              </v:shape>
            </w:pict>
          </mc:Fallback>
        </mc:AlternateContent>
      </w:r>
      <w:r w:rsidRPr="00DC1AE7">
        <w:rPr>
          <w:noProof/>
        </w:rPr>
        <mc:AlternateContent>
          <mc:Choice Requires="wps">
            <w:drawing>
              <wp:anchor distT="0" distB="0" distL="114300" distR="114300" simplePos="0" relativeHeight="251658752" behindDoc="0" locked="0" layoutInCell="1" allowOverlap="1" wp14:anchorId="24E76B40" wp14:editId="67174CCE">
                <wp:simplePos x="0" y="0"/>
                <wp:positionH relativeFrom="margin">
                  <wp:posOffset>5874347</wp:posOffset>
                </wp:positionH>
                <wp:positionV relativeFrom="paragraph">
                  <wp:posOffset>1202353</wp:posOffset>
                </wp:positionV>
                <wp:extent cx="863600" cy="473725"/>
                <wp:effectExtent l="0" t="0" r="0" b="2540"/>
                <wp:wrapNone/>
                <wp:docPr id="30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600" cy="473725"/>
                        </a:xfrm>
                        <a:prstGeom prst="rect">
                          <a:avLst/>
                        </a:prstGeom>
                        <a:noFill/>
                        <a:ln w="9525">
                          <a:noFill/>
                          <a:miter lim="800000"/>
                          <a:headEnd/>
                          <a:tailEnd/>
                        </a:ln>
                      </wps:spPr>
                      <wps:txbx>
                        <w:txbxContent>
                          <w:p w14:paraId="60A296D5" w14:textId="04EB0E8D" w:rsidR="007F1C4A" w:rsidRPr="00044ED9" w:rsidRDefault="007F1C4A" w:rsidP="007F1C4A">
                            <w:pPr>
                              <w:rPr>
                                <w:b/>
                                <w:i/>
                                <w:szCs w:val="24"/>
                              </w:rPr>
                            </w:pPr>
                            <w:r w:rsidRPr="00044ED9">
                              <w:rPr>
                                <w:b/>
                                <w:i/>
                                <w:szCs w:val="24"/>
                              </w:rPr>
                              <w:t>M</w:t>
                            </w:r>
                            <w:r w:rsidR="0065603B" w:rsidRPr="00044ED9">
                              <w:rPr>
                                <w:b/>
                                <w:i/>
                                <w:szCs w:val="24"/>
                              </w:rPr>
                              <w:t xml:space="preserve">N:  </w:t>
                            </w:r>
                            <w:r w:rsidR="000F06F6">
                              <w:rPr>
                                <w:b/>
                                <w:i/>
                                <w:szCs w:val="24"/>
                              </w:rPr>
                              <w:t>-</w:t>
                            </w:r>
                            <w:r w:rsidR="00C9794E">
                              <w:rPr>
                                <w:b/>
                                <w:i/>
                                <w:szCs w:val="24"/>
                              </w:rPr>
                              <w:t>6</w:t>
                            </w:r>
                            <w:r w:rsidRPr="00044ED9">
                              <w:rPr>
                                <w:b/>
                                <w:i/>
                                <w:szCs w:val="24"/>
                              </w:rPr>
                              <w:t>%</w:t>
                            </w:r>
                          </w:p>
                          <w:p w14:paraId="588145EA" w14:textId="1E33D966" w:rsidR="007F1C4A" w:rsidRPr="00044ED9" w:rsidRDefault="00293DCF" w:rsidP="007F1C4A">
                            <w:pPr>
                              <w:rPr>
                                <w:b/>
                                <w:i/>
                                <w:szCs w:val="24"/>
                              </w:rPr>
                            </w:pPr>
                            <w:r w:rsidRPr="00044ED9">
                              <w:rPr>
                                <w:b/>
                                <w:i/>
                                <w:szCs w:val="24"/>
                              </w:rPr>
                              <w:t xml:space="preserve">U.S.: </w:t>
                            </w:r>
                            <w:r w:rsidR="00806897">
                              <w:rPr>
                                <w:b/>
                                <w:i/>
                                <w:szCs w:val="24"/>
                              </w:rPr>
                              <w:t xml:space="preserve"> </w:t>
                            </w:r>
                            <w:r w:rsidR="00644080">
                              <w:rPr>
                                <w:b/>
                                <w:i/>
                                <w:szCs w:val="24"/>
                              </w:rPr>
                              <w:t>+</w:t>
                            </w:r>
                            <w:r w:rsidR="00C9794E">
                              <w:rPr>
                                <w:b/>
                                <w:i/>
                                <w:szCs w:val="24"/>
                              </w:rPr>
                              <w:t>3</w:t>
                            </w:r>
                            <w:r w:rsidR="007F1C4A" w:rsidRPr="00044ED9">
                              <w:rPr>
                                <w:b/>
                                <w:i/>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E76B40" id="_x0000_s1027" type="#_x0000_t202" alt="&quot;&quot;" style="position:absolute;margin-left:462.55pt;margin-top:94.65pt;width:68pt;height:37.3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bsC9wEAANMDAAAOAAAAZHJzL2Uyb0RvYy54bWysU9tuGyEQfa/Uf0C817t2fElWXkdp0lSV&#10;0ouU9AMwC15UYChg77pf34HdOFb6FnUf0MAsZ+acOayve6PJQfigwNZ0OikpEZZDo+yupj+f7j9c&#10;UhIisw3TYEVNjyLQ6837d+vOVWIGLehGeIIgNlSdq2kbo6uKIvBWGBYm4ITFpARvWMSt3xWNZx2i&#10;G13MynJZdOAb54GLEPD0bkjSTcaXUvD4XcogItE1xd5iXn1et2ktNmtW7TxzreJjG+wNXRimLBY9&#10;Qd2xyMjeq3+gjOIeAsg44WAKkFJxkTkgm2n5is1jy5zIXFCc4E4yhf8Hy78dHt0PT2L/EXocYCYR&#10;3APwX4FYuG2Z3Ykb76FrBWuw8DRJVnQuVOPVJHWoQgLZdl+hwSGzfYQM1EtvkirIkyA6DuB4El30&#10;kXA8vFxeLEvMcEzNVxer2SJXYNXzZedD/CzAkBTU1ONMMzg7PISYmmHV8y+ploV7pXWeq7akq+nV&#10;AiFfZYyKaDutDNYv0zcYIXH8ZJt8OTKlhxgLaDuSTjwHxrHf9kQ1oyJJgy00R1TBw+AyfBUYtOD/&#10;UNKhw2oafu+ZF5ToLxaVvJrO58mSeTNfrGa48eeZ7XmGWY5QNY2UDOFtzDYeiN2g4lJlNV46GVtG&#10;52SRRpcna57v818vb3HzFwAA//8DAFBLAwQUAAYACAAAACEAZLUVx98AAAAMAQAADwAAAGRycy9k&#10;b3ducmV2LnhtbEyPwU7DMAyG70i8Q2Qkbixpx6q1NJ0QiCuIAZN2yxqvrWicqsnW8vZ4Jzja/6ff&#10;n8vN7HpxxjF0njQkCwUCqfa2o0bD58fL3RpEiIas6T2hhh8MsKmur0pTWD/RO563sRFcQqEwGtoY&#10;h0LKULfoTFj4AYmzox+diTyOjbSjmbjc9TJVKpPOdMQXWjPgU4v19/bkNHy9Hve7e/XWPLvVMPlZ&#10;SXK51Pr2Zn58ABFxjn8wXPRZHSp2OvgT2SB6DXm6ShjlYJ0vQVwIlSW8OmhIs2UOsirl/yeqXwAA&#10;AP//AwBQSwECLQAUAAYACAAAACEAtoM4kv4AAADhAQAAEwAAAAAAAAAAAAAAAAAAAAAAW0NvbnRl&#10;bnRfVHlwZXNdLnhtbFBLAQItABQABgAIAAAAIQA4/SH/1gAAAJQBAAALAAAAAAAAAAAAAAAAAC8B&#10;AABfcmVscy8ucmVsc1BLAQItABQABgAIAAAAIQCJHbsC9wEAANMDAAAOAAAAAAAAAAAAAAAAAC4C&#10;AABkcnMvZTJvRG9jLnhtbFBLAQItABQABgAIAAAAIQBktRXH3wAAAAwBAAAPAAAAAAAAAAAAAAAA&#10;AFEEAABkcnMvZG93bnJldi54bWxQSwUGAAAAAAQABADzAAAAXQUAAAAA&#10;" filled="f" stroked="f">
                <v:textbox>
                  <w:txbxContent>
                    <w:p w14:paraId="60A296D5" w14:textId="04EB0E8D" w:rsidR="007F1C4A" w:rsidRPr="00044ED9" w:rsidRDefault="007F1C4A" w:rsidP="007F1C4A">
                      <w:pPr>
                        <w:rPr>
                          <w:b/>
                          <w:i/>
                          <w:szCs w:val="24"/>
                        </w:rPr>
                      </w:pPr>
                      <w:r w:rsidRPr="00044ED9">
                        <w:rPr>
                          <w:b/>
                          <w:i/>
                          <w:szCs w:val="24"/>
                        </w:rPr>
                        <w:t>M</w:t>
                      </w:r>
                      <w:r w:rsidR="0065603B" w:rsidRPr="00044ED9">
                        <w:rPr>
                          <w:b/>
                          <w:i/>
                          <w:szCs w:val="24"/>
                        </w:rPr>
                        <w:t xml:space="preserve">N:  </w:t>
                      </w:r>
                      <w:r w:rsidR="000F06F6">
                        <w:rPr>
                          <w:b/>
                          <w:i/>
                          <w:szCs w:val="24"/>
                        </w:rPr>
                        <w:t>-</w:t>
                      </w:r>
                      <w:r w:rsidR="00C9794E">
                        <w:rPr>
                          <w:b/>
                          <w:i/>
                          <w:szCs w:val="24"/>
                        </w:rPr>
                        <w:t>6</w:t>
                      </w:r>
                      <w:r w:rsidRPr="00044ED9">
                        <w:rPr>
                          <w:b/>
                          <w:i/>
                          <w:szCs w:val="24"/>
                        </w:rPr>
                        <w:t>%</w:t>
                      </w:r>
                    </w:p>
                    <w:p w14:paraId="588145EA" w14:textId="1E33D966" w:rsidR="007F1C4A" w:rsidRPr="00044ED9" w:rsidRDefault="00293DCF" w:rsidP="007F1C4A">
                      <w:pPr>
                        <w:rPr>
                          <w:b/>
                          <w:i/>
                          <w:szCs w:val="24"/>
                        </w:rPr>
                      </w:pPr>
                      <w:r w:rsidRPr="00044ED9">
                        <w:rPr>
                          <w:b/>
                          <w:i/>
                          <w:szCs w:val="24"/>
                        </w:rPr>
                        <w:t xml:space="preserve">U.S.: </w:t>
                      </w:r>
                      <w:r w:rsidR="00806897">
                        <w:rPr>
                          <w:b/>
                          <w:i/>
                          <w:szCs w:val="24"/>
                        </w:rPr>
                        <w:t xml:space="preserve"> </w:t>
                      </w:r>
                      <w:r w:rsidR="00644080">
                        <w:rPr>
                          <w:b/>
                          <w:i/>
                          <w:szCs w:val="24"/>
                        </w:rPr>
                        <w:t>+</w:t>
                      </w:r>
                      <w:r w:rsidR="00C9794E">
                        <w:rPr>
                          <w:b/>
                          <w:i/>
                          <w:szCs w:val="24"/>
                        </w:rPr>
                        <w:t>3</w:t>
                      </w:r>
                      <w:r w:rsidR="007F1C4A" w:rsidRPr="00044ED9">
                        <w:rPr>
                          <w:b/>
                          <w:i/>
                          <w:szCs w:val="24"/>
                        </w:rPr>
                        <w:t>%</w:t>
                      </w:r>
                    </w:p>
                  </w:txbxContent>
                </v:textbox>
                <w10:wrap anchorx="margin"/>
              </v:shape>
            </w:pict>
          </mc:Fallback>
        </mc:AlternateContent>
      </w:r>
      <w:r w:rsidR="006D017C" w:rsidRPr="00DC1AE7">
        <w:rPr>
          <w:noProof/>
        </w:rPr>
        <w:drawing>
          <wp:inline distT="0" distB="0" distL="0" distR="0" wp14:anchorId="07FA8516" wp14:editId="39AB8DDB">
            <wp:extent cx="3101281" cy="1733797"/>
            <wp:effectExtent l="0" t="0" r="4445" b="0"/>
            <wp:docPr id="1371561931" name="Picture 5" descr="US Map of states with trends 2024-Q1 to 2025-Q1&#10;State Percent Change 2024-Q1 to 2025-Q1&#10;Minnesota -6%&#10;United States 3%&#10;Alabama 2%&#10;Alaska 18%&#10;Arizona 27%&#10;Arkansas 4%&#10;California 8%&#10;Colorado 2%&#10;Connecticut 3%&#10;Delaware 31%&#10;Dist of Columbia -1%&#10;Florida 5%&#10;Georgia 14%&#10;Hawaii 56%&#10;Idaho 22%&#10;Illinois 0%&#10;Indiana -2%&#10;Iowa -7%&#10;Kansas -3%&#10;Kentucky 20%&#10;Louisiana 2%&#10;Maine 12%&#10;Maryland -14%&#10;Massachusetts 6%&#10;Michigan 1%&#10;Mississippi 0%&#10;Missouri 7%&#10;Montana -5%&#10;Nebraska -2%&#10;Nevada 12%&#10;New Hampshire -15%&#10;New Jersey -8%&#10;New Mexico 173%&#10;New York 5%&#10;North Carolina -1%&#10;North Dakota 5%&#10;Ohio -7%&#10;Oklahoma 4%&#10;Oregon -1%&#10;Pennsylvania -3%&#10;Rhode Island -3%&#10;South Carolina -14%&#10;South Dakota -11%&#10;Tennessee -7%&#10;Texas 2%&#10;Utah -29%&#10;Vermont 41%&#10;Virginia -13%&#10;Washington 4%&#10;West Virginia -7%&#10;Wisconsin 2%&#10;Wyoming 7%&#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561931" name="Picture 5" descr="US Map of states with trends 2024-Q1 to 2025-Q1&#10;State Percent Change 2024-Q1 to 2025-Q1&#10;Minnesota -6%&#10;United States 3%&#10;Alabama 2%&#10;Alaska 18%&#10;Arizona 27%&#10;Arkansas 4%&#10;California 8%&#10;Colorado 2%&#10;Connecticut 3%&#10;Delaware 31%&#10;Dist of Columbia -1%&#10;Florida 5%&#10;Georgia 14%&#10;Hawaii 56%&#10;Idaho 22%&#10;Illinois 0%&#10;Indiana -2%&#10;Iowa -7%&#10;Kansas -3%&#10;Kentucky 20%&#10;Louisiana 2%&#10;Maine 12%&#10;Maryland -14%&#10;Massachusetts 6%&#10;Michigan 1%&#10;Mississippi 0%&#10;Missouri 7%&#10;Montana -5%&#10;Nebraska -2%&#10;Nevada 12%&#10;New Hampshire -15%&#10;New Jersey -8%&#10;New Mexico 173%&#10;New York 5%&#10;North Carolina -1%&#10;North Dakota 5%&#10;Ohio -7%&#10;Oklahoma 4%&#10;Oregon -1%&#10;Pennsylvania -3%&#10;Rhode Island -3%&#10;South Carolina -14%&#10;South Dakota -11%&#10;Tennessee -7%&#10;Texas 2%&#10;Utah -29%&#10;Vermont 41%&#10;Virginia -13%&#10;Washington 4%&#10;West Virginia -7%&#10;Wisconsin 2%&#10;Wyoming 7%&#10;&#10;"/>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2897" b="6306"/>
                    <a:stretch/>
                  </pic:blipFill>
                  <pic:spPr bwMode="auto">
                    <a:xfrm>
                      <a:off x="0" y="0"/>
                      <a:ext cx="3109308" cy="1738285"/>
                    </a:xfrm>
                    <a:prstGeom prst="rect">
                      <a:avLst/>
                    </a:prstGeom>
                    <a:noFill/>
                    <a:ln>
                      <a:noFill/>
                    </a:ln>
                    <a:extLst>
                      <a:ext uri="{53640926-AAD7-44D8-BBD7-CCE9431645EC}">
                        <a14:shadowObscured xmlns:a14="http://schemas.microsoft.com/office/drawing/2010/main"/>
                      </a:ext>
                    </a:extLst>
                  </pic:spPr>
                </pic:pic>
              </a:graphicData>
            </a:graphic>
          </wp:inline>
        </w:drawing>
      </w:r>
    </w:p>
    <w:p w14:paraId="6B23B2F3" w14:textId="2C0BA6C6" w:rsidR="00BE4DAD" w:rsidRPr="00DC1AE7" w:rsidRDefault="00A52415" w:rsidP="009F4D89">
      <w:pPr>
        <w:spacing w:line="271" w:lineRule="auto"/>
        <w:rPr>
          <w:rFonts w:ascii="Arial Narrow" w:hAnsi="Arial Narrow"/>
          <w:sz w:val="2"/>
          <w:szCs w:val="2"/>
        </w:rPr>
        <w:sectPr w:rsidR="00BE4DAD" w:rsidRPr="00DC1AE7" w:rsidSect="00FE15EB">
          <w:footnotePr>
            <w:numRestart w:val="eachSect"/>
          </w:footnotePr>
          <w:endnotePr>
            <w:numFmt w:val="decimal"/>
          </w:endnotePr>
          <w:type w:val="continuous"/>
          <w:pgSz w:w="12240" w:h="15840" w:code="1"/>
          <w:pgMar w:top="864" w:right="1008" w:bottom="864" w:left="1008" w:header="720" w:footer="720" w:gutter="0"/>
          <w:cols w:num="2" w:space="450"/>
          <w:titlePg/>
          <w:docGrid w:linePitch="299"/>
        </w:sectPr>
      </w:pPr>
      <w:r w:rsidRPr="00DC1AE7">
        <w:rPr>
          <w:rFonts w:ascii="Arial Narrow" w:hAnsi="Arial Narrow"/>
          <w:noProof/>
          <w:sz w:val="2"/>
          <w:szCs w:val="2"/>
        </w:rPr>
        <w:drawing>
          <wp:inline distT="0" distB="0" distL="0" distR="0" wp14:anchorId="5C21AFCD" wp14:editId="6F2E3F86">
            <wp:extent cx="1126069" cy="160867"/>
            <wp:effectExtent l="0" t="0" r="0" b="0"/>
            <wp:docPr id="7" name="Picture 7" descr="Map color legend. yellow for decline, green for grow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Map color legend. yellow for decline, green for growth"/>
                    <pic:cNvPicPr>
                      <a:picLocks noChangeAspect="1" noChangeArrowheads="1"/>
                    </pic:cNvPicPr>
                  </pic:nvPicPr>
                  <pic:blipFill rotWithShape="1">
                    <a:blip r:embed="rId13">
                      <a:extLst>
                        <a:ext uri="{28A0092B-C50C-407E-A947-70E740481C1C}">
                          <a14:useLocalDpi xmlns:a14="http://schemas.microsoft.com/office/drawing/2010/main" val="0"/>
                        </a:ext>
                      </a:extLst>
                    </a:blip>
                    <a:srcRect t="41379" b="24138"/>
                    <a:stretch/>
                  </pic:blipFill>
                  <pic:spPr bwMode="auto">
                    <a:xfrm>
                      <a:off x="0" y="0"/>
                      <a:ext cx="1132027" cy="161718"/>
                    </a:xfrm>
                    <a:prstGeom prst="rect">
                      <a:avLst/>
                    </a:prstGeom>
                    <a:noFill/>
                    <a:ln>
                      <a:noFill/>
                    </a:ln>
                    <a:extLst>
                      <a:ext uri="{53640926-AAD7-44D8-BBD7-CCE9431645EC}">
                        <a14:shadowObscured xmlns:a14="http://schemas.microsoft.com/office/drawing/2010/main"/>
                      </a:ext>
                    </a:extLst>
                  </pic:spPr>
                </pic:pic>
              </a:graphicData>
            </a:graphic>
          </wp:inline>
        </w:drawing>
      </w:r>
    </w:p>
    <w:p w14:paraId="3B7C68EA" w14:textId="345DE878" w:rsidR="004B25EA" w:rsidRPr="00DC1AE7" w:rsidRDefault="00292BB8" w:rsidP="00A17E16">
      <w:pPr>
        <w:pStyle w:val="Heading2"/>
        <w:spacing w:before="120"/>
        <w:rPr>
          <w:rFonts w:cstheme="minorHAnsi"/>
          <w:i/>
          <w:iCs/>
          <w:color w:val="auto"/>
          <w:sz w:val="28"/>
          <w:szCs w:val="28"/>
        </w:rPr>
      </w:pPr>
      <w:r w:rsidRPr="00DC1AE7">
        <w:rPr>
          <w:rFonts w:cstheme="minorHAnsi"/>
          <w:i/>
          <w:iCs/>
          <w:color w:val="auto"/>
          <w:sz w:val="28"/>
          <w:szCs w:val="28"/>
        </w:rPr>
        <w:t xml:space="preserve">Weaker </w:t>
      </w:r>
      <w:r w:rsidR="0002236E" w:rsidRPr="00DC1AE7">
        <w:rPr>
          <w:rFonts w:cstheme="minorHAnsi"/>
          <w:i/>
          <w:iCs/>
          <w:color w:val="auto"/>
          <w:sz w:val="28"/>
          <w:szCs w:val="28"/>
        </w:rPr>
        <w:t>Trends</w:t>
      </w:r>
      <w:r w:rsidR="0073386C" w:rsidRPr="00DC1AE7">
        <w:rPr>
          <w:rFonts w:cstheme="minorHAnsi"/>
          <w:i/>
          <w:iCs/>
          <w:color w:val="auto"/>
          <w:sz w:val="28"/>
          <w:szCs w:val="28"/>
        </w:rPr>
        <w:t xml:space="preserve"> </w:t>
      </w:r>
      <w:r w:rsidRPr="00DC1AE7">
        <w:rPr>
          <w:rFonts w:cstheme="minorHAnsi"/>
          <w:i/>
          <w:iCs/>
          <w:color w:val="auto"/>
          <w:sz w:val="28"/>
          <w:szCs w:val="28"/>
        </w:rPr>
        <w:t>Across</w:t>
      </w:r>
      <w:r w:rsidR="0073386C" w:rsidRPr="00DC1AE7">
        <w:rPr>
          <w:rFonts w:cstheme="minorHAnsi"/>
          <w:i/>
          <w:iCs/>
          <w:color w:val="auto"/>
          <w:sz w:val="28"/>
          <w:szCs w:val="28"/>
        </w:rPr>
        <w:t xml:space="preserve"> </w:t>
      </w:r>
      <w:r w:rsidR="006104C8" w:rsidRPr="00DC1AE7">
        <w:rPr>
          <w:rFonts w:cstheme="minorHAnsi"/>
          <w:i/>
          <w:iCs/>
          <w:color w:val="auto"/>
          <w:sz w:val="28"/>
          <w:szCs w:val="28"/>
        </w:rPr>
        <w:t>M</w:t>
      </w:r>
      <w:r w:rsidRPr="00DC1AE7">
        <w:rPr>
          <w:rFonts w:cstheme="minorHAnsi"/>
          <w:i/>
          <w:iCs/>
          <w:color w:val="auto"/>
          <w:sz w:val="28"/>
          <w:szCs w:val="28"/>
        </w:rPr>
        <w:t xml:space="preserve">ost </w:t>
      </w:r>
      <w:r w:rsidR="006104C8" w:rsidRPr="00DC1AE7">
        <w:rPr>
          <w:rFonts w:cstheme="minorHAnsi"/>
          <w:i/>
          <w:iCs/>
          <w:color w:val="auto"/>
          <w:sz w:val="28"/>
          <w:szCs w:val="28"/>
        </w:rPr>
        <w:t>Regions</w:t>
      </w:r>
      <w:r w:rsidRPr="00DC1AE7">
        <w:rPr>
          <w:rFonts w:cstheme="minorHAnsi"/>
          <w:i/>
          <w:iCs/>
          <w:color w:val="auto"/>
          <w:sz w:val="28"/>
          <w:szCs w:val="28"/>
        </w:rPr>
        <w:t>, But Growth in Middle East and Selected Markets</w:t>
      </w:r>
    </w:p>
    <w:p w14:paraId="10B1F22E" w14:textId="4441C600" w:rsidR="00547123" w:rsidRPr="00DC1AE7" w:rsidRDefault="00B74AC4" w:rsidP="00547123">
      <w:pPr>
        <w:pStyle w:val="ListParagraph"/>
        <w:numPr>
          <w:ilvl w:val="0"/>
          <w:numId w:val="21"/>
        </w:numPr>
        <w:spacing w:line="271" w:lineRule="auto"/>
        <w:rPr>
          <w:b/>
          <w:bCs/>
        </w:rPr>
      </w:pPr>
      <w:r w:rsidRPr="00DC1AE7">
        <w:t>E</w:t>
      </w:r>
      <w:r w:rsidR="00547123" w:rsidRPr="00DC1AE7">
        <w:t>xports dropped to</w:t>
      </w:r>
      <w:r w:rsidR="00603FEE" w:rsidRPr="00DC1AE7">
        <w:t xml:space="preserve"> </w:t>
      </w:r>
      <w:r w:rsidR="00603FEE" w:rsidRPr="00DC1AE7">
        <w:rPr>
          <w:b/>
          <w:bCs/>
        </w:rPr>
        <w:t>North America</w:t>
      </w:r>
      <w:r w:rsidR="00603FEE" w:rsidRPr="00DC1AE7">
        <w:t xml:space="preserve"> (</w:t>
      </w:r>
      <w:r w:rsidR="00635523" w:rsidRPr="00DC1AE7">
        <w:t>$</w:t>
      </w:r>
      <w:r w:rsidR="00292BB8" w:rsidRPr="00DC1AE7">
        <w:t>2.8</w:t>
      </w:r>
      <w:r w:rsidR="00635523" w:rsidRPr="00DC1AE7">
        <w:t xml:space="preserve"> billion, </w:t>
      </w:r>
      <w:r w:rsidR="00603FEE" w:rsidRPr="00DC1AE7">
        <w:t xml:space="preserve">down </w:t>
      </w:r>
      <w:r w:rsidR="00292BB8" w:rsidRPr="00DC1AE7">
        <w:t>7</w:t>
      </w:r>
      <w:r w:rsidR="00603FEE" w:rsidRPr="00DC1AE7">
        <w:t>%)</w:t>
      </w:r>
      <w:r w:rsidR="00547123" w:rsidRPr="00DC1AE7">
        <w:t>,</w:t>
      </w:r>
      <w:r w:rsidR="00DB439A" w:rsidRPr="00DC1AE7">
        <w:t xml:space="preserve"> as</w:t>
      </w:r>
      <w:r w:rsidR="00547123" w:rsidRPr="00DC1AE7">
        <w:t xml:space="preserve"> </w:t>
      </w:r>
      <w:r w:rsidR="00DB439A" w:rsidRPr="00DC1AE7">
        <w:t>s</w:t>
      </w:r>
      <w:r w:rsidR="00292BB8" w:rsidRPr="00DC1AE7">
        <w:t>ales slumped</w:t>
      </w:r>
      <w:r w:rsidR="00547123" w:rsidRPr="00DC1AE7">
        <w:t xml:space="preserve"> </w:t>
      </w:r>
      <w:r w:rsidR="00292BB8" w:rsidRPr="00DC1AE7">
        <w:t>to</w:t>
      </w:r>
      <w:r w:rsidR="00547123" w:rsidRPr="00DC1AE7">
        <w:t xml:space="preserve"> </w:t>
      </w:r>
      <w:r w:rsidR="00547123" w:rsidRPr="00DC1AE7">
        <w:rPr>
          <w:b/>
          <w:bCs/>
        </w:rPr>
        <w:t xml:space="preserve">Mexico </w:t>
      </w:r>
      <w:r w:rsidR="00547123" w:rsidRPr="00DC1AE7">
        <w:t>(</w:t>
      </w:r>
      <w:r w:rsidR="00292BB8" w:rsidRPr="00DC1AE7">
        <w:t>down</w:t>
      </w:r>
      <w:r w:rsidR="00547123" w:rsidRPr="00DC1AE7">
        <w:t xml:space="preserve"> 1</w:t>
      </w:r>
      <w:r w:rsidR="00292BB8" w:rsidRPr="00DC1AE7">
        <w:t>6</w:t>
      </w:r>
      <w:r w:rsidR="00547123" w:rsidRPr="00DC1AE7">
        <w:t xml:space="preserve">%) </w:t>
      </w:r>
      <w:r w:rsidR="00292BB8" w:rsidRPr="00DC1AE7">
        <w:t>and</w:t>
      </w:r>
      <w:r w:rsidR="00547123" w:rsidRPr="00DC1AE7">
        <w:t xml:space="preserve"> </w:t>
      </w:r>
      <w:r w:rsidR="00547123" w:rsidRPr="00DC1AE7">
        <w:rPr>
          <w:b/>
          <w:bCs/>
        </w:rPr>
        <w:t>Canada</w:t>
      </w:r>
      <w:r w:rsidR="00547123" w:rsidRPr="00DC1AE7">
        <w:t xml:space="preserve"> (down </w:t>
      </w:r>
      <w:r w:rsidR="00292BB8" w:rsidRPr="00DC1AE7">
        <w:t>3</w:t>
      </w:r>
      <w:r w:rsidR="00547123" w:rsidRPr="00DC1AE7">
        <w:t>%</w:t>
      </w:r>
      <w:r w:rsidR="00292BB8" w:rsidRPr="00DC1AE7">
        <w:t>)</w:t>
      </w:r>
      <w:r w:rsidR="00DB439A" w:rsidRPr="00DC1AE7">
        <w:t xml:space="preserve">. Exports of </w:t>
      </w:r>
      <w:r w:rsidR="00CA1224" w:rsidRPr="00DC1AE7">
        <w:rPr>
          <w:b/>
          <w:bCs/>
        </w:rPr>
        <w:t xml:space="preserve">cereals, vehicles, machinery </w:t>
      </w:r>
      <w:r w:rsidR="00CA1224" w:rsidRPr="00DC1AE7">
        <w:t xml:space="preserve">and </w:t>
      </w:r>
      <w:r w:rsidR="00CA1224" w:rsidRPr="00DC1AE7">
        <w:rPr>
          <w:b/>
          <w:bCs/>
        </w:rPr>
        <w:t>food by-products</w:t>
      </w:r>
      <w:r w:rsidR="00DB439A" w:rsidRPr="00DC1AE7">
        <w:t xml:space="preserve"> declined the most.</w:t>
      </w:r>
    </w:p>
    <w:p w14:paraId="09102A02" w14:textId="54CF4675" w:rsidR="00F5610C" w:rsidRPr="00DC1AE7" w:rsidRDefault="00786AC7" w:rsidP="00CA1224">
      <w:pPr>
        <w:pStyle w:val="ListParagraph"/>
        <w:numPr>
          <w:ilvl w:val="0"/>
          <w:numId w:val="21"/>
        </w:numPr>
        <w:spacing w:line="271" w:lineRule="auto"/>
        <w:rPr>
          <w:b/>
          <w:bCs/>
        </w:rPr>
      </w:pPr>
      <w:r w:rsidRPr="00DC1AE7">
        <w:t xml:space="preserve">Demand </w:t>
      </w:r>
      <w:r w:rsidR="006D017C" w:rsidRPr="00DC1AE7">
        <w:t xml:space="preserve">also sank to </w:t>
      </w:r>
      <w:r w:rsidR="007405DC" w:rsidRPr="00DC1AE7">
        <w:rPr>
          <w:b/>
          <w:bCs/>
        </w:rPr>
        <w:t>Asia</w:t>
      </w:r>
      <w:r w:rsidR="006104C8" w:rsidRPr="00DC1AE7">
        <w:rPr>
          <w:b/>
          <w:bCs/>
        </w:rPr>
        <w:t xml:space="preserve"> </w:t>
      </w:r>
      <w:r w:rsidRPr="00DC1AE7">
        <w:t>($1.6 billion, down 9%)</w:t>
      </w:r>
      <w:r w:rsidR="0002236E" w:rsidRPr="00DC1AE7">
        <w:t>,</w:t>
      </w:r>
      <w:r w:rsidRPr="00DC1AE7">
        <w:t xml:space="preserve"> driven by </w:t>
      </w:r>
      <w:r w:rsidRPr="00DC1AE7">
        <w:rPr>
          <w:b/>
        </w:rPr>
        <w:t>China</w:t>
      </w:r>
      <w:r w:rsidR="00635523" w:rsidRPr="00DC1AE7">
        <w:rPr>
          <w:b/>
        </w:rPr>
        <w:t xml:space="preserve"> </w:t>
      </w:r>
      <w:r w:rsidR="00635523" w:rsidRPr="00DC1AE7">
        <w:rPr>
          <w:bCs/>
        </w:rPr>
        <w:t>(</w:t>
      </w:r>
      <w:r w:rsidRPr="00DC1AE7">
        <w:rPr>
          <w:bCs/>
        </w:rPr>
        <w:t>down</w:t>
      </w:r>
      <w:r w:rsidR="00635523" w:rsidRPr="00DC1AE7">
        <w:rPr>
          <w:bCs/>
        </w:rPr>
        <w:t xml:space="preserve"> </w:t>
      </w:r>
      <w:r w:rsidRPr="00DC1AE7">
        <w:rPr>
          <w:bCs/>
        </w:rPr>
        <w:t>8</w:t>
      </w:r>
      <w:r w:rsidR="00635523" w:rsidRPr="00DC1AE7">
        <w:rPr>
          <w:bCs/>
        </w:rPr>
        <w:t xml:space="preserve">%), </w:t>
      </w:r>
      <w:r w:rsidRPr="00DC1AE7">
        <w:rPr>
          <w:b/>
        </w:rPr>
        <w:t xml:space="preserve">Malaysia </w:t>
      </w:r>
      <w:r w:rsidRPr="00DC1AE7">
        <w:rPr>
          <w:bCs/>
        </w:rPr>
        <w:t xml:space="preserve">(down 30%), the </w:t>
      </w:r>
      <w:r w:rsidRPr="00DC1AE7">
        <w:rPr>
          <w:b/>
        </w:rPr>
        <w:t>Philippines</w:t>
      </w:r>
      <w:r w:rsidRPr="00DC1AE7">
        <w:rPr>
          <w:bCs/>
        </w:rPr>
        <w:t xml:space="preserve"> (down 43%) and </w:t>
      </w:r>
      <w:r w:rsidR="0073386C" w:rsidRPr="00DC1AE7">
        <w:rPr>
          <w:b/>
          <w:bCs/>
        </w:rPr>
        <w:t xml:space="preserve">Indonesia </w:t>
      </w:r>
      <w:r w:rsidR="0073386C" w:rsidRPr="00DC1AE7">
        <w:t>(</w:t>
      </w:r>
      <w:r w:rsidRPr="00DC1AE7">
        <w:t xml:space="preserve">down </w:t>
      </w:r>
      <w:r w:rsidR="0073386C" w:rsidRPr="00DC1AE7">
        <w:t>2</w:t>
      </w:r>
      <w:r w:rsidRPr="00DC1AE7">
        <w:t>9</w:t>
      </w:r>
      <w:r w:rsidR="0073386C" w:rsidRPr="00DC1AE7">
        <w:t>%)</w:t>
      </w:r>
      <w:r w:rsidR="0002236E" w:rsidRPr="00DC1AE7">
        <w:t xml:space="preserve"> and</w:t>
      </w:r>
      <w:r w:rsidRPr="00DC1AE7">
        <w:t xml:space="preserve"> </w:t>
      </w:r>
      <w:r w:rsidR="0002236E" w:rsidRPr="00DC1AE7">
        <w:t>despite remarkable gains in</w:t>
      </w:r>
      <w:r w:rsidRPr="00DC1AE7">
        <w:t xml:space="preserve"> </w:t>
      </w:r>
      <w:r w:rsidRPr="00DC1AE7">
        <w:rPr>
          <w:b/>
          <w:bCs/>
        </w:rPr>
        <w:t>Vietnam</w:t>
      </w:r>
      <w:r w:rsidRPr="00DC1AE7">
        <w:t xml:space="preserve"> (up 43%).</w:t>
      </w:r>
    </w:p>
    <w:p w14:paraId="4F401DAF" w14:textId="7CAF294B" w:rsidR="00292BB8" w:rsidRPr="00DC1AE7" w:rsidRDefault="00292BB8" w:rsidP="00292BB8">
      <w:pPr>
        <w:pStyle w:val="ListParagraph"/>
        <w:numPr>
          <w:ilvl w:val="0"/>
          <w:numId w:val="21"/>
        </w:numPr>
        <w:spacing w:line="271" w:lineRule="auto"/>
        <w:rPr>
          <w:b/>
          <w:bCs/>
        </w:rPr>
      </w:pPr>
      <w:r w:rsidRPr="00DC1AE7">
        <w:t xml:space="preserve">The </w:t>
      </w:r>
      <w:r w:rsidRPr="00DC1AE7">
        <w:rPr>
          <w:b/>
          <w:bCs/>
        </w:rPr>
        <w:t xml:space="preserve">Middle East </w:t>
      </w:r>
      <w:r w:rsidR="006D017C" w:rsidRPr="00DC1AE7">
        <w:t>($141 million, up 12%)</w:t>
      </w:r>
      <w:r w:rsidR="006D017C" w:rsidRPr="00DC1AE7">
        <w:rPr>
          <w:b/>
          <w:bCs/>
        </w:rPr>
        <w:t xml:space="preserve"> </w:t>
      </w:r>
      <w:r w:rsidRPr="00DC1AE7">
        <w:t>was a</w:t>
      </w:r>
      <w:r w:rsidR="006D017C" w:rsidRPr="00DC1AE7">
        <w:t>nother</w:t>
      </w:r>
      <w:r w:rsidRPr="00DC1AE7">
        <w:t xml:space="preserve"> bright </w:t>
      </w:r>
      <w:r w:rsidR="006D017C" w:rsidRPr="00DC1AE7">
        <w:t>spot</w:t>
      </w:r>
      <w:r w:rsidR="00AC53F6" w:rsidRPr="00DC1AE7">
        <w:t>. The state’s exports</w:t>
      </w:r>
      <w:r w:rsidRPr="00DC1AE7">
        <w:t xml:space="preserve"> surged</w:t>
      </w:r>
      <w:r w:rsidR="00AC53F6" w:rsidRPr="00DC1AE7">
        <w:t xml:space="preserve"> to </w:t>
      </w:r>
      <w:r w:rsidR="00786AC7" w:rsidRPr="00DC1AE7">
        <w:rPr>
          <w:b/>
          <w:bCs/>
        </w:rPr>
        <w:t xml:space="preserve">Israel </w:t>
      </w:r>
      <w:r w:rsidR="00786AC7" w:rsidRPr="00DC1AE7">
        <w:t>($46 million, up 27%)</w:t>
      </w:r>
      <w:r w:rsidRPr="00DC1AE7">
        <w:t xml:space="preserve"> </w:t>
      </w:r>
      <w:r w:rsidR="00AC53F6" w:rsidRPr="00DC1AE7">
        <w:t xml:space="preserve">and </w:t>
      </w:r>
      <w:r w:rsidRPr="00DC1AE7">
        <w:rPr>
          <w:b/>
          <w:bCs/>
        </w:rPr>
        <w:t>Saudi Arabia</w:t>
      </w:r>
      <w:r w:rsidRPr="00DC1AE7">
        <w:t xml:space="preserve"> ($28 million, up 22%)</w:t>
      </w:r>
      <w:r w:rsidR="00AC53F6" w:rsidRPr="00DC1AE7">
        <w:t xml:space="preserve"> </w:t>
      </w:r>
      <w:r w:rsidR="0002236E" w:rsidRPr="00DC1AE7">
        <w:t>driven</w:t>
      </w:r>
      <w:r w:rsidR="00AC53F6" w:rsidRPr="00DC1AE7">
        <w:t xml:space="preserve"> by </w:t>
      </w:r>
      <w:r w:rsidR="00AC53F6" w:rsidRPr="00DC1AE7">
        <w:rPr>
          <w:b/>
          <w:bCs/>
        </w:rPr>
        <w:t>machinery</w:t>
      </w:r>
      <w:r w:rsidR="00AC53F6" w:rsidRPr="00DC1AE7">
        <w:t xml:space="preserve">; and to </w:t>
      </w:r>
      <w:r w:rsidR="00AC53F6" w:rsidRPr="00DC1AE7">
        <w:rPr>
          <w:b/>
        </w:rPr>
        <w:t xml:space="preserve">Yemen </w:t>
      </w:r>
      <w:r w:rsidR="00AC53F6" w:rsidRPr="00DC1AE7">
        <w:rPr>
          <w:bCs/>
        </w:rPr>
        <w:t>($7.5 million, up from $15,000) due to demand for</w:t>
      </w:r>
      <w:r w:rsidR="00AC53F6" w:rsidRPr="00DC1AE7">
        <w:t xml:space="preserve"> </w:t>
      </w:r>
      <w:r w:rsidR="00AC53F6" w:rsidRPr="00DC1AE7">
        <w:rPr>
          <w:b/>
          <w:bCs/>
        </w:rPr>
        <w:t>wheat</w:t>
      </w:r>
      <w:r w:rsidR="00AC53F6" w:rsidRPr="00DC1AE7">
        <w:t>.</w:t>
      </w:r>
    </w:p>
    <w:p w14:paraId="3C9AD34D" w14:textId="4531D44F" w:rsidR="00635523" w:rsidRPr="00DC1AE7" w:rsidRDefault="00964270" w:rsidP="000F733F">
      <w:pPr>
        <w:pStyle w:val="ListParagraph"/>
        <w:numPr>
          <w:ilvl w:val="0"/>
          <w:numId w:val="10"/>
        </w:numPr>
        <w:spacing w:before="120" w:after="120" w:line="271" w:lineRule="auto"/>
      </w:pPr>
      <w:bookmarkStart w:id="0" w:name="_Hlk71710426"/>
      <w:r w:rsidRPr="00DC1AE7">
        <w:t>Sales</w:t>
      </w:r>
      <w:r w:rsidR="00635523" w:rsidRPr="00DC1AE7">
        <w:t xml:space="preserve"> </w:t>
      </w:r>
      <w:r w:rsidR="00DB439A" w:rsidRPr="00DC1AE7">
        <w:t xml:space="preserve">also </w:t>
      </w:r>
      <w:r w:rsidR="00786AC7" w:rsidRPr="00DC1AE7">
        <w:t>grew</w:t>
      </w:r>
      <w:r w:rsidR="00DB439A" w:rsidRPr="00DC1AE7">
        <w:t xml:space="preserve"> 17%</w:t>
      </w:r>
      <w:r w:rsidR="006104C8" w:rsidRPr="00DC1AE7">
        <w:t xml:space="preserve"> </w:t>
      </w:r>
      <w:r w:rsidR="0020528C" w:rsidRPr="00DC1AE7">
        <w:t xml:space="preserve">to </w:t>
      </w:r>
      <w:r w:rsidR="0073386C" w:rsidRPr="00DC1AE7">
        <w:rPr>
          <w:b/>
          <w:bCs/>
        </w:rPr>
        <w:t>non-EU</w:t>
      </w:r>
      <w:r w:rsidR="0073386C" w:rsidRPr="00DC1AE7">
        <w:t xml:space="preserve"> </w:t>
      </w:r>
      <w:r w:rsidR="0020528C" w:rsidRPr="00DC1AE7">
        <w:rPr>
          <w:b/>
          <w:bCs/>
        </w:rPr>
        <w:t>European</w:t>
      </w:r>
      <w:r w:rsidR="0020528C" w:rsidRPr="00DC1AE7">
        <w:t xml:space="preserve"> </w:t>
      </w:r>
      <w:r w:rsidR="0073386C" w:rsidRPr="00DC1AE7">
        <w:t>markets</w:t>
      </w:r>
      <w:r w:rsidR="00DB439A" w:rsidRPr="00DC1AE7">
        <w:t xml:space="preserve"> </w:t>
      </w:r>
      <w:r w:rsidR="00786AC7" w:rsidRPr="00DC1AE7">
        <w:t xml:space="preserve">– </w:t>
      </w:r>
      <w:r w:rsidR="006104C8" w:rsidRPr="00DC1AE7">
        <w:t xml:space="preserve">led by </w:t>
      </w:r>
      <w:r w:rsidRPr="00DC1AE7">
        <w:rPr>
          <w:b/>
          <w:bCs/>
        </w:rPr>
        <w:t xml:space="preserve">the </w:t>
      </w:r>
      <w:r w:rsidR="006104C8" w:rsidRPr="00DC1AE7">
        <w:rPr>
          <w:b/>
          <w:bCs/>
        </w:rPr>
        <w:t>U.K.</w:t>
      </w:r>
      <w:r w:rsidR="00786AC7" w:rsidRPr="00DC1AE7">
        <w:t xml:space="preserve"> (up 23%) and </w:t>
      </w:r>
      <w:r w:rsidR="00786AC7" w:rsidRPr="00DC1AE7">
        <w:rPr>
          <w:b/>
          <w:bCs/>
        </w:rPr>
        <w:t xml:space="preserve">Switzerland </w:t>
      </w:r>
      <w:r w:rsidR="00786AC7" w:rsidRPr="00DC1AE7">
        <w:t>(up 11%)</w:t>
      </w:r>
      <w:r w:rsidRPr="00DC1AE7">
        <w:t>.</w:t>
      </w:r>
    </w:p>
    <w:p w14:paraId="78622045" w14:textId="7C23506F" w:rsidR="00BB0AAC" w:rsidRPr="00DC1AE7" w:rsidRDefault="00BB0AAC" w:rsidP="00BB0AAC">
      <w:pPr>
        <w:pStyle w:val="ListParagraph"/>
        <w:numPr>
          <w:ilvl w:val="0"/>
          <w:numId w:val="10"/>
        </w:numPr>
        <w:spacing w:before="120" w:after="120" w:line="271" w:lineRule="auto"/>
      </w:pPr>
      <w:r w:rsidRPr="00DC1AE7">
        <w:t xml:space="preserve">Minnesota </w:t>
      </w:r>
      <w:proofErr w:type="gramStart"/>
      <w:r w:rsidRPr="00DC1AE7">
        <w:t>businesses</w:t>
      </w:r>
      <w:r w:rsidR="00AC53F6" w:rsidRPr="00DC1AE7">
        <w:t xml:space="preserve"> </w:t>
      </w:r>
      <w:r w:rsidRPr="00DC1AE7">
        <w:t>maintained</w:t>
      </w:r>
      <w:proofErr w:type="gramEnd"/>
      <w:r w:rsidRPr="00DC1AE7">
        <w:t xml:space="preserve"> market</w:t>
      </w:r>
      <w:r w:rsidR="0002236E" w:rsidRPr="00DC1AE7">
        <w:t xml:space="preserve"> share</w:t>
      </w:r>
      <w:r w:rsidRPr="00DC1AE7">
        <w:t xml:space="preserve"> in </w:t>
      </w:r>
      <w:r w:rsidRPr="00DC1AE7">
        <w:rPr>
          <w:b/>
          <w:bCs/>
        </w:rPr>
        <w:t>Africa</w:t>
      </w:r>
      <w:r w:rsidRPr="00DC1AE7">
        <w:t xml:space="preserve"> and the </w:t>
      </w:r>
      <w:r w:rsidRPr="00DC1AE7">
        <w:rPr>
          <w:b/>
          <w:bCs/>
        </w:rPr>
        <w:t>Caribbean, Central America and South America</w:t>
      </w:r>
      <w:r w:rsidRPr="00DC1AE7">
        <w:t xml:space="preserve"> region</w:t>
      </w:r>
      <w:r w:rsidR="00AC53F6" w:rsidRPr="00DC1AE7">
        <w:t xml:space="preserve">; but lost ground in </w:t>
      </w:r>
      <w:r w:rsidR="00AC53F6" w:rsidRPr="00DC1AE7">
        <w:rPr>
          <w:b/>
          <w:bCs/>
        </w:rPr>
        <w:t xml:space="preserve">EU </w:t>
      </w:r>
      <w:r w:rsidR="00AC53F6" w:rsidRPr="00DC1AE7">
        <w:t xml:space="preserve">markets overall (down 5%) and </w:t>
      </w:r>
      <w:r w:rsidR="00AC53F6" w:rsidRPr="00DC1AE7">
        <w:rPr>
          <w:b/>
          <w:bCs/>
        </w:rPr>
        <w:t xml:space="preserve">Australia </w:t>
      </w:r>
      <w:r w:rsidR="00AC53F6" w:rsidRPr="00DC1AE7">
        <w:t>($</w:t>
      </w:r>
      <w:r w:rsidR="0002236E" w:rsidRPr="00DC1AE7">
        <w:t>100</w:t>
      </w:r>
      <w:r w:rsidR="00AC53F6" w:rsidRPr="00DC1AE7">
        <w:t xml:space="preserve"> million, down 31%).</w:t>
      </w:r>
    </w:p>
    <w:bookmarkEnd w:id="0"/>
    <w:p w14:paraId="481CD972" w14:textId="4EFE404A" w:rsidR="007C165F" w:rsidRPr="00DC1AE7" w:rsidRDefault="007C165F" w:rsidP="00786AC7">
      <w:pPr>
        <w:pStyle w:val="Heading4"/>
      </w:pPr>
      <w:r w:rsidRPr="00DC1AE7">
        <w:t xml:space="preserve">Figure </w:t>
      </w:r>
      <w:r w:rsidR="00E36364" w:rsidRPr="00DC1AE7">
        <w:fldChar w:fldCharType="begin"/>
      </w:r>
      <w:r w:rsidR="00E36364" w:rsidRPr="00DC1AE7">
        <w:instrText xml:space="preserve"> SEQ Figure \* ARABIC </w:instrText>
      </w:r>
      <w:r w:rsidR="00E36364" w:rsidRPr="00DC1AE7">
        <w:fldChar w:fldCharType="separate"/>
      </w:r>
      <w:r w:rsidR="00C430F8" w:rsidRPr="00DC1AE7">
        <w:t>2</w:t>
      </w:r>
      <w:r w:rsidR="00E36364" w:rsidRPr="00DC1AE7">
        <w:fldChar w:fldCharType="end"/>
      </w:r>
      <w:r w:rsidR="00C84D0E" w:rsidRPr="00DC1AE7">
        <w:t xml:space="preserve">. </w:t>
      </w:r>
      <w:r w:rsidR="00A44451" w:rsidRPr="00DC1AE7">
        <w:t>Export Trends for</w:t>
      </w:r>
      <w:r w:rsidR="0038665A" w:rsidRPr="00DC1AE7">
        <w:t xml:space="preserve"> Minnesota’s Top 10 Markets, </w:t>
      </w:r>
      <w:r w:rsidR="004E75BE" w:rsidRPr="00DC1AE7">
        <w:t>First</w:t>
      </w:r>
      <w:r w:rsidR="00375ACF" w:rsidRPr="00DC1AE7">
        <w:t xml:space="preserve"> </w:t>
      </w:r>
      <w:r w:rsidR="00725672" w:rsidRPr="00DC1AE7">
        <w:t>Q</w:t>
      </w:r>
      <w:r w:rsidR="00375ACF" w:rsidRPr="00DC1AE7">
        <w:t>uarter</w:t>
      </w:r>
      <w:r w:rsidR="00A52415" w:rsidRPr="00DC1AE7">
        <w:t xml:space="preserve"> </w:t>
      </w:r>
      <w:r w:rsidR="00BB19C4" w:rsidRPr="00DC1AE7">
        <w:t>2025</w:t>
      </w:r>
    </w:p>
    <w:p w14:paraId="4C9C4158" w14:textId="5E051971" w:rsidR="00BB3BC1" w:rsidRPr="00DC1AE7" w:rsidRDefault="00631D47" w:rsidP="00BB3BC1">
      <w:r w:rsidRPr="00DC1AE7">
        <w:rPr>
          <w:noProof/>
        </w:rPr>
        <w:drawing>
          <wp:inline distT="0" distB="0" distL="0" distR="0" wp14:anchorId="4F1DA1EE" wp14:editId="0C3314A4">
            <wp:extent cx="6371540" cy="1886003"/>
            <wp:effectExtent l="0" t="0" r="0" b="0"/>
            <wp:docPr id="484539526" name="Picture 2" descr="double bar chart&#10;MN Exports to top 10 markets, 2025-Q1&#10;Product Exports (millions) Percent Change, 2024-Q1 to 2025-Q1&#10;WORLD  $6,313  -6%&#10;Canada (1)   $1,903  -3%&#10;Mexico (2)   $878  -16%&#10;China (3)   $514  -8%&#10;Japan (4)   $228  2%&#10;Ireland (5)   $205  4%&#10;Belgium (6)   $182  6%&#10;Korea (7)   $179  -9%&#10;Germany (8)   $156  -19%&#10;Thailand (9)   $152  -8%&#10;U.K. (10)   $151  23%&#10;Other  $1,764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539526" name="Picture 2" descr="double bar chart&#10;MN Exports to top 10 markets, 2025-Q1&#10;Product Exports (millions) Percent Change, 2024-Q1 to 2025-Q1&#10;WORLD  $6,313  -6%&#10;Canada (1)   $1,903  -3%&#10;Mexico (2)   $878  -16%&#10;China (3)   $514  -8%&#10;Japan (4)   $228  2%&#10;Ireland (5)   $205  4%&#10;Belgium (6)   $182  6%&#10;Korea (7)   $179  -9%&#10;Germany (8)   $156  -19%&#10;Thailand (9)   $152  -8%&#10;U.K. (10)   $151  23%&#10;Other  $1,764  -8%"/>
                    <pic:cNvPicPr>
                      <a:picLocks noChangeAspect="1" noChangeArrowheads="1"/>
                    </pic:cNvPicPr>
                  </pic:nvPicPr>
                  <pic:blipFill rotWithShape="1">
                    <a:blip r:embed="rId14">
                      <a:extLst>
                        <a:ext uri="{28A0092B-C50C-407E-A947-70E740481C1C}">
                          <a14:useLocalDpi xmlns:a14="http://schemas.microsoft.com/office/drawing/2010/main" val="0"/>
                        </a:ext>
                      </a:extLst>
                    </a:blip>
                    <a:srcRect t="11042"/>
                    <a:stretch/>
                  </pic:blipFill>
                  <pic:spPr bwMode="auto">
                    <a:xfrm>
                      <a:off x="0" y="0"/>
                      <a:ext cx="6374552" cy="1886895"/>
                    </a:xfrm>
                    <a:prstGeom prst="rect">
                      <a:avLst/>
                    </a:prstGeom>
                    <a:noFill/>
                    <a:ln>
                      <a:noFill/>
                    </a:ln>
                    <a:extLst>
                      <a:ext uri="{53640926-AAD7-44D8-BBD7-CCE9431645EC}">
                        <a14:shadowObscured xmlns:a14="http://schemas.microsoft.com/office/drawing/2010/main"/>
                      </a:ext>
                    </a:extLst>
                  </pic:spPr>
                </pic:pic>
              </a:graphicData>
            </a:graphic>
          </wp:inline>
        </w:drawing>
      </w:r>
    </w:p>
    <w:p w14:paraId="1FA7CF8F" w14:textId="78227B7A" w:rsidR="00911149" w:rsidRPr="00DC1AE7" w:rsidRDefault="00BB0AAC" w:rsidP="003279A8">
      <w:pPr>
        <w:pStyle w:val="Heading2"/>
        <w:tabs>
          <w:tab w:val="left" w:pos="360"/>
        </w:tabs>
        <w:ind w:left="360" w:hanging="360"/>
        <w:rPr>
          <w:color w:val="auto"/>
        </w:rPr>
        <w:sectPr w:rsidR="00911149" w:rsidRPr="00DC1AE7" w:rsidSect="00FE15EB">
          <w:footerReference w:type="default" r:id="rId15"/>
          <w:footnotePr>
            <w:numRestart w:val="eachSect"/>
          </w:footnotePr>
          <w:endnotePr>
            <w:numFmt w:val="decimal"/>
          </w:endnotePr>
          <w:type w:val="continuous"/>
          <w:pgSz w:w="12240" w:h="15840" w:code="1"/>
          <w:pgMar w:top="864" w:right="1008" w:bottom="864" w:left="1008" w:header="720" w:footer="720" w:gutter="0"/>
          <w:cols w:space="720"/>
          <w:titlePg/>
          <w:docGrid w:linePitch="299"/>
        </w:sectPr>
      </w:pPr>
      <w:r w:rsidRPr="00DC1AE7">
        <w:rPr>
          <w:bCs w:val="0"/>
          <w:i/>
          <w:color w:val="auto"/>
          <w:sz w:val="28"/>
        </w:rPr>
        <w:lastRenderedPageBreak/>
        <w:t>Widespread Decline</w:t>
      </w:r>
      <w:r w:rsidR="00883B46" w:rsidRPr="00DC1AE7">
        <w:rPr>
          <w:bCs w:val="0"/>
          <w:i/>
          <w:color w:val="auto"/>
          <w:sz w:val="28"/>
        </w:rPr>
        <w:t xml:space="preserve">, </w:t>
      </w:r>
      <w:r w:rsidRPr="00DC1AE7">
        <w:rPr>
          <w:bCs w:val="0"/>
          <w:i/>
          <w:color w:val="auto"/>
          <w:sz w:val="28"/>
        </w:rPr>
        <w:t xml:space="preserve">But Growth </w:t>
      </w:r>
      <w:r w:rsidR="003279A8" w:rsidRPr="00DC1AE7">
        <w:rPr>
          <w:bCs w:val="0"/>
          <w:i/>
          <w:color w:val="auto"/>
          <w:sz w:val="28"/>
        </w:rPr>
        <w:t xml:space="preserve">Areas </w:t>
      </w:r>
      <w:r w:rsidRPr="00DC1AE7">
        <w:rPr>
          <w:bCs w:val="0"/>
          <w:i/>
          <w:color w:val="auto"/>
          <w:sz w:val="28"/>
        </w:rPr>
        <w:t>in</w:t>
      </w:r>
      <w:r w:rsidR="003279A8" w:rsidRPr="00DC1AE7">
        <w:rPr>
          <w:bCs w:val="0"/>
          <w:i/>
          <w:color w:val="auto"/>
          <w:sz w:val="28"/>
        </w:rPr>
        <w:t>clude</w:t>
      </w:r>
      <w:r w:rsidRPr="00DC1AE7">
        <w:rPr>
          <w:bCs w:val="0"/>
          <w:i/>
          <w:color w:val="auto"/>
          <w:sz w:val="28"/>
        </w:rPr>
        <w:t xml:space="preserve"> Mineral Fuel, Oil Seed</w:t>
      </w:r>
      <w:r w:rsidR="003279A8" w:rsidRPr="00DC1AE7">
        <w:rPr>
          <w:bCs w:val="0"/>
          <w:i/>
          <w:color w:val="auto"/>
          <w:sz w:val="28"/>
        </w:rPr>
        <w:t>s and</w:t>
      </w:r>
      <w:r w:rsidRPr="00DC1AE7">
        <w:rPr>
          <w:bCs w:val="0"/>
          <w:i/>
          <w:color w:val="auto"/>
          <w:sz w:val="28"/>
        </w:rPr>
        <w:t xml:space="preserve"> </w:t>
      </w:r>
      <w:r w:rsidR="003279A8" w:rsidRPr="00DC1AE7">
        <w:rPr>
          <w:bCs w:val="0"/>
          <w:i/>
          <w:color w:val="auto"/>
          <w:sz w:val="28"/>
        </w:rPr>
        <w:t>Egg</w:t>
      </w:r>
      <w:r w:rsidRPr="00DC1AE7">
        <w:rPr>
          <w:bCs w:val="0"/>
          <w:i/>
          <w:color w:val="auto"/>
          <w:sz w:val="28"/>
        </w:rPr>
        <w:t xml:space="preserve"> </w:t>
      </w:r>
      <w:r w:rsidR="003279A8" w:rsidRPr="00DC1AE7">
        <w:rPr>
          <w:bCs w:val="0"/>
          <w:i/>
          <w:color w:val="auto"/>
          <w:sz w:val="28"/>
        </w:rPr>
        <w:t>Export</w:t>
      </w:r>
      <w:r w:rsidRPr="00DC1AE7">
        <w:rPr>
          <w:bCs w:val="0"/>
          <w:i/>
          <w:color w:val="auto"/>
          <w:sz w:val="28"/>
        </w:rPr>
        <w:t xml:space="preserve">s </w:t>
      </w:r>
    </w:p>
    <w:p w14:paraId="0B14C700" w14:textId="2198FBDC" w:rsidR="00911149" w:rsidRPr="00DC1AE7" w:rsidRDefault="008A2536" w:rsidP="00967CC8">
      <w:pPr>
        <w:pStyle w:val="NoSpacing"/>
        <w:numPr>
          <w:ilvl w:val="0"/>
          <w:numId w:val="20"/>
        </w:numPr>
        <w:spacing w:line="269" w:lineRule="auto"/>
        <w:ind w:right="-14"/>
        <w:rPr>
          <w:rFonts w:asciiTheme="majorHAnsi" w:eastAsiaTheme="majorEastAsia" w:hAnsiTheme="majorHAnsi" w:cstheme="majorBidi"/>
          <w:i/>
          <w:iCs/>
          <w:sz w:val="24"/>
          <w:szCs w:val="24"/>
        </w:rPr>
        <w:sectPr w:rsidR="00911149" w:rsidRPr="00DC1AE7" w:rsidSect="00FE15EB">
          <w:footnotePr>
            <w:numRestart w:val="eachSect"/>
          </w:footnotePr>
          <w:endnotePr>
            <w:numFmt w:val="decimal"/>
          </w:endnotePr>
          <w:type w:val="continuous"/>
          <w:pgSz w:w="12240" w:h="15840" w:code="1"/>
          <w:pgMar w:top="864" w:right="1008" w:bottom="864" w:left="1008" w:header="720" w:footer="720" w:gutter="0"/>
          <w:cols w:space="720"/>
          <w:titlePg/>
          <w:docGrid w:linePitch="299"/>
        </w:sectPr>
      </w:pPr>
      <w:r w:rsidRPr="00DC1AE7">
        <w:t xml:space="preserve">Exports of </w:t>
      </w:r>
      <w:r w:rsidR="00BB0AAC" w:rsidRPr="00DC1AE7">
        <w:t>leading products</w:t>
      </w:r>
      <w:r w:rsidRPr="00DC1AE7">
        <w:t xml:space="preserve"> tumbled</w:t>
      </w:r>
      <w:r w:rsidR="00967CC8" w:rsidRPr="00DC1AE7">
        <w:t xml:space="preserve">, </w:t>
      </w:r>
      <w:r w:rsidR="00BB0AAC" w:rsidRPr="00DC1AE7">
        <w:t xml:space="preserve">with </w:t>
      </w:r>
      <w:r w:rsidR="00BB0AAC" w:rsidRPr="00DC1AE7">
        <w:rPr>
          <w:b/>
          <w:bCs/>
        </w:rPr>
        <w:t xml:space="preserve">vehicles </w:t>
      </w:r>
      <w:r w:rsidR="00BB0AAC" w:rsidRPr="00DC1AE7">
        <w:t xml:space="preserve">(down 25%), </w:t>
      </w:r>
      <w:r w:rsidR="00BB0AAC" w:rsidRPr="00DC1AE7">
        <w:rPr>
          <w:b/>
          <w:bCs/>
        </w:rPr>
        <w:t xml:space="preserve">cereals </w:t>
      </w:r>
      <w:r w:rsidR="00BB0AAC" w:rsidRPr="00DC1AE7">
        <w:t xml:space="preserve">(down 63%), </w:t>
      </w:r>
      <w:r w:rsidR="00BB0AAC" w:rsidRPr="00DC1AE7">
        <w:rPr>
          <w:b/>
          <w:bCs/>
        </w:rPr>
        <w:t>optic, medical</w:t>
      </w:r>
      <w:r w:rsidR="00BB0AAC" w:rsidRPr="00DC1AE7">
        <w:t xml:space="preserve"> (down 5%) and </w:t>
      </w:r>
      <w:r w:rsidR="00BB0AAC" w:rsidRPr="00DC1AE7">
        <w:rPr>
          <w:b/>
          <w:bCs/>
        </w:rPr>
        <w:t xml:space="preserve">food by-products </w:t>
      </w:r>
      <w:r w:rsidR="00700F4D" w:rsidRPr="00DC1AE7">
        <w:t>(</w:t>
      </w:r>
      <w:r w:rsidR="00BB0AAC" w:rsidRPr="00DC1AE7">
        <w:t>down 26</w:t>
      </w:r>
      <w:r w:rsidR="003C2548" w:rsidRPr="00DC1AE7">
        <w:t>%</w:t>
      </w:r>
      <w:r w:rsidR="00700F4D" w:rsidRPr="00DC1AE7">
        <w:t>)</w:t>
      </w:r>
      <w:r w:rsidR="00BB0AAC" w:rsidRPr="00DC1AE7">
        <w:t xml:space="preserve"> falling the most sharply between the first quarters of 2024 and 2025.</w:t>
      </w:r>
    </w:p>
    <w:p w14:paraId="0F34C76A" w14:textId="5816A5EB" w:rsidR="00D80FD9" w:rsidRPr="00D80FD9" w:rsidRDefault="006B5811" w:rsidP="00D80FD9">
      <w:pPr>
        <w:pStyle w:val="NoSpacing"/>
        <w:numPr>
          <w:ilvl w:val="0"/>
          <w:numId w:val="20"/>
        </w:numPr>
        <w:spacing w:line="269" w:lineRule="auto"/>
        <w:ind w:right="-14"/>
      </w:pPr>
      <w:r>
        <w:rPr>
          <w:bCs/>
        </w:rPr>
        <w:t>Contributing the most to these declines were</w:t>
      </w:r>
      <w:r w:rsidR="00F0676E">
        <w:rPr>
          <w:bCs/>
        </w:rPr>
        <w:t xml:space="preserve"> </w:t>
      </w:r>
      <w:r>
        <w:rPr>
          <w:bCs/>
        </w:rPr>
        <w:t xml:space="preserve">decreased exports to </w:t>
      </w:r>
      <w:r w:rsidR="00F0676E" w:rsidRPr="006B5811">
        <w:rPr>
          <w:b/>
        </w:rPr>
        <w:t xml:space="preserve">Mexico </w:t>
      </w:r>
      <w:r>
        <w:rPr>
          <w:bCs/>
        </w:rPr>
        <w:t>of</w:t>
      </w:r>
      <w:r w:rsidR="00D80FD9">
        <w:rPr>
          <w:bCs/>
        </w:rPr>
        <w:t xml:space="preserve"> </w:t>
      </w:r>
      <w:r w:rsidR="00D80FD9" w:rsidRPr="00D80FD9">
        <w:rPr>
          <w:b/>
        </w:rPr>
        <w:t>cereals</w:t>
      </w:r>
      <w:r w:rsidR="00D80FD9">
        <w:rPr>
          <w:bCs/>
        </w:rPr>
        <w:t xml:space="preserve"> (down $30 million)</w:t>
      </w:r>
      <w:r w:rsidR="00F0676E">
        <w:rPr>
          <w:bCs/>
        </w:rPr>
        <w:t xml:space="preserve"> and</w:t>
      </w:r>
      <w:r w:rsidR="00D80FD9">
        <w:rPr>
          <w:bCs/>
        </w:rPr>
        <w:t xml:space="preserve"> </w:t>
      </w:r>
      <w:r w:rsidR="00D80FD9" w:rsidRPr="00D80FD9">
        <w:rPr>
          <w:b/>
        </w:rPr>
        <w:t>vehicles</w:t>
      </w:r>
      <w:r w:rsidR="00D80FD9">
        <w:rPr>
          <w:bCs/>
        </w:rPr>
        <w:t xml:space="preserve"> (down $66 million)</w:t>
      </w:r>
      <w:r>
        <w:rPr>
          <w:bCs/>
        </w:rPr>
        <w:t xml:space="preserve">; to </w:t>
      </w:r>
      <w:r>
        <w:rPr>
          <w:b/>
        </w:rPr>
        <w:t xml:space="preserve">North American </w:t>
      </w:r>
      <w:r>
        <w:rPr>
          <w:bCs/>
        </w:rPr>
        <w:t xml:space="preserve">markets of </w:t>
      </w:r>
      <w:r>
        <w:rPr>
          <w:b/>
        </w:rPr>
        <w:t>f</w:t>
      </w:r>
      <w:r w:rsidR="00D80FD9">
        <w:rPr>
          <w:b/>
        </w:rPr>
        <w:t>ood by-product</w:t>
      </w:r>
      <w:r>
        <w:rPr>
          <w:b/>
        </w:rPr>
        <w:t>s</w:t>
      </w:r>
      <w:r w:rsidR="00F0676E">
        <w:rPr>
          <w:b/>
        </w:rPr>
        <w:t xml:space="preserve"> </w:t>
      </w:r>
      <w:r>
        <w:rPr>
          <w:bCs/>
        </w:rPr>
        <w:t xml:space="preserve">(down 37%); and to </w:t>
      </w:r>
      <w:r w:rsidR="00F0676E">
        <w:rPr>
          <w:b/>
        </w:rPr>
        <w:t xml:space="preserve">Korea </w:t>
      </w:r>
      <w:r w:rsidR="00F0676E">
        <w:rPr>
          <w:bCs/>
        </w:rPr>
        <w:t>(do</w:t>
      </w:r>
      <w:r>
        <w:rPr>
          <w:bCs/>
        </w:rPr>
        <w:t>wn</w:t>
      </w:r>
      <w:r w:rsidR="00F0676E">
        <w:rPr>
          <w:bCs/>
        </w:rPr>
        <w:t xml:space="preserve"> </w:t>
      </w:r>
      <w:r>
        <w:rPr>
          <w:bCs/>
        </w:rPr>
        <w:t xml:space="preserve">20%) and </w:t>
      </w:r>
      <w:r>
        <w:rPr>
          <w:b/>
        </w:rPr>
        <w:t xml:space="preserve">China </w:t>
      </w:r>
      <w:r>
        <w:rPr>
          <w:bCs/>
        </w:rPr>
        <w:t xml:space="preserve">(down 9%) of </w:t>
      </w:r>
      <w:r w:rsidRPr="006B5811">
        <w:rPr>
          <w:b/>
        </w:rPr>
        <w:t>optic, medical</w:t>
      </w:r>
      <w:r>
        <w:rPr>
          <w:b/>
        </w:rPr>
        <w:t xml:space="preserve"> products.</w:t>
      </w:r>
    </w:p>
    <w:p w14:paraId="1D8A1702" w14:textId="23A1BF4E" w:rsidR="00A930DA" w:rsidRPr="00D80FD9" w:rsidRDefault="00911149" w:rsidP="00A930DA">
      <w:pPr>
        <w:pStyle w:val="NoSpacing"/>
        <w:numPr>
          <w:ilvl w:val="0"/>
          <w:numId w:val="20"/>
        </w:numPr>
        <w:spacing w:line="269" w:lineRule="auto"/>
        <w:ind w:right="-14"/>
      </w:pPr>
      <w:r w:rsidRPr="00DC1AE7">
        <w:rPr>
          <w:bCs/>
        </w:rPr>
        <w:t>S</w:t>
      </w:r>
      <w:r w:rsidR="009404BA" w:rsidRPr="00DC1AE7">
        <w:rPr>
          <w:bCs/>
        </w:rPr>
        <w:t xml:space="preserve">trong </w:t>
      </w:r>
      <w:r w:rsidR="001F0EC5" w:rsidRPr="00DC1AE7">
        <w:rPr>
          <w:bCs/>
        </w:rPr>
        <w:t xml:space="preserve">export </w:t>
      </w:r>
      <w:r w:rsidR="00967CC8" w:rsidRPr="00DC1AE7">
        <w:rPr>
          <w:bCs/>
        </w:rPr>
        <w:t>g</w:t>
      </w:r>
      <w:r w:rsidR="001F0EC5" w:rsidRPr="00DC1AE7">
        <w:rPr>
          <w:bCs/>
        </w:rPr>
        <w:t>rowth</w:t>
      </w:r>
      <w:r w:rsidRPr="00DC1AE7">
        <w:rPr>
          <w:bCs/>
        </w:rPr>
        <w:t xml:space="preserve"> </w:t>
      </w:r>
      <w:r w:rsidR="00967CC8" w:rsidRPr="00DC1AE7">
        <w:rPr>
          <w:bCs/>
        </w:rPr>
        <w:t>in</w:t>
      </w:r>
      <w:r w:rsidRPr="00DC1AE7">
        <w:rPr>
          <w:b/>
        </w:rPr>
        <w:t xml:space="preserve"> mineral fuel, oil</w:t>
      </w:r>
      <w:r w:rsidR="001F0EC5" w:rsidRPr="00DC1AE7">
        <w:rPr>
          <w:b/>
        </w:rPr>
        <w:t>;</w:t>
      </w:r>
      <w:r w:rsidRPr="00DC1AE7">
        <w:rPr>
          <w:bCs/>
        </w:rPr>
        <w:t xml:space="preserve"> </w:t>
      </w:r>
      <w:r w:rsidR="008A2536" w:rsidRPr="00DC1AE7">
        <w:rPr>
          <w:b/>
        </w:rPr>
        <w:t>dairy, eggs, honey</w:t>
      </w:r>
      <w:r w:rsidR="001F0EC5" w:rsidRPr="00DC1AE7">
        <w:rPr>
          <w:b/>
        </w:rPr>
        <w:t>;</w:t>
      </w:r>
      <w:r w:rsidR="008A2536" w:rsidRPr="00DC1AE7">
        <w:rPr>
          <w:bCs/>
        </w:rPr>
        <w:t xml:space="preserve"> </w:t>
      </w:r>
      <w:r w:rsidR="008A2536" w:rsidRPr="00DC1AE7">
        <w:rPr>
          <w:b/>
        </w:rPr>
        <w:t>oil seeds, misc. grain</w:t>
      </w:r>
      <w:r w:rsidR="001F0EC5" w:rsidRPr="00DC1AE7">
        <w:rPr>
          <w:bCs/>
        </w:rPr>
        <w:t>;</w:t>
      </w:r>
      <w:r w:rsidR="008A2536" w:rsidRPr="00DC1AE7">
        <w:rPr>
          <w:bCs/>
        </w:rPr>
        <w:t xml:space="preserve"> </w:t>
      </w:r>
      <w:r w:rsidR="008A2536" w:rsidRPr="00DC1AE7">
        <w:rPr>
          <w:b/>
        </w:rPr>
        <w:t>albumin, starch, glue</w:t>
      </w:r>
      <w:r w:rsidR="001F0EC5" w:rsidRPr="00DC1AE7">
        <w:rPr>
          <w:b/>
        </w:rPr>
        <w:t>;</w:t>
      </w:r>
      <w:r w:rsidR="008A2536" w:rsidRPr="00DC1AE7">
        <w:rPr>
          <w:bCs/>
        </w:rPr>
        <w:t xml:space="preserve"> and </w:t>
      </w:r>
      <w:r w:rsidR="008A2536" w:rsidRPr="00DC1AE7">
        <w:rPr>
          <w:b/>
        </w:rPr>
        <w:t>pharmaceuticals</w:t>
      </w:r>
      <w:r w:rsidR="008A2536" w:rsidRPr="00DC1AE7">
        <w:rPr>
          <w:bCs/>
        </w:rPr>
        <w:t xml:space="preserve"> helped </w:t>
      </w:r>
      <w:r w:rsidR="00FA78E7" w:rsidRPr="00DC1AE7">
        <w:rPr>
          <w:bCs/>
        </w:rPr>
        <w:t>sustain</w:t>
      </w:r>
      <w:r w:rsidR="008A2536" w:rsidRPr="00DC1AE7">
        <w:rPr>
          <w:bCs/>
        </w:rPr>
        <w:t xml:space="preserve"> the state’s exports this quarter.</w:t>
      </w:r>
    </w:p>
    <w:p w14:paraId="2B06F2BC" w14:textId="598D8CA2" w:rsidR="00D97D3F" w:rsidRPr="00DC1AE7" w:rsidRDefault="005E243E" w:rsidP="00FB4CE4">
      <w:pPr>
        <w:pStyle w:val="NoSpacing"/>
        <w:numPr>
          <w:ilvl w:val="0"/>
          <w:numId w:val="20"/>
        </w:numPr>
        <w:spacing w:line="269" w:lineRule="auto"/>
        <w:ind w:right="-14"/>
        <w:rPr>
          <w:rFonts w:asciiTheme="majorHAnsi" w:eastAsiaTheme="majorEastAsia" w:hAnsiTheme="majorHAnsi" w:cstheme="majorBidi"/>
          <w:i/>
          <w:iCs/>
          <w:sz w:val="24"/>
          <w:szCs w:val="24"/>
        </w:rPr>
      </w:pPr>
      <w:r w:rsidRPr="00DC1AE7">
        <w:t>With a</w:t>
      </w:r>
      <w:r w:rsidR="00D97D3F" w:rsidRPr="00DC1AE7">
        <w:t xml:space="preserve"> </w:t>
      </w:r>
      <w:r w:rsidRPr="00DC1AE7">
        <w:t xml:space="preserve">market share of 97%, </w:t>
      </w:r>
      <w:r w:rsidR="00260F84" w:rsidRPr="00DC1AE7">
        <w:rPr>
          <w:b/>
          <w:bCs/>
        </w:rPr>
        <w:t>Canada</w:t>
      </w:r>
      <w:r w:rsidR="00260F84" w:rsidRPr="00DC1AE7">
        <w:t xml:space="preserve"> </w:t>
      </w:r>
      <w:r w:rsidR="003279A8" w:rsidRPr="00DC1AE7">
        <w:t>generated the growth in</w:t>
      </w:r>
      <w:r w:rsidR="00260F84" w:rsidRPr="00DC1AE7">
        <w:t xml:space="preserve"> </w:t>
      </w:r>
      <w:r w:rsidR="001F0EC5" w:rsidRPr="00DC1AE7">
        <w:t>exports</w:t>
      </w:r>
      <w:r w:rsidR="00260F84" w:rsidRPr="00DC1AE7">
        <w:t xml:space="preserve"> </w:t>
      </w:r>
      <w:r w:rsidR="001F0EC5" w:rsidRPr="00DC1AE7">
        <w:t>of</w:t>
      </w:r>
      <w:r w:rsidR="00911149" w:rsidRPr="00DC1AE7">
        <w:rPr>
          <w:b/>
        </w:rPr>
        <w:t xml:space="preserve"> </w:t>
      </w:r>
      <w:r w:rsidR="00260F84" w:rsidRPr="00DC1AE7">
        <w:rPr>
          <w:b/>
        </w:rPr>
        <w:t>mineral fuel, oil</w:t>
      </w:r>
      <w:r w:rsidR="001F0EC5" w:rsidRPr="00DC1AE7">
        <w:rPr>
          <w:b/>
        </w:rPr>
        <w:t xml:space="preserve"> </w:t>
      </w:r>
      <w:r w:rsidR="001F0EC5" w:rsidRPr="00DC1AE7">
        <w:rPr>
          <w:bCs/>
        </w:rPr>
        <w:t>($660 million, up 4%)</w:t>
      </w:r>
      <w:r w:rsidR="00D97D3F" w:rsidRPr="00DC1AE7">
        <w:rPr>
          <w:bCs/>
        </w:rPr>
        <w:t xml:space="preserve">. </w:t>
      </w:r>
    </w:p>
    <w:p w14:paraId="6854DE4E" w14:textId="772E14C9" w:rsidR="009A38D1" w:rsidRPr="00DC1AE7" w:rsidRDefault="009A38D1" w:rsidP="007607FC">
      <w:pPr>
        <w:pStyle w:val="NoSpacing"/>
        <w:spacing w:before="120" w:line="269" w:lineRule="auto"/>
        <w:ind w:right="-14"/>
        <w:rPr>
          <w:rStyle w:val="Heading4Char"/>
          <w:szCs w:val="24"/>
        </w:rPr>
      </w:pPr>
      <w:r w:rsidRPr="00DC1AE7">
        <w:rPr>
          <w:rStyle w:val="Heading4Char"/>
          <w:szCs w:val="24"/>
        </w:rPr>
        <w:t xml:space="preserve">Figure </w:t>
      </w:r>
      <w:r w:rsidRPr="00DC1AE7">
        <w:rPr>
          <w:rStyle w:val="Heading4Char"/>
          <w:szCs w:val="24"/>
        </w:rPr>
        <w:fldChar w:fldCharType="begin"/>
      </w:r>
      <w:r w:rsidRPr="00DC1AE7">
        <w:rPr>
          <w:rStyle w:val="Heading4Char"/>
          <w:szCs w:val="24"/>
        </w:rPr>
        <w:instrText xml:space="preserve"> SEQ Figure \* ARABIC </w:instrText>
      </w:r>
      <w:r w:rsidRPr="00DC1AE7">
        <w:rPr>
          <w:rStyle w:val="Heading4Char"/>
          <w:szCs w:val="24"/>
        </w:rPr>
        <w:fldChar w:fldCharType="separate"/>
      </w:r>
      <w:r w:rsidRPr="00DC1AE7">
        <w:rPr>
          <w:rStyle w:val="Heading4Char"/>
          <w:szCs w:val="24"/>
        </w:rPr>
        <w:t>3</w:t>
      </w:r>
      <w:r w:rsidRPr="00DC1AE7">
        <w:rPr>
          <w:rStyle w:val="Heading4Char"/>
          <w:szCs w:val="24"/>
        </w:rPr>
        <w:fldChar w:fldCharType="end"/>
      </w:r>
      <w:r w:rsidRPr="00DC1AE7">
        <w:rPr>
          <w:rStyle w:val="Heading4Char"/>
          <w:szCs w:val="24"/>
        </w:rPr>
        <w:t xml:space="preserve">. </w:t>
      </w:r>
      <w:r w:rsidR="00260F84" w:rsidRPr="00DC1AE7">
        <w:rPr>
          <w:rStyle w:val="Heading4Char"/>
          <w:szCs w:val="24"/>
        </w:rPr>
        <w:t xml:space="preserve">Export Markets for </w:t>
      </w:r>
      <w:r w:rsidR="008A2536" w:rsidRPr="00DC1AE7">
        <w:rPr>
          <w:rStyle w:val="Heading4Char"/>
          <w:szCs w:val="24"/>
        </w:rPr>
        <w:t>Dairy, Egg</w:t>
      </w:r>
      <w:r w:rsidR="006D017C" w:rsidRPr="00DC1AE7">
        <w:rPr>
          <w:rStyle w:val="Heading4Char"/>
          <w:szCs w:val="24"/>
        </w:rPr>
        <w:t>, Honey</w:t>
      </w:r>
    </w:p>
    <w:p w14:paraId="22D9649C" w14:textId="40614EBA" w:rsidR="00911149" w:rsidRPr="00DC1AE7" w:rsidRDefault="00567BF4" w:rsidP="00D32665">
      <w:pPr>
        <w:tabs>
          <w:tab w:val="left" w:pos="3330"/>
        </w:tabs>
        <w:spacing w:after="80" w:line="271" w:lineRule="auto"/>
      </w:pPr>
      <w:r w:rsidRPr="00DC1AE7">
        <w:rPr>
          <w:noProof/>
          <w:shd w:val="clear" w:color="auto" w:fill="E6E6E6"/>
        </w:rPr>
        <w:drawing>
          <wp:inline distT="0" distB="0" distL="0" distR="0" wp14:anchorId="70160BF6" wp14:editId="5840EC4A">
            <wp:extent cx="2934032" cy="1796995"/>
            <wp:effectExtent l="0" t="0" r="0" b="0"/>
            <wp:docPr id="52543106" name="Chart 52543106" descr="pie chart&#10;MN exports of dairy, egg and honey by country 2025-Q1&#10;Canada 53%&#10;Mexico 15%&#10;China 12%&#10;Philippines 3%&#10;Australia 3%&#10;Korea 2%&#10;Other 12%&#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72305AB" w14:textId="77777777" w:rsidR="00911149" w:rsidRPr="00DC1AE7" w:rsidRDefault="00911149" w:rsidP="00911149">
      <w:pPr>
        <w:tabs>
          <w:tab w:val="left" w:pos="3330"/>
        </w:tabs>
        <w:spacing w:line="271" w:lineRule="auto"/>
        <w:sectPr w:rsidR="00911149" w:rsidRPr="00DC1AE7" w:rsidSect="00911149">
          <w:footnotePr>
            <w:numRestart w:val="eachSect"/>
          </w:footnotePr>
          <w:endnotePr>
            <w:numFmt w:val="decimal"/>
          </w:endnotePr>
          <w:type w:val="continuous"/>
          <w:pgSz w:w="12240" w:h="15840" w:code="1"/>
          <w:pgMar w:top="864" w:right="1008" w:bottom="864" w:left="1008" w:header="720" w:footer="720" w:gutter="0"/>
          <w:cols w:num="2" w:space="720"/>
          <w:titlePg/>
          <w:docGrid w:linePitch="299"/>
        </w:sectPr>
      </w:pPr>
    </w:p>
    <w:p w14:paraId="11913B61" w14:textId="77777777" w:rsidR="00D80FD9" w:rsidRPr="00DC1AE7" w:rsidRDefault="00D80FD9" w:rsidP="00D80FD9">
      <w:pPr>
        <w:pStyle w:val="NoSpacing"/>
        <w:numPr>
          <w:ilvl w:val="0"/>
          <w:numId w:val="20"/>
        </w:numPr>
        <w:spacing w:line="269" w:lineRule="auto"/>
        <w:ind w:right="-14"/>
        <w:rPr>
          <w:rStyle w:val="Heading4Char"/>
          <w:szCs w:val="24"/>
        </w:rPr>
      </w:pPr>
      <w:r w:rsidRPr="00DC1AE7">
        <w:rPr>
          <w:bCs/>
        </w:rPr>
        <w:t xml:space="preserve">Swelling </w:t>
      </w:r>
      <w:r w:rsidRPr="00DC1AE7">
        <w:rPr>
          <w:b/>
        </w:rPr>
        <w:t>Canadian</w:t>
      </w:r>
      <w:r w:rsidRPr="00DC1AE7">
        <w:rPr>
          <w:bCs/>
        </w:rPr>
        <w:t xml:space="preserve"> demand for </w:t>
      </w:r>
      <w:r w:rsidRPr="00DC1AE7">
        <w:rPr>
          <w:b/>
        </w:rPr>
        <w:t>fresh chicken eggs</w:t>
      </w:r>
      <w:r w:rsidRPr="00DC1AE7">
        <w:rPr>
          <w:bCs/>
        </w:rPr>
        <w:t xml:space="preserve"> ($23 million, up from $313,000)</w:t>
      </w:r>
      <w:r w:rsidRPr="00DC1AE7">
        <w:rPr>
          <w:b/>
        </w:rPr>
        <w:t xml:space="preserve"> </w:t>
      </w:r>
      <w:r w:rsidRPr="00DC1AE7">
        <w:rPr>
          <w:bCs/>
        </w:rPr>
        <w:t xml:space="preserve">steered the strong export performance in </w:t>
      </w:r>
      <w:r w:rsidRPr="00DC1AE7">
        <w:rPr>
          <w:b/>
        </w:rPr>
        <w:t>dairy, egg, honey</w:t>
      </w:r>
      <w:r w:rsidRPr="00DC1AE7">
        <w:rPr>
          <w:bCs/>
        </w:rPr>
        <w:t xml:space="preserve"> products ($57 million, up 85%).</w:t>
      </w:r>
    </w:p>
    <w:p w14:paraId="237C822C" w14:textId="6D9F501D" w:rsidR="003279A8" w:rsidRPr="00DC1AE7" w:rsidRDefault="007607FC" w:rsidP="003279A8">
      <w:pPr>
        <w:pStyle w:val="ListParagraph"/>
        <w:numPr>
          <w:ilvl w:val="0"/>
          <w:numId w:val="20"/>
        </w:numPr>
        <w:tabs>
          <w:tab w:val="left" w:pos="3330"/>
        </w:tabs>
        <w:spacing w:line="269" w:lineRule="auto"/>
        <w:ind w:right="54"/>
        <w:rPr>
          <w:b/>
          <w:bCs/>
        </w:rPr>
      </w:pPr>
      <w:r w:rsidRPr="00DC1AE7">
        <w:t xml:space="preserve">Exports of </w:t>
      </w:r>
      <w:r w:rsidRPr="00DC1AE7">
        <w:rPr>
          <w:b/>
          <w:bCs/>
        </w:rPr>
        <w:t>oil seeds, misc. grain</w:t>
      </w:r>
      <w:r w:rsidRPr="00DC1AE7">
        <w:t xml:space="preserve"> (</w:t>
      </w:r>
      <w:r w:rsidR="001F0EC5" w:rsidRPr="00DC1AE7">
        <w:rPr>
          <w:bCs/>
        </w:rPr>
        <w:t xml:space="preserve">$93 million, up 36%; </w:t>
      </w:r>
      <w:r w:rsidRPr="00DC1AE7">
        <w:t xml:space="preserve">largely consisting of </w:t>
      </w:r>
      <w:r w:rsidRPr="00DC1AE7">
        <w:rPr>
          <w:b/>
          <w:bCs/>
        </w:rPr>
        <w:t>soybeans</w:t>
      </w:r>
      <w:r w:rsidRPr="00DC1AE7">
        <w:t xml:space="preserve">) jumped to </w:t>
      </w:r>
      <w:r w:rsidRPr="00DC1AE7">
        <w:rPr>
          <w:b/>
          <w:bCs/>
        </w:rPr>
        <w:t>Mexico</w:t>
      </w:r>
      <w:r w:rsidRPr="00DC1AE7">
        <w:t xml:space="preserve"> ($42 million, up 105%), the state’s leading export market for these goods, and to </w:t>
      </w:r>
      <w:r w:rsidRPr="00DC1AE7">
        <w:rPr>
          <w:b/>
          <w:bCs/>
        </w:rPr>
        <w:t>Canada</w:t>
      </w:r>
      <w:r w:rsidRPr="00DC1AE7">
        <w:t xml:space="preserve"> ($16 million, up 54%).</w:t>
      </w:r>
    </w:p>
    <w:p w14:paraId="18458E08" w14:textId="26C670F1" w:rsidR="00666380" w:rsidRPr="00DC1AE7" w:rsidRDefault="00AC009E" w:rsidP="003279A8">
      <w:pPr>
        <w:pStyle w:val="ListParagraph"/>
        <w:numPr>
          <w:ilvl w:val="0"/>
          <w:numId w:val="20"/>
        </w:numPr>
        <w:tabs>
          <w:tab w:val="left" w:pos="3330"/>
        </w:tabs>
        <w:spacing w:line="269" w:lineRule="auto"/>
        <w:ind w:right="54"/>
        <w:rPr>
          <w:b/>
          <w:bCs/>
        </w:rPr>
      </w:pPr>
      <w:r w:rsidRPr="00DC1AE7">
        <w:t xml:space="preserve">Growth in </w:t>
      </w:r>
      <w:r w:rsidRPr="00DC1AE7">
        <w:rPr>
          <w:b/>
          <w:bCs/>
        </w:rPr>
        <w:t xml:space="preserve">albumin, starch, glue </w:t>
      </w:r>
      <w:r w:rsidRPr="00DC1AE7">
        <w:t xml:space="preserve">exports </w:t>
      </w:r>
      <w:r w:rsidRPr="00DC1AE7">
        <w:rPr>
          <w:bCs/>
        </w:rPr>
        <w:t>($76 million, up 42%)</w:t>
      </w:r>
      <w:r w:rsidRPr="00DC1AE7">
        <w:t xml:space="preserve"> was propelled by </w:t>
      </w:r>
      <w:r w:rsidR="003279A8" w:rsidRPr="00DC1AE7">
        <w:rPr>
          <w:b/>
          <w:bCs/>
        </w:rPr>
        <w:t xml:space="preserve">Canada </w:t>
      </w:r>
      <w:r w:rsidR="003279A8" w:rsidRPr="00DC1AE7">
        <w:t xml:space="preserve">($13 million, up 91%) and markets in </w:t>
      </w:r>
      <w:r w:rsidR="003279A8" w:rsidRPr="00DC1AE7">
        <w:rPr>
          <w:b/>
          <w:bCs/>
        </w:rPr>
        <w:t xml:space="preserve">Asia </w:t>
      </w:r>
      <w:r w:rsidR="003279A8" w:rsidRPr="00DC1AE7">
        <w:t>($25 million, up 70%)</w:t>
      </w:r>
      <w:r w:rsidRPr="00DC1AE7">
        <w:t>.</w:t>
      </w:r>
      <w:r w:rsidR="003279A8" w:rsidRPr="00DC1AE7">
        <w:t xml:space="preserve"> These goods</w:t>
      </w:r>
      <w:r w:rsidR="000D6D2A" w:rsidRPr="00DC1AE7">
        <w:t xml:space="preserve"> </w:t>
      </w:r>
      <w:r w:rsidRPr="00DC1AE7">
        <w:t>were largely</w:t>
      </w:r>
      <w:r w:rsidR="000D6D2A" w:rsidRPr="00DC1AE7">
        <w:t xml:space="preserve"> </w:t>
      </w:r>
      <w:r w:rsidR="000D6D2A" w:rsidRPr="00DC1AE7">
        <w:rPr>
          <w:b/>
          <w:bCs/>
        </w:rPr>
        <w:t>albumin products</w:t>
      </w:r>
      <w:r w:rsidR="000D6D2A" w:rsidRPr="00DC1AE7">
        <w:t xml:space="preserve"> ($42 million, up 107%; such as </w:t>
      </w:r>
      <w:r w:rsidR="000D6D2A" w:rsidRPr="00DC1AE7">
        <w:rPr>
          <w:b/>
          <w:bCs/>
        </w:rPr>
        <w:t>concentrate</w:t>
      </w:r>
      <w:r w:rsidRPr="00DC1AE7">
        <w:rPr>
          <w:b/>
          <w:bCs/>
        </w:rPr>
        <w:t xml:space="preserve">d </w:t>
      </w:r>
      <w:r w:rsidR="000D6D2A" w:rsidRPr="00DC1AE7">
        <w:rPr>
          <w:b/>
          <w:bCs/>
        </w:rPr>
        <w:t>whey protein</w:t>
      </w:r>
      <w:r w:rsidRPr="00DC1AE7">
        <w:rPr>
          <w:b/>
          <w:bCs/>
        </w:rPr>
        <w:t xml:space="preserve"> product</w:t>
      </w:r>
      <w:r w:rsidR="000D6D2A" w:rsidRPr="00DC1AE7">
        <w:rPr>
          <w:b/>
          <w:bCs/>
        </w:rPr>
        <w:t>s</w:t>
      </w:r>
      <w:r w:rsidR="000D6D2A" w:rsidRPr="00DC1AE7">
        <w:t xml:space="preserve">) and </w:t>
      </w:r>
      <w:r w:rsidR="000D6D2A" w:rsidRPr="00DC1AE7">
        <w:rPr>
          <w:b/>
          <w:bCs/>
        </w:rPr>
        <w:t>adhesive products</w:t>
      </w:r>
      <w:r w:rsidR="000D6D2A" w:rsidRPr="00DC1AE7">
        <w:t xml:space="preserve"> ($17 million, down 10%). </w:t>
      </w:r>
    </w:p>
    <w:p w14:paraId="2A120338" w14:textId="143CF86C" w:rsidR="00666380" w:rsidRPr="00DC1AE7" w:rsidRDefault="000D6D2A" w:rsidP="006B5811">
      <w:pPr>
        <w:pStyle w:val="ListParagraph"/>
        <w:numPr>
          <w:ilvl w:val="0"/>
          <w:numId w:val="20"/>
        </w:numPr>
        <w:tabs>
          <w:tab w:val="left" w:pos="3330"/>
        </w:tabs>
        <w:spacing w:before="100" w:beforeAutospacing="1" w:line="269" w:lineRule="auto"/>
        <w:ind w:right="54"/>
      </w:pPr>
      <w:r w:rsidRPr="00DC1AE7">
        <w:t xml:space="preserve">Robust </w:t>
      </w:r>
      <w:r w:rsidR="00666380" w:rsidRPr="00DC1AE7">
        <w:t xml:space="preserve">growth in </w:t>
      </w:r>
      <w:r w:rsidRPr="00DC1AE7">
        <w:rPr>
          <w:b/>
          <w:bCs/>
        </w:rPr>
        <w:t>pharmaceutical</w:t>
      </w:r>
      <w:r w:rsidR="007E2C4D" w:rsidRPr="00DC1AE7">
        <w:rPr>
          <w:b/>
          <w:bCs/>
        </w:rPr>
        <w:t xml:space="preserve"> goods</w:t>
      </w:r>
      <w:r w:rsidR="00911636" w:rsidRPr="00DC1AE7">
        <w:t xml:space="preserve"> </w:t>
      </w:r>
      <w:r w:rsidR="001F0EC5" w:rsidRPr="00DC1AE7">
        <w:rPr>
          <w:bCs/>
        </w:rPr>
        <w:t xml:space="preserve">($75 million, up 30%) </w:t>
      </w:r>
      <w:r w:rsidR="00666380" w:rsidRPr="00DC1AE7">
        <w:t xml:space="preserve">was </w:t>
      </w:r>
      <w:r w:rsidRPr="00DC1AE7">
        <w:t xml:space="preserve">led by </w:t>
      </w:r>
      <w:r w:rsidRPr="00DC1AE7">
        <w:rPr>
          <w:b/>
          <w:bCs/>
        </w:rPr>
        <w:t xml:space="preserve">European </w:t>
      </w:r>
      <w:r w:rsidR="00911636" w:rsidRPr="00DC1AE7">
        <w:rPr>
          <w:b/>
          <w:bCs/>
        </w:rPr>
        <w:t>markets</w:t>
      </w:r>
      <w:r w:rsidRPr="00DC1AE7">
        <w:t xml:space="preserve"> such as </w:t>
      </w:r>
      <w:r w:rsidR="00911636" w:rsidRPr="00DC1AE7">
        <w:rPr>
          <w:b/>
          <w:bCs/>
        </w:rPr>
        <w:t>Belgium</w:t>
      </w:r>
      <w:r w:rsidR="00027632" w:rsidRPr="00DC1AE7">
        <w:t>,</w:t>
      </w:r>
      <w:r w:rsidR="00666380" w:rsidRPr="00DC1AE7">
        <w:t xml:space="preserve"> </w:t>
      </w:r>
      <w:r w:rsidR="00911636" w:rsidRPr="00DC1AE7">
        <w:rPr>
          <w:b/>
          <w:bCs/>
        </w:rPr>
        <w:t>Italy, the U.K.</w:t>
      </w:r>
      <w:r w:rsidR="00911636" w:rsidRPr="00DC1AE7">
        <w:t xml:space="preserve"> and </w:t>
      </w:r>
      <w:r w:rsidR="00911636" w:rsidRPr="00DC1AE7">
        <w:rPr>
          <w:b/>
          <w:bCs/>
        </w:rPr>
        <w:t>Ireland</w:t>
      </w:r>
      <w:r w:rsidR="00911636" w:rsidRPr="00DC1AE7">
        <w:t xml:space="preserve">. </w:t>
      </w:r>
      <w:r w:rsidR="00911636" w:rsidRPr="00DC1AE7">
        <w:rPr>
          <w:b/>
          <w:bCs/>
        </w:rPr>
        <w:t>Immunological products</w:t>
      </w:r>
      <w:r w:rsidR="00911636" w:rsidRPr="00DC1AE7">
        <w:t xml:space="preserve"> ($40 million, up</w:t>
      </w:r>
      <w:r w:rsidR="003B3201">
        <w:t xml:space="preserve"> from</w:t>
      </w:r>
      <w:r w:rsidR="00AC009E" w:rsidRPr="00DC1AE7">
        <w:t xml:space="preserve"> less than</w:t>
      </w:r>
      <w:r w:rsidR="00911636" w:rsidRPr="00DC1AE7">
        <w:t xml:space="preserve"> $2 mil</w:t>
      </w:r>
      <w:r w:rsidR="007E2C4D" w:rsidRPr="00DC1AE7">
        <w:t>lion</w:t>
      </w:r>
      <w:r w:rsidR="00911636" w:rsidRPr="00DC1AE7">
        <w:t>) drove growth.</w:t>
      </w:r>
    </w:p>
    <w:p w14:paraId="4A452EE4" w14:textId="082A51DD" w:rsidR="003279A8" w:rsidRPr="00DC1AE7" w:rsidRDefault="00AC009E" w:rsidP="003279A8">
      <w:pPr>
        <w:pStyle w:val="NoSpacing"/>
        <w:numPr>
          <w:ilvl w:val="0"/>
          <w:numId w:val="20"/>
        </w:numPr>
        <w:spacing w:line="269" w:lineRule="auto"/>
        <w:ind w:right="-18"/>
      </w:pPr>
      <w:r w:rsidRPr="00DC1AE7">
        <w:t>Gains in</w:t>
      </w:r>
      <w:r w:rsidR="003279A8" w:rsidRPr="00DC1AE7">
        <w:t xml:space="preserve"> </w:t>
      </w:r>
      <w:r w:rsidR="003279A8" w:rsidRPr="00DC1AE7">
        <w:rPr>
          <w:b/>
          <w:bCs/>
        </w:rPr>
        <w:t>plastics</w:t>
      </w:r>
      <w:r w:rsidR="003279A8" w:rsidRPr="00DC1AE7">
        <w:t xml:space="preserve"> ($318 million, up 4%) w</w:t>
      </w:r>
      <w:r w:rsidRPr="00DC1AE7">
        <w:t>ere</w:t>
      </w:r>
      <w:r w:rsidR="003279A8" w:rsidRPr="00DC1AE7">
        <w:t xml:space="preserve"> spurred by </w:t>
      </w:r>
      <w:r w:rsidRPr="00DC1AE7">
        <w:t>Asia, including</w:t>
      </w:r>
      <w:r w:rsidR="003279A8" w:rsidRPr="00DC1AE7">
        <w:t xml:space="preserve"> to </w:t>
      </w:r>
      <w:r w:rsidR="003279A8" w:rsidRPr="00DC1AE7">
        <w:rPr>
          <w:b/>
          <w:bCs/>
        </w:rPr>
        <w:t>China, Thailand</w:t>
      </w:r>
      <w:r w:rsidRPr="00DC1AE7">
        <w:rPr>
          <w:b/>
          <w:bCs/>
        </w:rPr>
        <w:t>,</w:t>
      </w:r>
      <w:r w:rsidR="003279A8" w:rsidRPr="00DC1AE7">
        <w:t xml:space="preserve"> </w:t>
      </w:r>
      <w:r w:rsidR="003279A8" w:rsidRPr="00DC1AE7">
        <w:rPr>
          <w:b/>
          <w:bCs/>
        </w:rPr>
        <w:t>Taiwan</w:t>
      </w:r>
      <w:r w:rsidRPr="00DC1AE7">
        <w:rPr>
          <w:b/>
          <w:bCs/>
        </w:rPr>
        <w:t xml:space="preserve"> </w:t>
      </w:r>
      <w:r w:rsidRPr="00DC1AE7">
        <w:t>and</w:t>
      </w:r>
      <w:r w:rsidRPr="00DC1AE7">
        <w:rPr>
          <w:b/>
          <w:bCs/>
        </w:rPr>
        <w:t xml:space="preserve"> India</w:t>
      </w:r>
      <w:r w:rsidR="003279A8" w:rsidRPr="00DC1AE7">
        <w:rPr>
          <w:b/>
          <w:bCs/>
        </w:rPr>
        <w:t xml:space="preserve">; </w:t>
      </w:r>
      <w:r w:rsidR="003279A8" w:rsidRPr="00DC1AE7">
        <w:t xml:space="preserve">while </w:t>
      </w:r>
      <w:r w:rsidR="003279A8" w:rsidRPr="00DC1AE7">
        <w:rPr>
          <w:b/>
          <w:bCs/>
        </w:rPr>
        <w:t>Canada,</w:t>
      </w:r>
      <w:r w:rsidR="003279A8" w:rsidRPr="00DC1AE7">
        <w:t xml:space="preserve"> </w:t>
      </w:r>
      <w:r w:rsidRPr="00DC1AE7">
        <w:t xml:space="preserve">as </w:t>
      </w:r>
      <w:r w:rsidR="003279A8" w:rsidRPr="00DC1AE7">
        <w:t>the primary market, d</w:t>
      </w:r>
      <w:r w:rsidRPr="00DC1AE7">
        <w:t>irected</w:t>
      </w:r>
      <w:r w:rsidR="003279A8" w:rsidRPr="00DC1AE7">
        <w:t xml:space="preserve"> the surge in </w:t>
      </w:r>
      <w:r w:rsidR="003279A8" w:rsidRPr="00DC1AE7">
        <w:rPr>
          <w:b/>
          <w:bCs/>
        </w:rPr>
        <w:t>iron ore</w:t>
      </w:r>
      <w:r w:rsidR="003279A8" w:rsidRPr="00DC1AE7">
        <w:t xml:space="preserve"> ($34 million, up 44%) exports.</w:t>
      </w:r>
    </w:p>
    <w:p w14:paraId="73FA3A2E" w14:textId="4AEF467B" w:rsidR="00596618" w:rsidRPr="00DC1AE7" w:rsidRDefault="007F1C4A" w:rsidP="00980A8A">
      <w:pPr>
        <w:pStyle w:val="Heading4"/>
        <w:spacing w:before="120" w:after="120"/>
      </w:pPr>
      <w:r w:rsidRPr="00DC1AE7">
        <w:t>Fi</w:t>
      </w:r>
      <w:r w:rsidR="00A44451" w:rsidRPr="00DC1AE7">
        <w:t>gure 4. Export Trends for</w:t>
      </w:r>
      <w:r w:rsidRPr="00DC1AE7">
        <w:t xml:space="preserve"> Minnesota’s Top 10 Products, </w:t>
      </w:r>
      <w:r w:rsidR="004E75BE" w:rsidRPr="00DC1AE7">
        <w:t>First</w:t>
      </w:r>
      <w:r w:rsidR="00375ACF" w:rsidRPr="00DC1AE7">
        <w:t xml:space="preserve"> </w:t>
      </w:r>
      <w:r w:rsidR="00F85FA6" w:rsidRPr="00DC1AE7">
        <w:t>Q</w:t>
      </w:r>
      <w:r w:rsidR="00375ACF" w:rsidRPr="00DC1AE7">
        <w:t>uarter</w:t>
      </w:r>
      <w:r w:rsidR="00A52415" w:rsidRPr="00DC1AE7">
        <w:t xml:space="preserve"> </w:t>
      </w:r>
      <w:r w:rsidR="00BB19C4" w:rsidRPr="00DC1AE7">
        <w:t>2025</w:t>
      </w:r>
    </w:p>
    <w:p w14:paraId="56ED7CC2" w14:textId="40693F07" w:rsidR="003C2548" w:rsidRPr="00DC1AE7" w:rsidRDefault="00567BF4" w:rsidP="00980A8A">
      <w:pPr>
        <w:spacing w:after="120"/>
        <w:jc w:val="center"/>
      </w:pPr>
      <w:r w:rsidRPr="00DC1AE7">
        <w:rPr>
          <w:noProof/>
        </w:rPr>
        <w:drawing>
          <wp:inline distT="0" distB="0" distL="0" distR="0" wp14:anchorId="26CA09C1" wp14:editId="3B6C1846">
            <wp:extent cx="6374921" cy="1957070"/>
            <wp:effectExtent l="0" t="0" r="6985" b="5080"/>
            <wp:docPr id="149510419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7">
                      <a:extLst>
                        <a:ext uri="{28A0092B-C50C-407E-A947-70E740481C1C}">
                          <a14:useLocalDpi xmlns:a14="http://schemas.microsoft.com/office/drawing/2010/main" val="0"/>
                        </a:ext>
                      </a:extLst>
                    </a:blip>
                    <a:srcRect t="6813"/>
                    <a:stretch/>
                  </pic:blipFill>
                  <pic:spPr bwMode="auto">
                    <a:xfrm>
                      <a:off x="0" y="0"/>
                      <a:ext cx="6398861" cy="1964419"/>
                    </a:xfrm>
                    <a:prstGeom prst="rect">
                      <a:avLst/>
                    </a:prstGeom>
                    <a:noFill/>
                    <a:ln>
                      <a:noFill/>
                    </a:ln>
                    <a:extLst>
                      <a:ext uri="{53640926-AAD7-44D8-BBD7-CCE9431645EC}">
                        <a14:shadowObscured xmlns:a14="http://schemas.microsoft.com/office/drawing/2010/main"/>
                      </a:ext>
                    </a:extLst>
                  </pic:spPr>
                </pic:pic>
              </a:graphicData>
            </a:graphic>
          </wp:inline>
        </w:drawing>
      </w:r>
    </w:p>
    <w:tbl>
      <w:tblPr>
        <w:tblpPr w:leftFromText="180" w:rightFromText="180" w:vertAnchor="page" w:horzAnchor="margin" w:tblpY="13260"/>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9E5A6"/>
        <w:tblLook w:val="04A0" w:firstRow="1" w:lastRow="0" w:firstColumn="1" w:lastColumn="0" w:noHBand="0" w:noVBand="1"/>
        <w:tblCaption w:val="Additional information"/>
        <w:tblDescription w:val="Minnesota Quarterly Export Statistics is the most current resource available for tracking the state’s export trends in manufactured and other goods, and is prepared for the Minnesota Trade Office (MTO) by the Department of Employment and Economic Development’s (DEED) Economic Analysis Unit (Thu-Mai Ho-Kim).  The quarterly and annual statistics reports primarily cover export data based on the Harmonized Tariff System (Schedule B), accessed from WISERTrade - State HS Database, based on data collected by the U.S. Census Bureau, Foreign Trade Division. Reports are available on DEED’s website at “Export and Trade Statistics” (http://mn.gov/deed/data/export-stats/). "/>
      </w:tblPr>
      <w:tblGrid>
        <w:gridCol w:w="10255"/>
      </w:tblGrid>
      <w:tr w:rsidR="00DC1AE7" w:rsidRPr="00DC1AE7" w14:paraId="23A6C19B" w14:textId="77777777" w:rsidTr="006B5811">
        <w:trPr>
          <w:trHeight w:val="530"/>
        </w:trPr>
        <w:tc>
          <w:tcPr>
            <w:tcW w:w="10255" w:type="dxa"/>
            <w:shd w:val="clear" w:color="auto" w:fill="C9E5A6"/>
          </w:tcPr>
          <w:p w14:paraId="282EBA1D" w14:textId="77777777" w:rsidR="00DF665C" w:rsidRPr="00DC1AE7" w:rsidRDefault="00DF665C" w:rsidP="006B5811">
            <w:pPr>
              <w:spacing w:before="120" w:after="120"/>
              <w:rPr>
                <w:rFonts w:cs="Calibri"/>
                <w:sz w:val="20"/>
                <w:szCs w:val="20"/>
              </w:rPr>
            </w:pPr>
            <w:r w:rsidRPr="00DC1AE7">
              <w:rPr>
                <w:rStyle w:val="Emphasis"/>
                <w:rFonts w:cstheme="minorHAnsi"/>
                <w:sz w:val="20"/>
                <w:szCs w:val="20"/>
              </w:rPr>
              <w:t>Minnesota Export Statistics</w:t>
            </w:r>
            <w:r w:rsidRPr="00DC1AE7">
              <w:rPr>
                <w:rStyle w:val="Emphasis"/>
                <w:rFonts w:cstheme="minorHAnsi"/>
                <w:i w:val="0"/>
                <w:iCs w:val="0"/>
                <w:sz w:val="20"/>
                <w:szCs w:val="20"/>
              </w:rPr>
              <w:t xml:space="preserve"> </w:t>
            </w:r>
            <w:r w:rsidRPr="00DC1AE7">
              <w:rPr>
                <w:rStyle w:val="Emphasis"/>
                <w:i w:val="0"/>
                <w:iCs w:val="0"/>
                <w:sz w:val="20"/>
                <w:szCs w:val="20"/>
              </w:rPr>
              <w:t>reports</w:t>
            </w:r>
            <w:r w:rsidRPr="00DC1AE7">
              <w:rPr>
                <w:rStyle w:val="Emphasis"/>
                <w:sz w:val="20"/>
                <w:szCs w:val="20"/>
              </w:rPr>
              <w:t xml:space="preserve"> t</w:t>
            </w:r>
            <w:r w:rsidRPr="00DC1AE7">
              <w:rPr>
                <w:rFonts w:cstheme="minorHAnsi"/>
                <w:sz w:val="20"/>
                <w:szCs w:val="20"/>
              </w:rPr>
              <w:t>rack the state’s trends in exports of goods and is prepared for the Minnesota Trade Office by DEED’s Economic Analysis Unit (Thu-Mai Ho-Kim). The quarterly and annual reports primarily cover export data based on the Harmonized Tariff System (Schedule B), collected by the Foreign Trade Division, Census Bureau, U.S. Dept of Commerce and accessed through USA Trade Online (Census Bureau) and Trade Data Monitor (TDM). Historical reports are available on DEED’s website at “Export and Trade Statistics” (</w:t>
            </w:r>
            <w:hyperlink r:id="rId18" w:history="1">
              <w:r w:rsidRPr="00DC1AE7">
                <w:rPr>
                  <w:rStyle w:val="Hyperlink"/>
                  <w:rFonts w:cstheme="minorHAnsi"/>
                  <w:color w:val="auto"/>
                  <w:sz w:val="20"/>
                  <w:szCs w:val="20"/>
                </w:rPr>
                <w:t>http://mn.gov/deed/data/export-stats/</w:t>
              </w:r>
            </w:hyperlink>
            <w:r w:rsidRPr="00DC1AE7">
              <w:rPr>
                <w:rFonts w:cstheme="minorHAnsi"/>
                <w:sz w:val="20"/>
                <w:szCs w:val="20"/>
              </w:rPr>
              <w:t xml:space="preserve">).  </w:t>
            </w:r>
          </w:p>
        </w:tc>
      </w:tr>
    </w:tbl>
    <w:p w14:paraId="67779A89" w14:textId="0109015F" w:rsidR="00FE15EB" w:rsidRPr="00DC1AE7" w:rsidRDefault="00FE15EB" w:rsidP="00F331FC">
      <w:pPr>
        <w:rPr>
          <w:rFonts w:ascii="Times New Roman" w:eastAsia="Times New Roman" w:hAnsi="Times New Roman" w:cs="Times New Roman"/>
          <w:snapToGrid w:val="0"/>
          <w:w w:val="0"/>
          <w:sz w:val="0"/>
          <w:szCs w:val="0"/>
          <w:u w:color="000000"/>
          <w:bdr w:val="none" w:sz="0" w:space="0" w:color="000000"/>
          <w:shd w:val="clear" w:color="000000" w:fill="000000"/>
          <w:lang w:eastAsia="x-none" w:bidi="x-none"/>
        </w:rPr>
      </w:pPr>
    </w:p>
    <w:sectPr w:rsidR="00FE15EB" w:rsidRPr="00DC1AE7" w:rsidSect="00FE15EB">
      <w:footnotePr>
        <w:numRestart w:val="eachSect"/>
      </w:footnotePr>
      <w:endnotePr>
        <w:numFmt w:val="decimal"/>
      </w:endnotePr>
      <w:type w:val="continuous"/>
      <w:pgSz w:w="12240" w:h="15840" w:code="1"/>
      <w:pgMar w:top="864" w:right="1008" w:bottom="864" w:left="100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5EDE0" w14:textId="77777777" w:rsidR="007119FE" w:rsidRDefault="007119FE">
      <w:r>
        <w:separator/>
      </w:r>
    </w:p>
  </w:endnote>
  <w:endnote w:type="continuationSeparator" w:id="0">
    <w:p w14:paraId="7C9C92B5" w14:textId="77777777" w:rsidR="007119FE" w:rsidRDefault="00711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911F6" w14:textId="77777777" w:rsidR="00CC1B7D" w:rsidRDefault="00CC1B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82E195" w14:textId="77777777" w:rsidR="00CC1B7D" w:rsidRDefault="00CC1B7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F6150" w14:textId="22E678C6" w:rsidR="00A14E15" w:rsidRPr="00A14E15" w:rsidRDefault="00A14E15" w:rsidP="00A14E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3C0B9" w14:textId="77777777" w:rsidR="007119FE" w:rsidRDefault="007119FE">
      <w:r>
        <w:separator/>
      </w:r>
    </w:p>
  </w:footnote>
  <w:footnote w:type="continuationSeparator" w:id="0">
    <w:p w14:paraId="05AAE318" w14:textId="77777777" w:rsidR="007119FE" w:rsidRDefault="007119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8B42A" w14:textId="77777777" w:rsidR="00CC1B7D" w:rsidRDefault="00CC1B7D" w:rsidP="00E014F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147C6F" w14:textId="77777777" w:rsidR="00CC1B7D" w:rsidRDefault="00CC1B7D" w:rsidP="00E014F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6BEFB" w14:textId="77777777" w:rsidR="00CC1B7D" w:rsidRDefault="00CC1B7D" w:rsidP="00E014F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81236">
      <w:rPr>
        <w:rStyle w:val="PageNumber"/>
        <w:noProof/>
      </w:rPr>
      <w:t>2</w:t>
    </w:r>
    <w:r>
      <w:rPr>
        <w:rStyle w:val="PageNumber"/>
      </w:rPr>
      <w:fldChar w:fldCharType="end"/>
    </w:r>
  </w:p>
  <w:p w14:paraId="4CE97ED2" w14:textId="77777777" w:rsidR="00CC1B7D" w:rsidRDefault="00CC1B7D" w:rsidP="00E014FE">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89482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0AD7251"/>
    <w:multiLevelType w:val="hybridMultilevel"/>
    <w:tmpl w:val="A20C3C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7055FB0"/>
    <w:multiLevelType w:val="hybridMultilevel"/>
    <w:tmpl w:val="39F019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89B22E7"/>
    <w:multiLevelType w:val="hybridMultilevel"/>
    <w:tmpl w:val="DB8C1E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F621A5E"/>
    <w:multiLevelType w:val="hybridMultilevel"/>
    <w:tmpl w:val="787C92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06B6753"/>
    <w:multiLevelType w:val="hybridMultilevel"/>
    <w:tmpl w:val="C59C91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38E4940"/>
    <w:multiLevelType w:val="hybridMultilevel"/>
    <w:tmpl w:val="4AAE80EE"/>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336E93"/>
    <w:multiLevelType w:val="hybridMultilevel"/>
    <w:tmpl w:val="A672D4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161121C"/>
    <w:multiLevelType w:val="hybridMultilevel"/>
    <w:tmpl w:val="CFAA2A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59424AE"/>
    <w:multiLevelType w:val="hybridMultilevel"/>
    <w:tmpl w:val="C50876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D731D63"/>
    <w:multiLevelType w:val="hybridMultilevel"/>
    <w:tmpl w:val="0FB4B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E81A19"/>
    <w:multiLevelType w:val="hybridMultilevel"/>
    <w:tmpl w:val="B832DA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F4926A3"/>
    <w:multiLevelType w:val="hybridMultilevel"/>
    <w:tmpl w:val="0A6047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0373CB2"/>
    <w:multiLevelType w:val="hybridMultilevel"/>
    <w:tmpl w:val="E0E415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71704E9"/>
    <w:multiLevelType w:val="hybridMultilevel"/>
    <w:tmpl w:val="187CA0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9550900"/>
    <w:multiLevelType w:val="hybridMultilevel"/>
    <w:tmpl w:val="D1D211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A38056F"/>
    <w:multiLevelType w:val="hybridMultilevel"/>
    <w:tmpl w:val="88CEEB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2DA42E3"/>
    <w:multiLevelType w:val="hybridMultilevel"/>
    <w:tmpl w:val="8A0ED5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48B18F3"/>
    <w:multiLevelType w:val="hybridMultilevel"/>
    <w:tmpl w:val="9CD05F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49D255A"/>
    <w:multiLevelType w:val="hybridMultilevel"/>
    <w:tmpl w:val="2EE466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7975A35"/>
    <w:multiLevelType w:val="hybridMultilevel"/>
    <w:tmpl w:val="E5021E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9F11FFB"/>
    <w:multiLevelType w:val="hybridMultilevel"/>
    <w:tmpl w:val="4CDAD0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BE717D2"/>
    <w:multiLevelType w:val="hybridMultilevel"/>
    <w:tmpl w:val="E334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6115109">
    <w:abstractNumId w:val="0"/>
  </w:num>
  <w:num w:numId="2" w16cid:durableId="587809003">
    <w:abstractNumId w:val="17"/>
  </w:num>
  <w:num w:numId="3" w16cid:durableId="315185240">
    <w:abstractNumId w:val="16"/>
  </w:num>
  <w:num w:numId="4" w16cid:durableId="739328196">
    <w:abstractNumId w:val="4"/>
  </w:num>
  <w:num w:numId="5" w16cid:durableId="596596594">
    <w:abstractNumId w:val="1"/>
  </w:num>
  <w:num w:numId="6" w16cid:durableId="1351759869">
    <w:abstractNumId w:val="10"/>
  </w:num>
  <w:num w:numId="7" w16cid:durableId="1845899144">
    <w:abstractNumId w:val="22"/>
  </w:num>
  <w:num w:numId="8" w16cid:durableId="1255089048">
    <w:abstractNumId w:val="20"/>
  </w:num>
  <w:num w:numId="9" w16cid:durableId="812912516">
    <w:abstractNumId w:val="13"/>
  </w:num>
  <w:num w:numId="10" w16cid:durableId="434403191">
    <w:abstractNumId w:val="11"/>
  </w:num>
  <w:num w:numId="11" w16cid:durableId="199321401">
    <w:abstractNumId w:val="8"/>
  </w:num>
  <w:num w:numId="12" w16cid:durableId="1962147869">
    <w:abstractNumId w:val="2"/>
  </w:num>
  <w:num w:numId="13" w16cid:durableId="26877656">
    <w:abstractNumId w:val="21"/>
  </w:num>
  <w:num w:numId="14" w16cid:durableId="1700356944">
    <w:abstractNumId w:val="14"/>
  </w:num>
  <w:num w:numId="15" w16cid:durableId="1203322051">
    <w:abstractNumId w:val="6"/>
  </w:num>
  <w:num w:numId="16" w16cid:durableId="1798253661">
    <w:abstractNumId w:val="3"/>
  </w:num>
  <w:num w:numId="17" w16cid:durableId="136194312">
    <w:abstractNumId w:val="12"/>
  </w:num>
  <w:num w:numId="18" w16cid:durableId="449085045">
    <w:abstractNumId w:val="18"/>
  </w:num>
  <w:num w:numId="19" w16cid:durableId="696664036">
    <w:abstractNumId w:val="19"/>
  </w:num>
  <w:num w:numId="20" w16cid:durableId="432828150">
    <w:abstractNumId w:val="5"/>
  </w:num>
  <w:num w:numId="21" w16cid:durableId="1622178262">
    <w:abstractNumId w:val="15"/>
  </w:num>
  <w:num w:numId="22" w16cid:durableId="814876352">
    <w:abstractNumId w:val="7"/>
  </w:num>
  <w:num w:numId="23" w16cid:durableId="1871646905">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NotTrackFormatting/>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2050"/>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EAB"/>
    <w:rsid w:val="000034DC"/>
    <w:rsid w:val="00003FDB"/>
    <w:rsid w:val="000041CC"/>
    <w:rsid w:val="0000470B"/>
    <w:rsid w:val="000067D4"/>
    <w:rsid w:val="000115BA"/>
    <w:rsid w:val="00013717"/>
    <w:rsid w:val="00014412"/>
    <w:rsid w:val="00015A9D"/>
    <w:rsid w:val="00017FE0"/>
    <w:rsid w:val="000218A0"/>
    <w:rsid w:val="0002236E"/>
    <w:rsid w:val="00024BB5"/>
    <w:rsid w:val="00027632"/>
    <w:rsid w:val="00031A2C"/>
    <w:rsid w:val="000341DE"/>
    <w:rsid w:val="000350A7"/>
    <w:rsid w:val="00035328"/>
    <w:rsid w:val="00036238"/>
    <w:rsid w:val="00036760"/>
    <w:rsid w:val="00040083"/>
    <w:rsid w:val="00044ED9"/>
    <w:rsid w:val="00046117"/>
    <w:rsid w:val="00051435"/>
    <w:rsid w:val="00051FE0"/>
    <w:rsid w:val="00051FF7"/>
    <w:rsid w:val="00052D34"/>
    <w:rsid w:val="000541A0"/>
    <w:rsid w:val="00054A6E"/>
    <w:rsid w:val="00055AAF"/>
    <w:rsid w:val="0005790D"/>
    <w:rsid w:val="000603F2"/>
    <w:rsid w:val="00061093"/>
    <w:rsid w:val="0006144E"/>
    <w:rsid w:val="0006608A"/>
    <w:rsid w:val="000705F0"/>
    <w:rsid w:val="000716AC"/>
    <w:rsid w:val="00073109"/>
    <w:rsid w:val="000731F2"/>
    <w:rsid w:val="00073987"/>
    <w:rsid w:val="0007455F"/>
    <w:rsid w:val="00076952"/>
    <w:rsid w:val="00076DF3"/>
    <w:rsid w:val="00077989"/>
    <w:rsid w:val="0008038B"/>
    <w:rsid w:val="00083199"/>
    <w:rsid w:val="000859F2"/>
    <w:rsid w:val="00085EED"/>
    <w:rsid w:val="000878A3"/>
    <w:rsid w:val="00090B7B"/>
    <w:rsid w:val="000919F2"/>
    <w:rsid w:val="0009219A"/>
    <w:rsid w:val="000924DC"/>
    <w:rsid w:val="00092621"/>
    <w:rsid w:val="0009287F"/>
    <w:rsid w:val="000929D8"/>
    <w:rsid w:val="00092FFB"/>
    <w:rsid w:val="00096FFD"/>
    <w:rsid w:val="000A1297"/>
    <w:rsid w:val="000A1B8D"/>
    <w:rsid w:val="000A491B"/>
    <w:rsid w:val="000A4AB3"/>
    <w:rsid w:val="000A5664"/>
    <w:rsid w:val="000A7EF0"/>
    <w:rsid w:val="000B2DF3"/>
    <w:rsid w:val="000B518F"/>
    <w:rsid w:val="000B5C1E"/>
    <w:rsid w:val="000B6338"/>
    <w:rsid w:val="000C1CB0"/>
    <w:rsid w:val="000C2181"/>
    <w:rsid w:val="000C2375"/>
    <w:rsid w:val="000C3AE5"/>
    <w:rsid w:val="000C4ED2"/>
    <w:rsid w:val="000D02DD"/>
    <w:rsid w:val="000D1330"/>
    <w:rsid w:val="000D18A9"/>
    <w:rsid w:val="000D1941"/>
    <w:rsid w:val="000D2409"/>
    <w:rsid w:val="000D566F"/>
    <w:rsid w:val="000D5D94"/>
    <w:rsid w:val="000D5EC5"/>
    <w:rsid w:val="000D6D2A"/>
    <w:rsid w:val="000D6FAF"/>
    <w:rsid w:val="000E0786"/>
    <w:rsid w:val="000E3376"/>
    <w:rsid w:val="000E532F"/>
    <w:rsid w:val="000E6BD9"/>
    <w:rsid w:val="000E6F54"/>
    <w:rsid w:val="000E7ED0"/>
    <w:rsid w:val="000F0519"/>
    <w:rsid w:val="000F06F6"/>
    <w:rsid w:val="000F1497"/>
    <w:rsid w:val="000F1844"/>
    <w:rsid w:val="000F1B22"/>
    <w:rsid w:val="000F3E1F"/>
    <w:rsid w:val="000F4C5E"/>
    <w:rsid w:val="000F54F2"/>
    <w:rsid w:val="000F5EB1"/>
    <w:rsid w:val="000F6660"/>
    <w:rsid w:val="000F6CDA"/>
    <w:rsid w:val="000F733F"/>
    <w:rsid w:val="00106910"/>
    <w:rsid w:val="00107686"/>
    <w:rsid w:val="001104C3"/>
    <w:rsid w:val="001127F8"/>
    <w:rsid w:val="00112A1D"/>
    <w:rsid w:val="00112A91"/>
    <w:rsid w:val="001214D7"/>
    <w:rsid w:val="0012471B"/>
    <w:rsid w:val="001250AB"/>
    <w:rsid w:val="001263E2"/>
    <w:rsid w:val="00132366"/>
    <w:rsid w:val="00132A66"/>
    <w:rsid w:val="00134A9C"/>
    <w:rsid w:val="00134ECC"/>
    <w:rsid w:val="00134F20"/>
    <w:rsid w:val="00135A0B"/>
    <w:rsid w:val="001360E3"/>
    <w:rsid w:val="00136664"/>
    <w:rsid w:val="001373C3"/>
    <w:rsid w:val="00137E8C"/>
    <w:rsid w:val="00140B5F"/>
    <w:rsid w:val="00142003"/>
    <w:rsid w:val="0014228E"/>
    <w:rsid w:val="001422BE"/>
    <w:rsid w:val="00145936"/>
    <w:rsid w:val="00147356"/>
    <w:rsid w:val="00147EEF"/>
    <w:rsid w:val="00150201"/>
    <w:rsid w:val="001619F1"/>
    <w:rsid w:val="001625A3"/>
    <w:rsid w:val="00162EF3"/>
    <w:rsid w:val="0016340E"/>
    <w:rsid w:val="00163A63"/>
    <w:rsid w:val="00164B97"/>
    <w:rsid w:val="00170A9E"/>
    <w:rsid w:val="00172BF4"/>
    <w:rsid w:val="00172FA7"/>
    <w:rsid w:val="00173478"/>
    <w:rsid w:val="00173D78"/>
    <w:rsid w:val="00176732"/>
    <w:rsid w:val="00176E55"/>
    <w:rsid w:val="0018069A"/>
    <w:rsid w:val="00182D30"/>
    <w:rsid w:val="0018375B"/>
    <w:rsid w:val="0018461A"/>
    <w:rsid w:val="001846AE"/>
    <w:rsid w:val="001873D8"/>
    <w:rsid w:val="00192539"/>
    <w:rsid w:val="001942D2"/>
    <w:rsid w:val="001944CA"/>
    <w:rsid w:val="001968E6"/>
    <w:rsid w:val="001978D1"/>
    <w:rsid w:val="001979B1"/>
    <w:rsid w:val="001A7229"/>
    <w:rsid w:val="001A7363"/>
    <w:rsid w:val="001A787E"/>
    <w:rsid w:val="001B0716"/>
    <w:rsid w:val="001B0835"/>
    <w:rsid w:val="001B0D71"/>
    <w:rsid w:val="001B1416"/>
    <w:rsid w:val="001B344A"/>
    <w:rsid w:val="001B3687"/>
    <w:rsid w:val="001B4406"/>
    <w:rsid w:val="001B5950"/>
    <w:rsid w:val="001B6B06"/>
    <w:rsid w:val="001B6E5E"/>
    <w:rsid w:val="001C1112"/>
    <w:rsid w:val="001C114C"/>
    <w:rsid w:val="001C13C5"/>
    <w:rsid w:val="001C1959"/>
    <w:rsid w:val="001C1A15"/>
    <w:rsid w:val="001C3A93"/>
    <w:rsid w:val="001C6967"/>
    <w:rsid w:val="001D0609"/>
    <w:rsid w:val="001D20E3"/>
    <w:rsid w:val="001D704D"/>
    <w:rsid w:val="001D767B"/>
    <w:rsid w:val="001E2122"/>
    <w:rsid w:val="001E36FD"/>
    <w:rsid w:val="001E4570"/>
    <w:rsid w:val="001E4F28"/>
    <w:rsid w:val="001E53CF"/>
    <w:rsid w:val="001E6B49"/>
    <w:rsid w:val="001E7619"/>
    <w:rsid w:val="001E79C1"/>
    <w:rsid w:val="001E7B61"/>
    <w:rsid w:val="001F0B2B"/>
    <w:rsid w:val="001F0EC5"/>
    <w:rsid w:val="001F56E0"/>
    <w:rsid w:val="001F591D"/>
    <w:rsid w:val="001F62FF"/>
    <w:rsid w:val="001F7EBF"/>
    <w:rsid w:val="002003FA"/>
    <w:rsid w:val="0020291D"/>
    <w:rsid w:val="00202963"/>
    <w:rsid w:val="00203298"/>
    <w:rsid w:val="002040F2"/>
    <w:rsid w:val="00205084"/>
    <w:rsid w:val="0020528C"/>
    <w:rsid w:val="00205F9C"/>
    <w:rsid w:val="00211025"/>
    <w:rsid w:val="0021109C"/>
    <w:rsid w:val="0021231E"/>
    <w:rsid w:val="002127D7"/>
    <w:rsid w:val="00212FF3"/>
    <w:rsid w:val="002158EE"/>
    <w:rsid w:val="00215DA6"/>
    <w:rsid w:val="00216C2D"/>
    <w:rsid w:val="00217960"/>
    <w:rsid w:val="002224AE"/>
    <w:rsid w:val="0022389E"/>
    <w:rsid w:val="00223F46"/>
    <w:rsid w:val="00225B74"/>
    <w:rsid w:val="00226A71"/>
    <w:rsid w:val="00230CA2"/>
    <w:rsid w:val="00234444"/>
    <w:rsid w:val="00244370"/>
    <w:rsid w:val="00245025"/>
    <w:rsid w:val="0024609E"/>
    <w:rsid w:val="00250B75"/>
    <w:rsid w:val="002538D5"/>
    <w:rsid w:val="0025565E"/>
    <w:rsid w:val="002607E0"/>
    <w:rsid w:val="00260F84"/>
    <w:rsid w:val="00262FF7"/>
    <w:rsid w:val="0026310F"/>
    <w:rsid w:val="00264CC3"/>
    <w:rsid w:val="00267778"/>
    <w:rsid w:val="002726A4"/>
    <w:rsid w:val="00272910"/>
    <w:rsid w:val="00275E0F"/>
    <w:rsid w:val="00275F40"/>
    <w:rsid w:val="0027681D"/>
    <w:rsid w:val="00277C67"/>
    <w:rsid w:val="00277E66"/>
    <w:rsid w:val="0028048A"/>
    <w:rsid w:val="002815FF"/>
    <w:rsid w:val="00284EDE"/>
    <w:rsid w:val="00287234"/>
    <w:rsid w:val="002907B4"/>
    <w:rsid w:val="00292BB8"/>
    <w:rsid w:val="00293DCF"/>
    <w:rsid w:val="002969E6"/>
    <w:rsid w:val="00297DBE"/>
    <w:rsid w:val="002A0D6B"/>
    <w:rsid w:val="002A1776"/>
    <w:rsid w:val="002A27D6"/>
    <w:rsid w:val="002A2F54"/>
    <w:rsid w:val="002A3F50"/>
    <w:rsid w:val="002A4808"/>
    <w:rsid w:val="002A4B11"/>
    <w:rsid w:val="002A52FC"/>
    <w:rsid w:val="002B1415"/>
    <w:rsid w:val="002B329E"/>
    <w:rsid w:val="002B36A6"/>
    <w:rsid w:val="002B3ACE"/>
    <w:rsid w:val="002B6B53"/>
    <w:rsid w:val="002B6EBF"/>
    <w:rsid w:val="002C0C4E"/>
    <w:rsid w:val="002C164C"/>
    <w:rsid w:val="002C1DC1"/>
    <w:rsid w:val="002C3BBC"/>
    <w:rsid w:val="002C52C4"/>
    <w:rsid w:val="002C6521"/>
    <w:rsid w:val="002D1E09"/>
    <w:rsid w:val="002D2A7E"/>
    <w:rsid w:val="002D2EF5"/>
    <w:rsid w:val="002D63BC"/>
    <w:rsid w:val="002D6A99"/>
    <w:rsid w:val="002D6F33"/>
    <w:rsid w:val="002E27C8"/>
    <w:rsid w:val="002E47BC"/>
    <w:rsid w:val="002E53C6"/>
    <w:rsid w:val="002E54F1"/>
    <w:rsid w:val="002E6B92"/>
    <w:rsid w:val="002F0687"/>
    <w:rsid w:val="002F1C0A"/>
    <w:rsid w:val="002F1C0E"/>
    <w:rsid w:val="002F1E64"/>
    <w:rsid w:val="002F257A"/>
    <w:rsid w:val="002F285F"/>
    <w:rsid w:val="002F5224"/>
    <w:rsid w:val="002F71B1"/>
    <w:rsid w:val="002F7ABC"/>
    <w:rsid w:val="00301B16"/>
    <w:rsid w:val="003047CE"/>
    <w:rsid w:val="00304E7F"/>
    <w:rsid w:val="00310D8B"/>
    <w:rsid w:val="0031458A"/>
    <w:rsid w:val="00314865"/>
    <w:rsid w:val="00314EBD"/>
    <w:rsid w:val="00316840"/>
    <w:rsid w:val="00320905"/>
    <w:rsid w:val="00327817"/>
    <w:rsid w:val="003279A8"/>
    <w:rsid w:val="003302FF"/>
    <w:rsid w:val="0033034E"/>
    <w:rsid w:val="00330852"/>
    <w:rsid w:val="00332036"/>
    <w:rsid w:val="00332B6B"/>
    <w:rsid w:val="00335273"/>
    <w:rsid w:val="00337018"/>
    <w:rsid w:val="00337315"/>
    <w:rsid w:val="00340E9C"/>
    <w:rsid w:val="003413C6"/>
    <w:rsid w:val="003415A0"/>
    <w:rsid w:val="00342DD3"/>
    <w:rsid w:val="00343C68"/>
    <w:rsid w:val="0034514F"/>
    <w:rsid w:val="0034596F"/>
    <w:rsid w:val="0034753B"/>
    <w:rsid w:val="00352999"/>
    <w:rsid w:val="003530DA"/>
    <w:rsid w:val="0035427F"/>
    <w:rsid w:val="0035592C"/>
    <w:rsid w:val="003575CE"/>
    <w:rsid w:val="00361002"/>
    <w:rsid w:val="003610A2"/>
    <w:rsid w:val="00365F97"/>
    <w:rsid w:val="00367E5D"/>
    <w:rsid w:val="00370F35"/>
    <w:rsid w:val="00371C8B"/>
    <w:rsid w:val="00372846"/>
    <w:rsid w:val="00373858"/>
    <w:rsid w:val="00373CD5"/>
    <w:rsid w:val="00374F2A"/>
    <w:rsid w:val="00375ACF"/>
    <w:rsid w:val="00375BF0"/>
    <w:rsid w:val="00375D7D"/>
    <w:rsid w:val="0037721A"/>
    <w:rsid w:val="0038071A"/>
    <w:rsid w:val="003823B0"/>
    <w:rsid w:val="003833B0"/>
    <w:rsid w:val="00383D01"/>
    <w:rsid w:val="00385E7F"/>
    <w:rsid w:val="003861FF"/>
    <w:rsid w:val="0038665A"/>
    <w:rsid w:val="00387777"/>
    <w:rsid w:val="00387942"/>
    <w:rsid w:val="00387E7F"/>
    <w:rsid w:val="00391815"/>
    <w:rsid w:val="00392609"/>
    <w:rsid w:val="0039324F"/>
    <w:rsid w:val="00396483"/>
    <w:rsid w:val="003975D0"/>
    <w:rsid w:val="003A0334"/>
    <w:rsid w:val="003A0CE5"/>
    <w:rsid w:val="003A3D11"/>
    <w:rsid w:val="003B0B33"/>
    <w:rsid w:val="003B2771"/>
    <w:rsid w:val="003B3201"/>
    <w:rsid w:val="003B3484"/>
    <w:rsid w:val="003B62FF"/>
    <w:rsid w:val="003C188A"/>
    <w:rsid w:val="003C2548"/>
    <w:rsid w:val="003C316B"/>
    <w:rsid w:val="003C3B88"/>
    <w:rsid w:val="003C3D13"/>
    <w:rsid w:val="003C43EB"/>
    <w:rsid w:val="003C53CE"/>
    <w:rsid w:val="003C57B0"/>
    <w:rsid w:val="003C7165"/>
    <w:rsid w:val="003D044E"/>
    <w:rsid w:val="003D0885"/>
    <w:rsid w:val="003D18F7"/>
    <w:rsid w:val="003D23DD"/>
    <w:rsid w:val="003D2CFC"/>
    <w:rsid w:val="003D49DF"/>
    <w:rsid w:val="003D4F5D"/>
    <w:rsid w:val="003D6202"/>
    <w:rsid w:val="003D744B"/>
    <w:rsid w:val="003D7C4C"/>
    <w:rsid w:val="003E01C9"/>
    <w:rsid w:val="003E21CA"/>
    <w:rsid w:val="003F27BF"/>
    <w:rsid w:val="003F370B"/>
    <w:rsid w:val="003F41C6"/>
    <w:rsid w:val="003F44C1"/>
    <w:rsid w:val="003F5D37"/>
    <w:rsid w:val="003F6B30"/>
    <w:rsid w:val="0040062C"/>
    <w:rsid w:val="00402870"/>
    <w:rsid w:val="00402A86"/>
    <w:rsid w:val="00403819"/>
    <w:rsid w:val="00405F36"/>
    <w:rsid w:val="004061B1"/>
    <w:rsid w:val="00406747"/>
    <w:rsid w:val="00406E6D"/>
    <w:rsid w:val="00407310"/>
    <w:rsid w:val="00407A70"/>
    <w:rsid w:val="00410564"/>
    <w:rsid w:val="00410B76"/>
    <w:rsid w:val="00410BBC"/>
    <w:rsid w:val="00412776"/>
    <w:rsid w:val="00412C47"/>
    <w:rsid w:val="00420D04"/>
    <w:rsid w:val="0042279B"/>
    <w:rsid w:val="0042285F"/>
    <w:rsid w:val="00425184"/>
    <w:rsid w:val="00426066"/>
    <w:rsid w:val="00426D95"/>
    <w:rsid w:val="00426DC1"/>
    <w:rsid w:val="0043003B"/>
    <w:rsid w:val="004303E8"/>
    <w:rsid w:val="004304CD"/>
    <w:rsid w:val="00433DBF"/>
    <w:rsid w:val="004362B0"/>
    <w:rsid w:val="00437CB6"/>
    <w:rsid w:val="0044214A"/>
    <w:rsid w:val="004430A9"/>
    <w:rsid w:val="00445385"/>
    <w:rsid w:val="00445834"/>
    <w:rsid w:val="00447C35"/>
    <w:rsid w:val="004527A6"/>
    <w:rsid w:val="0045332A"/>
    <w:rsid w:val="0045432D"/>
    <w:rsid w:val="004550A2"/>
    <w:rsid w:val="00457309"/>
    <w:rsid w:val="00457D79"/>
    <w:rsid w:val="00464CC9"/>
    <w:rsid w:val="004663B8"/>
    <w:rsid w:val="0046665A"/>
    <w:rsid w:val="00466D65"/>
    <w:rsid w:val="0046703D"/>
    <w:rsid w:val="00467FA8"/>
    <w:rsid w:val="0047028E"/>
    <w:rsid w:val="0047084F"/>
    <w:rsid w:val="00470FED"/>
    <w:rsid w:val="004713E0"/>
    <w:rsid w:val="0047151D"/>
    <w:rsid w:val="004736AA"/>
    <w:rsid w:val="004738CD"/>
    <w:rsid w:val="00475201"/>
    <w:rsid w:val="00475D79"/>
    <w:rsid w:val="0047760E"/>
    <w:rsid w:val="00480418"/>
    <w:rsid w:val="0048185B"/>
    <w:rsid w:val="00481E39"/>
    <w:rsid w:val="00482FFB"/>
    <w:rsid w:val="00483853"/>
    <w:rsid w:val="00484906"/>
    <w:rsid w:val="004867A4"/>
    <w:rsid w:val="00486B23"/>
    <w:rsid w:val="004873BD"/>
    <w:rsid w:val="00487935"/>
    <w:rsid w:val="004900B8"/>
    <w:rsid w:val="004910BF"/>
    <w:rsid w:val="00491AC8"/>
    <w:rsid w:val="00493958"/>
    <w:rsid w:val="00493DF8"/>
    <w:rsid w:val="004944A7"/>
    <w:rsid w:val="004951BC"/>
    <w:rsid w:val="00495EF8"/>
    <w:rsid w:val="00496414"/>
    <w:rsid w:val="00497570"/>
    <w:rsid w:val="00497998"/>
    <w:rsid w:val="004A0D12"/>
    <w:rsid w:val="004A1069"/>
    <w:rsid w:val="004A2022"/>
    <w:rsid w:val="004A3CC9"/>
    <w:rsid w:val="004A4223"/>
    <w:rsid w:val="004A43B9"/>
    <w:rsid w:val="004A5841"/>
    <w:rsid w:val="004A5B9A"/>
    <w:rsid w:val="004A6B80"/>
    <w:rsid w:val="004A7FE8"/>
    <w:rsid w:val="004B0B28"/>
    <w:rsid w:val="004B25EA"/>
    <w:rsid w:val="004B4376"/>
    <w:rsid w:val="004B4BD6"/>
    <w:rsid w:val="004B74F8"/>
    <w:rsid w:val="004B7C0E"/>
    <w:rsid w:val="004C0132"/>
    <w:rsid w:val="004C31E6"/>
    <w:rsid w:val="004C4224"/>
    <w:rsid w:val="004C5C9C"/>
    <w:rsid w:val="004C6288"/>
    <w:rsid w:val="004D0671"/>
    <w:rsid w:val="004D19F5"/>
    <w:rsid w:val="004D1EAB"/>
    <w:rsid w:val="004D23CF"/>
    <w:rsid w:val="004D6223"/>
    <w:rsid w:val="004D7918"/>
    <w:rsid w:val="004E06B6"/>
    <w:rsid w:val="004E1A2B"/>
    <w:rsid w:val="004E1D93"/>
    <w:rsid w:val="004E7051"/>
    <w:rsid w:val="004E75BE"/>
    <w:rsid w:val="004E7967"/>
    <w:rsid w:val="004F046B"/>
    <w:rsid w:val="004F0B2F"/>
    <w:rsid w:val="004F19B8"/>
    <w:rsid w:val="004F2AFD"/>
    <w:rsid w:val="004F5A09"/>
    <w:rsid w:val="004F5CE6"/>
    <w:rsid w:val="004F5EFC"/>
    <w:rsid w:val="004F6D22"/>
    <w:rsid w:val="004F6DBE"/>
    <w:rsid w:val="004F714C"/>
    <w:rsid w:val="004F73D4"/>
    <w:rsid w:val="00500A5C"/>
    <w:rsid w:val="005026CC"/>
    <w:rsid w:val="00503AD1"/>
    <w:rsid w:val="005041F7"/>
    <w:rsid w:val="0050449A"/>
    <w:rsid w:val="00505E81"/>
    <w:rsid w:val="005078AA"/>
    <w:rsid w:val="005100D1"/>
    <w:rsid w:val="00513720"/>
    <w:rsid w:val="0051607A"/>
    <w:rsid w:val="005205F4"/>
    <w:rsid w:val="00521967"/>
    <w:rsid w:val="00524378"/>
    <w:rsid w:val="005269B7"/>
    <w:rsid w:val="005269D3"/>
    <w:rsid w:val="00527152"/>
    <w:rsid w:val="00530F70"/>
    <w:rsid w:val="005315EA"/>
    <w:rsid w:val="00532FD5"/>
    <w:rsid w:val="00533107"/>
    <w:rsid w:val="00534E9F"/>
    <w:rsid w:val="0053506A"/>
    <w:rsid w:val="0053512A"/>
    <w:rsid w:val="00535508"/>
    <w:rsid w:val="00535D23"/>
    <w:rsid w:val="00536B13"/>
    <w:rsid w:val="005370BB"/>
    <w:rsid w:val="00540B35"/>
    <w:rsid w:val="00541FFE"/>
    <w:rsid w:val="00544F1F"/>
    <w:rsid w:val="00545752"/>
    <w:rsid w:val="00545DDF"/>
    <w:rsid w:val="00545F38"/>
    <w:rsid w:val="0054634E"/>
    <w:rsid w:val="00547123"/>
    <w:rsid w:val="005514BE"/>
    <w:rsid w:val="005517D0"/>
    <w:rsid w:val="0055424F"/>
    <w:rsid w:val="00554428"/>
    <w:rsid w:val="00557377"/>
    <w:rsid w:val="00560495"/>
    <w:rsid w:val="00560599"/>
    <w:rsid w:val="00562F8A"/>
    <w:rsid w:val="00563721"/>
    <w:rsid w:val="00565776"/>
    <w:rsid w:val="00566033"/>
    <w:rsid w:val="00566508"/>
    <w:rsid w:val="00566C4E"/>
    <w:rsid w:val="00567BF4"/>
    <w:rsid w:val="00570ACF"/>
    <w:rsid w:val="005727A5"/>
    <w:rsid w:val="00573535"/>
    <w:rsid w:val="00573C2D"/>
    <w:rsid w:val="00575BB7"/>
    <w:rsid w:val="00575F88"/>
    <w:rsid w:val="0057794D"/>
    <w:rsid w:val="00581831"/>
    <w:rsid w:val="00582DC9"/>
    <w:rsid w:val="00585250"/>
    <w:rsid w:val="005859C8"/>
    <w:rsid w:val="00587796"/>
    <w:rsid w:val="005940DB"/>
    <w:rsid w:val="0059473E"/>
    <w:rsid w:val="00594AC5"/>
    <w:rsid w:val="005953F2"/>
    <w:rsid w:val="00596618"/>
    <w:rsid w:val="00597ABF"/>
    <w:rsid w:val="005A2AAC"/>
    <w:rsid w:val="005A3C50"/>
    <w:rsid w:val="005A4293"/>
    <w:rsid w:val="005A61AB"/>
    <w:rsid w:val="005B0E04"/>
    <w:rsid w:val="005B1272"/>
    <w:rsid w:val="005B2781"/>
    <w:rsid w:val="005B6872"/>
    <w:rsid w:val="005B6B09"/>
    <w:rsid w:val="005B75E6"/>
    <w:rsid w:val="005C0164"/>
    <w:rsid w:val="005C0751"/>
    <w:rsid w:val="005C4B4F"/>
    <w:rsid w:val="005C4DE0"/>
    <w:rsid w:val="005C5B41"/>
    <w:rsid w:val="005C61D6"/>
    <w:rsid w:val="005D315F"/>
    <w:rsid w:val="005E139A"/>
    <w:rsid w:val="005E243E"/>
    <w:rsid w:val="005E2D06"/>
    <w:rsid w:val="005E41A6"/>
    <w:rsid w:val="005E4CC6"/>
    <w:rsid w:val="005E5D9F"/>
    <w:rsid w:val="005E6921"/>
    <w:rsid w:val="005F082A"/>
    <w:rsid w:val="005F1B29"/>
    <w:rsid w:val="005F3BCE"/>
    <w:rsid w:val="005F5087"/>
    <w:rsid w:val="005F69A9"/>
    <w:rsid w:val="00600502"/>
    <w:rsid w:val="00603FEE"/>
    <w:rsid w:val="006042ED"/>
    <w:rsid w:val="0060605E"/>
    <w:rsid w:val="006064E9"/>
    <w:rsid w:val="00606AB0"/>
    <w:rsid w:val="00607FAE"/>
    <w:rsid w:val="006104C8"/>
    <w:rsid w:val="0061064A"/>
    <w:rsid w:val="006139EC"/>
    <w:rsid w:val="00613CC2"/>
    <w:rsid w:val="00615BC9"/>
    <w:rsid w:val="00615CB4"/>
    <w:rsid w:val="0061712B"/>
    <w:rsid w:val="006177AE"/>
    <w:rsid w:val="00620C18"/>
    <w:rsid w:val="00621065"/>
    <w:rsid w:val="00621A4A"/>
    <w:rsid w:val="0062213F"/>
    <w:rsid w:val="00624E22"/>
    <w:rsid w:val="006308E7"/>
    <w:rsid w:val="00631D47"/>
    <w:rsid w:val="006330D9"/>
    <w:rsid w:val="006339F5"/>
    <w:rsid w:val="0063551B"/>
    <w:rsid w:val="00635523"/>
    <w:rsid w:val="00635F82"/>
    <w:rsid w:val="00636B6E"/>
    <w:rsid w:val="0063763A"/>
    <w:rsid w:val="00637894"/>
    <w:rsid w:val="00640620"/>
    <w:rsid w:val="00641D3B"/>
    <w:rsid w:val="00644080"/>
    <w:rsid w:val="00646942"/>
    <w:rsid w:val="00647786"/>
    <w:rsid w:val="006519AF"/>
    <w:rsid w:val="00652A9D"/>
    <w:rsid w:val="00653F69"/>
    <w:rsid w:val="006549A6"/>
    <w:rsid w:val="0065603B"/>
    <w:rsid w:val="0066058B"/>
    <w:rsid w:val="006618F7"/>
    <w:rsid w:val="00662222"/>
    <w:rsid w:val="00662414"/>
    <w:rsid w:val="00663755"/>
    <w:rsid w:val="00664A69"/>
    <w:rsid w:val="00665959"/>
    <w:rsid w:val="00666380"/>
    <w:rsid w:val="00666745"/>
    <w:rsid w:val="00666DED"/>
    <w:rsid w:val="006674D7"/>
    <w:rsid w:val="0067275F"/>
    <w:rsid w:val="00674A82"/>
    <w:rsid w:val="00674D0B"/>
    <w:rsid w:val="006754B7"/>
    <w:rsid w:val="00675B7D"/>
    <w:rsid w:val="00676C69"/>
    <w:rsid w:val="00680F03"/>
    <w:rsid w:val="0068122B"/>
    <w:rsid w:val="00681236"/>
    <w:rsid w:val="006826BB"/>
    <w:rsid w:val="006829E5"/>
    <w:rsid w:val="006830C9"/>
    <w:rsid w:val="0068364A"/>
    <w:rsid w:val="0068507C"/>
    <w:rsid w:val="0068525B"/>
    <w:rsid w:val="00685D4F"/>
    <w:rsid w:val="00685DD6"/>
    <w:rsid w:val="006871D2"/>
    <w:rsid w:val="00691D49"/>
    <w:rsid w:val="006922C8"/>
    <w:rsid w:val="00692D3B"/>
    <w:rsid w:val="00693229"/>
    <w:rsid w:val="006951FD"/>
    <w:rsid w:val="00695BB1"/>
    <w:rsid w:val="006964AF"/>
    <w:rsid w:val="006A17BE"/>
    <w:rsid w:val="006A3E64"/>
    <w:rsid w:val="006A4512"/>
    <w:rsid w:val="006A4D47"/>
    <w:rsid w:val="006A56E4"/>
    <w:rsid w:val="006B029D"/>
    <w:rsid w:val="006B2D41"/>
    <w:rsid w:val="006B5811"/>
    <w:rsid w:val="006B6D8D"/>
    <w:rsid w:val="006C1643"/>
    <w:rsid w:val="006C287C"/>
    <w:rsid w:val="006C3C15"/>
    <w:rsid w:val="006C4479"/>
    <w:rsid w:val="006C7D4F"/>
    <w:rsid w:val="006D017C"/>
    <w:rsid w:val="006D12B4"/>
    <w:rsid w:val="006D4F41"/>
    <w:rsid w:val="006D6A44"/>
    <w:rsid w:val="006D7A33"/>
    <w:rsid w:val="006E280A"/>
    <w:rsid w:val="006E4BEC"/>
    <w:rsid w:val="006E6792"/>
    <w:rsid w:val="006E75E2"/>
    <w:rsid w:val="006F01B5"/>
    <w:rsid w:val="006F06FC"/>
    <w:rsid w:val="006F0A9A"/>
    <w:rsid w:val="006F4AD5"/>
    <w:rsid w:val="006F4CA7"/>
    <w:rsid w:val="006F5527"/>
    <w:rsid w:val="006F6211"/>
    <w:rsid w:val="00700F4D"/>
    <w:rsid w:val="00701034"/>
    <w:rsid w:val="00703D62"/>
    <w:rsid w:val="007041A0"/>
    <w:rsid w:val="007046F7"/>
    <w:rsid w:val="00707559"/>
    <w:rsid w:val="007076DF"/>
    <w:rsid w:val="00710701"/>
    <w:rsid w:val="007119FE"/>
    <w:rsid w:val="00712602"/>
    <w:rsid w:val="007144F6"/>
    <w:rsid w:val="00716311"/>
    <w:rsid w:val="0071750E"/>
    <w:rsid w:val="007216E3"/>
    <w:rsid w:val="00723A6D"/>
    <w:rsid w:val="00725672"/>
    <w:rsid w:val="007269AB"/>
    <w:rsid w:val="00731691"/>
    <w:rsid w:val="00732F74"/>
    <w:rsid w:val="007332F9"/>
    <w:rsid w:val="0073386C"/>
    <w:rsid w:val="00734ED0"/>
    <w:rsid w:val="0073511D"/>
    <w:rsid w:val="00736085"/>
    <w:rsid w:val="00736171"/>
    <w:rsid w:val="00736C8E"/>
    <w:rsid w:val="007405DC"/>
    <w:rsid w:val="00741394"/>
    <w:rsid w:val="007418D9"/>
    <w:rsid w:val="00742173"/>
    <w:rsid w:val="00742415"/>
    <w:rsid w:val="007426DA"/>
    <w:rsid w:val="00743593"/>
    <w:rsid w:val="00743C00"/>
    <w:rsid w:val="00743CDA"/>
    <w:rsid w:val="007441D4"/>
    <w:rsid w:val="00744252"/>
    <w:rsid w:val="00746FD8"/>
    <w:rsid w:val="00750FE0"/>
    <w:rsid w:val="00751E26"/>
    <w:rsid w:val="0075449A"/>
    <w:rsid w:val="007548E4"/>
    <w:rsid w:val="0075548A"/>
    <w:rsid w:val="00757335"/>
    <w:rsid w:val="00760360"/>
    <w:rsid w:val="007607FC"/>
    <w:rsid w:val="007613E1"/>
    <w:rsid w:val="00761522"/>
    <w:rsid w:val="0076179E"/>
    <w:rsid w:val="00762462"/>
    <w:rsid w:val="00762E9C"/>
    <w:rsid w:val="00764F3A"/>
    <w:rsid w:val="00770689"/>
    <w:rsid w:val="00772951"/>
    <w:rsid w:val="007752C1"/>
    <w:rsid w:val="0077623A"/>
    <w:rsid w:val="007771AD"/>
    <w:rsid w:val="007818E5"/>
    <w:rsid w:val="0078397D"/>
    <w:rsid w:val="00784103"/>
    <w:rsid w:val="00784C0B"/>
    <w:rsid w:val="00784F13"/>
    <w:rsid w:val="00786AC7"/>
    <w:rsid w:val="00787A9E"/>
    <w:rsid w:val="007910B2"/>
    <w:rsid w:val="007964A2"/>
    <w:rsid w:val="007970F7"/>
    <w:rsid w:val="007A0496"/>
    <w:rsid w:val="007A1654"/>
    <w:rsid w:val="007A2054"/>
    <w:rsid w:val="007A2D2F"/>
    <w:rsid w:val="007A6CDF"/>
    <w:rsid w:val="007A6F27"/>
    <w:rsid w:val="007A7979"/>
    <w:rsid w:val="007A7D3B"/>
    <w:rsid w:val="007B0321"/>
    <w:rsid w:val="007B183D"/>
    <w:rsid w:val="007B1D69"/>
    <w:rsid w:val="007C165F"/>
    <w:rsid w:val="007C1DCB"/>
    <w:rsid w:val="007C29FD"/>
    <w:rsid w:val="007C542D"/>
    <w:rsid w:val="007D1343"/>
    <w:rsid w:val="007D2377"/>
    <w:rsid w:val="007D2D9B"/>
    <w:rsid w:val="007D3342"/>
    <w:rsid w:val="007D38E8"/>
    <w:rsid w:val="007D733B"/>
    <w:rsid w:val="007E22C2"/>
    <w:rsid w:val="007E2C4D"/>
    <w:rsid w:val="007E2DB9"/>
    <w:rsid w:val="007E3EC6"/>
    <w:rsid w:val="007E3EFB"/>
    <w:rsid w:val="007E4D02"/>
    <w:rsid w:val="007E4D0D"/>
    <w:rsid w:val="007E5495"/>
    <w:rsid w:val="007E5EA9"/>
    <w:rsid w:val="007E6CE7"/>
    <w:rsid w:val="007F1C4A"/>
    <w:rsid w:val="007F3673"/>
    <w:rsid w:val="007F3B3E"/>
    <w:rsid w:val="007F507E"/>
    <w:rsid w:val="007F63B6"/>
    <w:rsid w:val="007F7080"/>
    <w:rsid w:val="007F79B4"/>
    <w:rsid w:val="00800341"/>
    <w:rsid w:val="00800885"/>
    <w:rsid w:val="00800E2F"/>
    <w:rsid w:val="00801427"/>
    <w:rsid w:val="0080162F"/>
    <w:rsid w:val="0080204A"/>
    <w:rsid w:val="008022A8"/>
    <w:rsid w:val="0080286D"/>
    <w:rsid w:val="00806897"/>
    <w:rsid w:val="0080747A"/>
    <w:rsid w:val="00811627"/>
    <w:rsid w:val="008117B6"/>
    <w:rsid w:val="00813F99"/>
    <w:rsid w:val="00814CA3"/>
    <w:rsid w:val="00817E9E"/>
    <w:rsid w:val="00821BD6"/>
    <w:rsid w:val="00823FD7"/>
    <w:rsid w:val="00824824"/>
    <w:rsid w:val="008274F3"/>
    <w:rsid w:val="0082792B"/>
    <w:rsid w:val="008303A2"/>
    <w:rsid w:val="00831997"/>
    <w:rsid w:val="00831E3F"/>
    <w:rsid w:val="00831F99"/>
    <w:rsid w:val="00833913"/>
    <w:rsid w:val="00835A94"/>
    <w:rsid w:val="00836835"/>
    <w:rsid w:val="00836FB4"/>
    <w:rsid w:val="00837B67"/>
    <w:rsid w:val="00837BEB"/>
    <w:rsid w:val="00837EFC"/>
    <w:rsid w:val="0084055A"/>
    <w:rsid w:val="00842BCE"/>
    <w:rsid w:val="00846556"/>
    <w:rsid w:val="00846760"/>
    <w:rsid w:val="008478EF"/>
    <w:rsid w:val="00851C18"/>
    <w:rsid w:val="0085254B"/>
    <w:rsid w:val="00852D9B"/>
    <w:rsid w:val="0085673F"/>
    <w:rsid w:val="00856B05"/>
    <w:rsid w:val="00861FE3"/>
    <w:rsid w:val="00863EF0"/>
    <w:rsid w:val="00864956"/>
    <w:rsid w:val="00864F1C"/>
    <w:rsid w:val="0087200B"/>
    <w:rsid w:val="00872803"/>
    <w:rsid w:val="00872BA2"/>
    <w:rsid w:val="0087384F"/>
    <w:rsid w:val="0087775F"/>
    <w:rsid w:val="00877E32"/>
    <w:rsid w:val="0088063C"/>
    <w:rsid w:val="00880FC4"/>
    <w:rsid w:val="00881039"/>
    <w:rsid w:val="00883AAA"/>
    <w:rsid w:val="00883B46"/>
    <w:rsid w:val="00890980"/>
    <w:rsid w:val="00890CBC"/>
    <w:rsid w:val="00892EBC"/>
    <w:rsid w:val="00894E39"/>
    <w:rsid w:val="00895418"/>
    <w:rsid w:val="008957D9"/>
    <w:rsid w:val="0089788C"/>
    <w:rsid w:val="00897AF8"/>
    <w:rsid w:val="008A05DC"/>
    <w:rsid w:val="008A202D"/>
    <w:rsid w:val="008A2536"/>
    <w:rsid w:val="008A4157"/>
    <w:rsid w:val="008A5FCC"/>
    <w:rsid w:val="008A7B4B"/>
    <w:rsid w:val="008B4846"/>
    <w:rsid w:val="008B5689"/>
    <w:rsid w:val="008B5DBC"/>
    <w:rsid w:val="008B749E"/>
    <w:rsid w:val="008C09B5"/>
    <w:rsid w:val="008C1171"/>
    <w:rsid w:val="008C17BA"/>
    <w:rsid w:val="008C1F20"/>
    <w:rsid w:val="008C2D17"/>
    <w:rsid w:val="008C3CC2"/>
    <w:rsid w:val="008C3E75"/>
    <w:rsid w:val="008C5F38"/>
    <w:rsid w:val="008C6B0E"/>
    <w:rsid w:val="008C6FC8"/>
    <w:rsid w:val="008C7870"/>
    <w:rsid w:val="008D3756"/>
    <w:rsid w:val="008D4971"/>
    <w:rsid w:val="008D77FD"/>
    <w:rsid w:val="008E16CE"/>
    <w:rsid w:val="008E1E77"/>
    <w:rsid w:val="008E350D"/>
    <w:rsid w:val="008E6A92"/>
    <w:rsid w:val="008F1D37"/>
    <w:rsid w:val="008F4BDD"/>
    <w:rsid w:val="008F7897"/>
    <w:rsid w:val="00900302"/>
    <w:rsid w:val="0090296E"/>
    <w:rsid w:val="00902E31"/>
    <w:rsid w:val="0090379A"/>
    <w:rsid w:val="00906C03"/>
    <w:rsid w:val="00911149"/>
    <w:rsid w:val="00911636"/>
    <w:rsid w:val="0091354B"/>
    <w:rsid w:val="00913E49"/>
    <w:rsid w:val="00913ED2"/>
    <w:rsid w:val="009147FF"/>
    <w:rsid w:val="00915805"/>
    <w:rsid w:val="00916358"/>
    <w:rsid w:val="009204BB"/>
    <w:rsid w:val="009225DE"/>
    <w:rsid w:val="00922AFC"/>
    <w:rsid w:val="009237A5"/>
    <w:rsid w:val="00925605"/>
    <w:rsid w:val="009301DE"/>
    <w:rsid w:val="00934718"/>
    <w:rsid w:val="009370E2"/>
    <w:rsid w:val="009379AA"/>
    <w:rsid w:val="009404BA"/>
    <w:rsid w:val="00940535"/>
    <w:rsid w:val="009407A8"/>
    <w:rsid w:val="0094395B"/>
    <w:rsid w:val="00945F19"/>
    <w:rsid w:val="00950233"/>
    <w:rsid w:val="00950841"/>
    <w:rsid w:val="00952DBF"/>
    <w:rsid w:val="00953B35"/>
    <w:rsid w:val="00954414"/>
    <w:rsid w:val="00954A83"/>
    <w:rsid w:val="00956763"/>
    <w:rsid w:val="00957BCF"/>
    <w:rsid w:val="00960CDB"/>
    <w:rsid w:val="009625F6"/>
    <w:rsid w:val="009627F9"/>
    <w:rsid w:val="00964270"/>
    <w:rsid w:val="009658D6"/>
    <w:rsid w:val="009671E4"/>
    <w:rsid w:val="009676D8"/>
    <w:rsid w:val="00967CC8"/>
    <w:rsid w:val="00967EC4"/>
    <w:rsid w:val="00975F96"/>
    <w:rsid w:val="00980A8A"/>
    <w:rsid w:val="0098324A"/>
    <w:rsid w:val="00985FFB"/>
    <w:rsid w:val="00987CAC"/>
    <w:rsid w:val="00990CFC"/>
    <w:rsid w:val="00993516"/>
    <w:rsid w:val="00995DD7"/>
    <w:rsid w:val="00995E0E"/>
    <w:rsid w:val="00996052"/>
    <w:rsid w:val="009960C9"/>
    <w:rsid w:val="00996C55"/>
    <w:rsid w:val="00997DA9"/>
    <w:rsid w:val="009A2905"/>
    <w:rsid w:val="009A38CE"/>
    <w:rsid w:val="009A38D1"/>
    <w:rsid w:val="009A491C"/>
    <w:rsid w:val="009A5463"/>
    <w:rsid w:val="009A5B58"/>
    <w:rsid w:val="009A5E1D"/>
    <w:rsid w:val="009A649B"/>
    <w:rsid w:val="009A6EB1"/>
    <w:rsid w:val="009A72B6"/>
    <w:rsid w:val="009B3E5B"/>
    <w:rsid w:val="009B4294"/>
    <w:rsid w:val="009B430C"/>
    <w:rsid w:val="009B5295"/>
    <w:rsid w:val="009B60BD"/>
    <w:rsid w:val="009B6D4C"/>
    <w:rsid w:val="009B70F4"/>
    <w:rsid w:val="009B7374"/>
    <w:rsid w:val="009C0727"/>
    <w:rsid w:val="009C1EF7"/>
    <w:rsid w:val="009C2556"/>
    <w:rsid w:val="009C6C52"/>
    <w:rsid w:val="009D0718"/>
    <w:rsid w:val="009D162F"/>
    <w:rsid w:val="009D1776"/>
    <w:rsid w:val="009D5976"/>
    <w:rsid w:val="009D5A80"/>
    <w:rsid w:val="009D79AE"/>
    <w:rsid w:val="009E0053"/>
    <w:rsid w:val="009E040A"/>
    <w:rsid w:val="009E1576"/>
    <w:rsid w:val="009E2345"/>
    <w:rsid w:val="009E2D6E"/>
    <w:rsid w:val="009E312B"/>
    <w:rsid w:val="009E40AA"/>
    <w:rsid w:val="009E4E40"/>
    <w:rsid w:val="009E710F"/>
    <w:rsid w:val="009F206C"/>
    <w:rsid w:val="009F4D89"/>
    <w:rsid w:val="009F6A97"/>
    <w:rsid w:val="00A00283"/>
    <w:rsid w:val="00A008E4"/>
    <w:rsid w:val="00A00B50"/>
    <w:rsid w:val="00A00E20"/>
    <w:rsid w:val="00A0253A"/>
    <w:rsid w:val="00A02A94"/>
    <w:rsid w:val="00A03293"/>
    <w:rsid w:val="00A03ADC"/>
    <w:rsid w:val="00A1000D"/>
    <w:rsid w:val="00A10193"/>
    <w:rsid w:val="00A10AC7"/>
    <w:rsid w:val="00A10DF8"/>
    <w:rsid w:val="00A111CB"/>
    <w:rsid w:val="00A11201"/>
    <w:rsid w:val="00A126F1"/>
    <w:rsid w:val="00A12A9B"/>
    <w:rsid w:val="00A14055"/>
    <w:rsid w:val="00A14E15"/>
    <w:rsid w:val="00A15690"/>
    <w:rsid w:val="00A17E16"/>
    <w:rsid w:val="00A23BB2"/>
    <w:rsid w:val="00A24540"/>
    <w:rsid w:val="00A258B6"/>
    <w:rsid w:val="00A27388"/>
    <w:rsid w:val="00A300BF"/>
    <w:rsid w:val="00A30328"/>
    <w:rsid w:val="00A3255E"/>
    <w:rsid w:val="00A3267D"/>
    <w:rsid w:val="00A331C8"/>
    <w:rsid w:val="00A37794"/>
    <w:rsid w:val="00A43E28"/>
    <w:rsid w:val="00A44451"/>
    <w:rsid w:val="00A46428"/>
    <w:rsid w:val="00A46BDC"/>
    <w:rsid w:val="00A500E9"/>
    <w:rsid w:val="00A5105C"/>
    <w:rsid w:val="00A513DF"/>
    <w:rsid w:val="00A52415"/>
    <w:rsid w:val="00A5321A"/>
    <w:rsid w:val="00A57B01"/>
    <w:rsid w:val="00A601CF"/>
    <w:rsid w:val="00A60B2E"/>
    <w:rsid w:val="00A61566"/>
    <w:rsid w:val="00A6188E"/>
    <w:rsid w:val="00A62E69"/>
    <w:rsid w:val="00A634F8"/>
    <w:rsid w:val="00A67499"/>
    <w:rsid w:val="00A716CD"/>
    <w:rsid w:val="00A744D1"/>
    <w:rsid w:val="00A745E3"/>
    <w:rsid w:val="00A76173"/>
    <w:rsid w:val="00A762E1"/>
    <w:rsid w:val="00A77AE4"/>
    <w:rsid w:val="00A806F4"/>
    <w:rsid w:val="00A81FA6"/>
    <w:rsid w:val="00A84E31"/>
    <w:rsid w:val="00A8697D"/>
    <w:rsid w:val="00A86A28"/>
    <w:rsid w:val="00A873DD"/>
    <w:rsid w:val="00A9059D"/>
    <w:rsid w:val="00A90983"/>
    <w:rsid w:val="00A91C91"/>
    <w:rsid w:val="00A925A8"/>
    <w:rsid w:val="00A930DA"/>
    <w:rsid w:val="00A943AF"/>
    <w:rsid w:val="00A96B58"/>
    <w:rsid w:val="00AA0175"/>
    <w:rsid w:val="00AA0A83"/>
    <w:rsid w:val="00AA25E4"/>
    <w:rsid w:val="00AA3112"/>
    <w:rsid w:val="00AA33FB"/>
    <w:rsid w:val="00AA388E"/>
    <w:rsid w:val="00AA3B8A"/>
    <w:rsid w:val="00AA4C9D"/>
    <w:rsid w:val="00AA525C"/>
    <w:rsid w:val="00AA6162"/>
    <w:rsid w:val="00AA733A"/>
    <w:rsid w:val="00AA78DC"/>
    <w:rsid w:val="00AA7F1A"/>
    <w:rsid w:val="00AB10AA"/>
    <w:rsid w:val="00AB25F9"/>
    <w:rsid w:val="00AB2F51"/>
    <w:rsid w:val="00AB2FDC"/>
    <w:rsid w:val="00AB4394"/>
    <w:rsid w:val="00AB54EE"/>
    <w:rsid w:val="00AB6229"/>
    <w:rsid w:val="00AB67C0"/>
    <w:rsid w:val="00AC009E"/>
    <w:rsid w:val="00AC1689"/>
    <w:rsid w:val="00AC1FDD"/>
    <w:rsid w:val="00AC4D72"/>
    <w:rsid w:val="00AC4F4B"/>
    <w:rsid w:val="00AC53F6"/>
    <w:rsid w:val="00AC71A6"/>
    <w:rsid w:val="00AC7D35"/>
    <w:rsid w:val="00AD15B2"/>
    <w:rsid w:val="00AD24FE"/>
    <w:rsid w:val="00AD2536"/>
    <w:rsid w:val="00AD362B"/>
    <w:rsid w:val="00AD4B24"/>
    <w:rsid w:val="00AD6D51"/>
    <w:rsid w:val="00AE1B54"/>
    <w:rsid w:val="00AE2FF1"/>
    <w:rsid w:val="00AE36A3"/>
    <w:rsid w:val="00AE3C57"/>
    <w:rsid w:val="00AE515D"/>
    <w:rsid w:val="00AE64C1"/>
    <w:rsid w:val="00AE6B2A"/>
    <w:rsid w:val="00AF198F"/>
    <w:rsid w:val="00AF3041"/>
    <w:rsid w:val="00AF3BBC"/>
    <w:rsid w:val="00AF48CD"/>
    <w:rsid w:val="00AF5E69"/>
    <w:rsid w:val="00AF5FAD"/>
    <w:rsid w:val="00AF6022"/>
    <w:rsid w:val="00AF7EC8"/>
    <w:rsid w:val="00B015A7"/>
    <w:rsid w:val="00B01F89"/>
    <w:rsid w:val="00B038CC"/>
    <w:rsid w:val="00B051B8"/>
    <w:rsid w:val="00B053D9"/>
    <w:rsid w:val="00B06556"/>
    <w:rsid w:val="00B06B04"/>
    <w:rsid w:val="00B06B85"/>
    <w:rsid w:val="00B07150"/>
    <w:rsid w:val="00B11F31"/>
    <w:rsid w:val="00B12AB1"/>
    <w:rsid w:val="00B12C14"/>
    <w:rsid w:val="00B14090"/>
    <w:rsid w:val="00B15932"/>
    <w:rsid w:val="00B161CF"/>
    <w:rsid w:val="00B16C7B"/>
    <w:rsid w:val="00B16F92"/>
    <w:rsid w:val="00B21E7A"/>
    <w:rsid w:val="00B21EA3"/>
    <w:rsid w:val="00B2296E"/>
    <w:rsid w:val="00B328E5"/>
    <w:rsid w:val="00B3388D"/>
    <w:rsid w:val="00B34168"/>
    <w:rsid w:val="00B345D9"/>
    <w:rsid w:val="00B34DF8"/>
    <w:rsid w:val="00B37B14"/>
    <w:rsid w:val="00B43D0A"/>
    <w:rsid w:val="00B43EF1"/>
    <w:rsid w:val="00B44303"/>
    <w:rsid w:val="00B47091"/>
    <w:rsid w:val="00B47D07"/>
    <w:rsid w:val="00B5144B"/>
    <w:rsid w:val="00B5170B"/>
    <w:rsid w:val="00B52EE1"/>
    <w:rsid w:val="00B53992"/>
    <w:rsid w:val="00B53D6E"/>
    <w:rsid w:val="00B54EA4"/>
    <w:rsid w:val="00B64706"/>
    <w:rsid w:val="00B679D3"/>
    <w:rsid w:val="00B67FEA"/>
    <w:rsid w:val="00B708AD"/>
    <w:rsid w:val="00B710D2"/>
    <w:rsid w:val="00B7113C"/>
    <w:rsid w:val="00B712CC"/>
    <w:rsid w:val="00B723DF"/>
    <w:rsid w:val="00B72D64"/>
    <w:rsid w:val="00B731DE"/>
    <w:rsid w:val="00B734C3"/>
    <w:rsid w:val="00B73EB2"/>
    <w:rsid w:val="00B74252"/>
    <w:rsid w:val="00B74AC4"/>
    <w:rsid w:val="00B7514D"/>
    <w:rsid w:val="00B7627A"/>
    <w:rsid w:val="00B7678B"/>
    <w:rsid w:val="00B77533"/>
    <w:rsid w:val="00B77999"/>
    <w:rsid w:val="00B77B05"/>
    <w:rsid w:val="00B81154"/>
    <w:rsid w:val="00B85149"/>
    <w:rsid w:val="00B85A12"/>
    <w:rsid w:val="00B86498"/>
    <w:rsid w:val="00B90481"/>
    <w:rsid w:val="00B9063F"/>
    <w:rsid w:val="00B92975"/>
    <w:rsid w:val="00B945D4"/>
    <w:rsid w:val="00B94BAD"/>
    <w:rsid w:val="00B97A58"/>
    <w:rsid w:val="00BA1325"/>
    <w:rsid w:val="00BA48FC"/>
    <w:rsid w:val="00BA5870"/>
    <w:rsid w:val="00BA679F"/>
    <w:rsid w:val="00BB0399"/>
    <w:rsid w:val="00BB0AAC"/>
    <w:rsid w:val="00BB0CBB"/>
    <w:rsid w:val="00BB0EFB"/>
    <w:rsid w:val="00BB19C4"/>
    <w:rsid w:val="00BB3223"/>
    <w:rsid w:val="00BB3BC1"/>
    <w:rsid w:val="00BB4344"/>
    <w:rsid w:val="00BB4A7B"/>
    <w:rsid w:val="00BB5D61"/>
    <w:rsid w:val="00BC1307"/>
    <w:rsid w:val="00BC2B27"/>
    <w:rsid w:val="00BC3B27"/>
    <w:rsid w:val="00BC4C9B"/>
    <w:rsid w:val="00BC609B"/>
    <w:rsid w:val="00BC7910"/>
    <w:rsid w:val="00BC7BEA"/>
    <w:rsid w:val="00BD0BD5"/>
    <w:rsid w:val="00BD209D"/>
    <w:rsid w:val="00BD6641"/>
    <w:rsid w:val="00BE4117"/>
    <w:rsid w:val="00BE467F"/>
    <w:rsid w:val="00BE4DAD"/>
    <w:rsid w:val="00BE5E4B"/>
    <w:rsid w:val="00BE6C2B"/>
    <w:rsid w:val="00BE716C"/>
    <w:rsid w:val="00BE76C8"/>
    <w:rsid w:val="00BE7990"/>
    <w:rsid w:val="00BF1AB9"/>
    <w:rsid w:val="00BF29E1"/>
    <w:rsid w:val="00BF2F12"/>
    <w:rsid w:val="00BF30AB"/>
    <w:rsid w:val="00BF3A0E"/>
    <w:rsid w:val="00BF3A82"/>
    <w:rsid w:val="00BF47F6"/>
    <w:rsid w:val="00BF4C9A"/>
    <w:rsid w:val="00BF58CF"/>
    <w:rsid w:val="00BF695F"/>
    <w:rsid w:val="00C0339F"/>
    <w:rsid w:val="00C038FE"/>
    <w:rsid w:val="00C0411C"/>
    <w:rsid w:val="00C057FE"/>
    <w:rsid w:val="00C07331"/>
    <w:rsid w:val="00C10955"/>
    <w:rsid w:val="00C11B85"/>
    <w:rsid w:val="00C13C70"/>
    <w:rsid w:val="00C22BC5"/>
    <w:rsid w:val="00C22CD6"/>
    <w:rsid w:val="00C23063"/>
    <w:rsid w:val="00C23DAA"/>
    <w:rsid w:val="00C24103"/>
    <w:rsid w:val="00C25539"/>
    <w:rsid w:val="00C267D7"/>
    <w:rsid w:val="00C31877"/>
    <w:rsid w:val="00C31885"/>
    <w:rsid w:val="00C34436"/>
    <w:rsid w:val="00C347A8"/>
    <w:rsid w:val="00C3617C"/>
    <w:rsid w:val="00C4222C"/>
    <w:rsid w:val="00C42806"/>
    <w:rsid w:val="00C42BB6"/>
    <w:rsid w:val="00C42DFC"/>
    <w:rsid w:val="00C430F8"/>
    <w:rsid w:val="00C43515"/>
    <w:rsid w:val="00C46BC0"/>
    <w:rsid w:val="00C53B91"/>
    <w:rsid w:val="00C53EBB"/>
    <w:rsid w:val="00C5519E"/>
    <w:rsid w:val="00C5610C"/>
    <w:rsid w:val="00C57088"/>
    <w:rsid w:val="00C60694"/>
    <w:rsid w:val="00C6189C"/>
    <w:rsid w:val="00C61B15"/>
    <w:rsid w:val="00C620D3"/>
    <w:rsid w:val="00C62687"/>
    <w:rsid w:val="00C64195"/>
    <w:rsid w:val="00C64773"/>
    <w:rsid w:val="00C71379"/>
    <w:rsid w:val="00C73712"/>
    <w:rsid w:val="00C73A21"/>
    <w:rsid w:val="00C76728"/>
    <w:rsid w:val="00C76F72"/>
    <w:rsid w:val="00C77A75"/>
    <w:rsid w:val="00C80771"/>
    <w:rsid w:val="00C836EC"/>
    <w:rsid w:val="00C8413F"/>
    <w:rsid w:val="00C84368"/>
    <w:rsid w:val="00C84427"/>
    <w:rsid w:val="00C844F7"/>
    <w:rsid w:val="00C84D0E"/>
    <w:rsid w:val="00C859C7"/>
    <w:rsid w:val="00C8680A"/>
    <w:rsid w:val="00C87B56"/>
    <w:rsid w:val="00C87D7F"/>
    <w:rsid w:val="00C91002"/>
    <w:rsid w:val="00C91424"/>
    <w:rsid w:val="00C915E2"/>
    <w:rsid w:val="00C93462"/>
    <w:rsid w:val="00C97041"/>
    <w:rsid w:val="00C97042"/>
    <w:rsid w:val="00C9794E"/>
    <w:rsid w:val="00C979F3"/>
    <w:rsid w:val="00CA06CE"/>
    <w:rsid w:val="00CA0EED"/>
    <w:rsid w:val="00CA0F8C"/>
    <w:rsid w:val="00CA1224"/>
    <w:rsid w:val="00CA2794"/>
    <w:rsid w:val="00CB1364"/>
    <w:rsid w:val="00CB3215"/>
    <w:rsid w:val="00CB38A0"/>
    <w:rsid w:val="00CB38AF"/>
    <w:rsid w:val="00CB630A"/>
    <w:rsid w:val="00CB65EF"/>
    <w:rsid w:val="00CB6DBB"/>
    <w:rsid w:val="00CB72F5"/>
    <w:rsid w:val="00CC012F"/>
    <w:rsid w:val="00CC03E3"/>
    <w:rsid w:val="00CC0D0A"/>
    <w:rsid w:val="00CC1B7D"/>
    <w:rsid w:val="00CC1EF1"/>
    <w:rsid w:val="00CC3D8E"/>
    <w:rsid w:val="00CC41DA"/>
    <w:rsid w:val="00CC5AB4"/>
    <w:rsid w:val="00CC5F28"/>
    <w:rsid w:val="00CC6C4E"/>
    <w:rsid w:val="00CC6EA3"/>
    <w:rsid w:val="00CD49EC"/>
    <w:rsid w:val="00CE08AA"/>
    <w:rsid w:val="00CE313B"/>
    <w:rsid w:val="00CE4610"/>
    <w:rsid w:val="00CE475C"/>
    <w:rsid w:val="00CE7AEB"/>
    <w:rsid w:val="00CE7E3D"/>
    <w:rsid w:val="00CF0D1F"/>
    <w:rsid w:val="00CF0DC4"/>
    <w:rsid w:val="00CF0ECB"/>
    <w:rsid w:val="00CF1D5A"/>
    <w:rsid w:val="00CF3C7B"/>
    <w:rsid w:val="00CF4E4D"/>
    <w:rsid w:val="00CF7317"/>
    <w:rsid w:val="00D0254C"/>
    <w:rsid w:val="00D02A61"/>
    <w:rsid w:val="00D02D91"/>
    <w:rsid w:val="00D038F3"/>
    <w:rsid w:val="00D03E94"/>
    <w:rsid w:val="00D0438E"/>
    <w:rsid w:val="00D06225"/>
    <w:rsid w:val="00D075C8"/>
    <w:rsid w:val="00D10279"/>
    <w:rsid w:val="00D113C0"/>
    <w:rsid w:val="00D11965"/>
    <w:rsid w:val="00D126B7"/>
    <w:rsid w:val="00D13636"/>
    <w:rsid w:val="00D14F5B"/>
    <w:rsid w:val="00D17713"/>
    <w:rsid w:val="00D17CB6"/>
    <w:rsid w:val="00D20356"/>
    <w:rsid w:val="00D20FFB"/>
    <w:rsid w:val="00D2478F"/>
    <w:rsid w:val="00D260F8"/>
    <w:rsid w:val="00D26D78"/>
    <w:rsid w:val="00D3203E"/>
    <w:rsid w:val="00D3214A"/>
    <w:rsid w:val="00D32665"/>
    <w:rsid w:val="00D32E6E"/>
    <w:rsid w:val="00D33037"/>
    <w:rsid w:val="00D3377E"/>
    <w:rsid w:val="00D350D0"/>
    <w:rsid w:val="00D37530"/>
    <w:rsid w:val="00D41699"/>
    <w:rsid w:val="00D445FA"/>
    <w:rsid w:val="00D4503A"/>
    <w:rsid w:val="00D4520B"/>
    <w:rsid w:val="00D4733E"/>
    <w:rsid w:val="00D4777B"/>
    <w:rsid w:val="00D50DBD"/>
    <w:rsid w:val="00D54752"/>
    <w:rsid w:val="00D56B8F"/>
    <w:rsid w:val="00D5791A"/>
    <w:rsid w:val="00D60BDF"/>
    <w:rsid w:val="00D60DC5"/>
    <w:rsid w:val="00D6151B"/>
    <w:rsid w:val="00D61780"/>
    <w:rsid w:val="00D61D5A"/>
    <w:rsid w:val="00D623EB"/>
    <w:rsid w:val="00D62905"/>
    <w:rsid w:val="00D637FE"/>
    <w:rsid w:val="00D63F04"/>
    <w:rsid w:val="00D65A6E"/>
    <w:rsid w:val="00D66D1C"/>
    <w:rsid w:val="00D72133"/>
    <w:rsid w:val="00D7221D"/>
    <w:rsid w:val="00D7237B"/>
    <w:rsid w:val="00D7363A"/>
    <w:rsid w:val="00D73FB7"/>
    <w:rsid w:val="00D73FB9"/>
    <w:rsid w:val="00D75FCF"/>
    <w:rsid w:val="00D76B16"/>
    <w:rsid w:val="00D76B66"/>
    <w:rsid w:val="00D773D0"/>
    <w:rsid w:val="00D77DC0"/>
    <w:rsid w:val="00D80073"/>
    <w:rsid w:val="00D80EB6"/>
    <w:rsid w:val="00D80FD9"/>
    <w:rsid w:val="00D81A8E"/>
    <w:rsid w:val="00D8329D"/>
    <w:rsid w:val="00D83408"/>
    <w:rsid w:val="00D83715"/>
    <w:rsid w:val="00D84668"/>
    <w:rsid w:val="00D84A3A"/>
    <w:rsid w:val="00D863CC"/>
    <w:rsid w:val="00D87B9A"/>
    <w:rsid w:val="00D87BD3"/>
    <w:rsid w:val="00D90D24"/>
    <w:rsid w:val="00D90EBF"/>
    <w:rsid w:val="00D916A9"/>
    <w:rsid w:val="00D94144"/>
    <w:rsid w:val="00D956BD"/>
    <w:rsid w:val="00D9611D"/>
    <w:rsid w:val="00D97463"/>
    <w:rsid w:val="00D9773D"/>
    <w:rsid w:val="00D97C6C"/>
    <w:rsid w:val="00D97D3F"/>
    <w:rsid w:val="00DA09EB"/>
    <w:rsid w:val="00DA2D2A"/>
    <w:rsid w:val="00DA4B88"/>
    <w:rsid w:val="00DA78B5"/>
    <w:rsid w:val="00DA7EEA"/>
    <w:rsid w:val="00DB304D"/>
    <w:rsid w:val="00DB3AAA"/>
    <w:rsid w:val="00DB439A"/>
    <w:rsid w:val="00DC04AB"/>
    <w:rsid w:val="00DC1AE7"/>
    <w:rsid w:val="00DC28FF"/>
    <w:rsid w:val="00DC2D48"/>
    <w:rsid w:val="00DC3253"/>
    <w:rsid w:val="00DC5381"/>
    <w:rsid w:val="00DC5FA6"/>
    <w:rsid w:val="00DC631F"/>
    <w:rsid w:val="00DC6760"/>
    <w:rsid w:val="00DD30F7"/>
    <w:rsid w:val="00DD388E"/>
    <w:rsid w:val="00DD4EBF"/>
    <w:rsid w:val="00DD60C4"/>
    <w:rsid w:val="00DD736C"/>
    <w:rsid w:val="00DE2EE4"/>
    <w:rsid w:val="00DE5657"/>
    <w:rsid w:val="00DF0316"/>
    <w:rsid w:val="00DF0E5F"/>
    <w:rsid w:val="00DF11D0"/>
    <w:rsid w:val="00DF13A6"/>
    <w:rsid w:val="00DF13E5"/>
    <w:rsid w:val="00DF1972"/>
    <w:rsid w:val="00DF519C"/>
    <w:rsid w:val="00DF57DB"/>
    <w:rsid w:val="00DF665C"/>
    <w:rsid w:val="00E00339"/>
    <w:rsid w:val="00E014FE"/>
    <w:rsid w:val="00E025F4"/>
    <w:rsid w:val="00E04238"/>
    <w:rsid w:val="00E05D27"/>
    <w:rsid w:val="00E0766F"/>
    <w:rsid w:val="00E076E5"/>
    <w:rsid w:val="00E077E1"/>
    <w:rsid w:val="00E10F45"/>
    <w:rsid w:val="00E12E0B"/>
    <w:rsid w:val="00E1539A"/>
    <w:rsid w:val="00E16ECF"/>
    <w:rsid w:val="00E20692"/>
    <w:rsid w:val="00E206EA"/>
    <w:rsid w:val="00E21972"/>
    <w:rsid w:val="00E224CF"/>
    <w:rsid w:val="00E230B4"/>
    <w:rsid w:val="00E24645"/>
    <w:rsid w:val="00E24CCA"/>
    <w:rsid w:val="00E254A0"/>
    <w:rsid w:val="00E25680"/>
    <w:rsid w:val="00E2702D"/>
    <w:rsid w:val="00E30182"/>
    <w:rsid w:val="00E3229A"/>
    <w:rsid w:val="00E33AF6"/>
    <w:rsid w:val="00E36364"/>
    <w:rsid w:val="00E3647C"/>
    <w:rsid w:val="00E36A70"/>
    <w:rsid w:val="00E41451"/>
    <w:rsid w:val="00E415B8"/>
    <w:rsid w:val="00E42787"/>
    <w:rsid w:val="00E427EE"/>
    <w:rsid w:val="00E4577B"/>
    <w:rsid w:val="00E45817"/>
    <w:rsid w:val="00E45BFB"/>
    <w:rsid w:val="00E46F93"/>
    <w:rsid w:val="00E50D6A"/>
    <w:rsid w:val="00E513D0"/>
    <w:rsid w:val="00E6068D"/>
    <w:rsid w:val="00E61C32"/>
    <w:rsid w:val="00E67B6F"/>
    <w:rsid w:val="00E704F7"/>
    <w:rsid w:val="00E7076F"/>
    <w:rsid w:val="00E70C45"/>
    <w:rsid w:val="00E73382"/>
    <w:rsid w:val="00E7433B"/>
    <w:rsid w:val="00E75ABE"/>
    <w:rsid w:val="00E7646B"/>
    <w:rsid w:val="00E76542"/>
    <w:rsid w:val="00E76FF1"/>
    <w:rsid w:val="00E77000"/>
    <w:rsid w:val="00E77777"/>
    <w:rsid w:val="00E81560"/>
    <w:rsid w:val="00E83789"/>
    <w:rsid w:val="00E83838"/>
    <w:rsid w:val="00E83A19"/>
    <w:rsid w:val="00E850BA"/>
    <w:rsid w:val="00E8562C"/>
    <w:rsid w:val="00E858A9"/>
    <w:rsid w:val="00E86556"/>
    <w:rsid w:val="00E876CB"/>
    <w:rsid w:val="00E900A3"/>
    <w:rsid w:val="00E91310"/>
    <w:rsid w:val="00E9144E"/>
    <w:rsid w:val="00E9222B"/>
    <w:rsid w:val="00E92FA6"/>
    <w:rsid w:val="00E9477E"/>
    <w:rsid w:val="00E94EC3"/>
    <w:rsid w:val="00E9694D"/>
    <w:rsid w:val="00EA1AF6"/>
    <w:rsid w:val="00EA2EEB"/>
    <w:rsid w:val="00EA50EC"/>
    <w:rsid w:val="00EA5D5D"/>
    <w:rsid w:val="00EA692F"/>
    <w:rsid w:val="00EB37A8"/>
    <w:rsid w:val="00EB40B0"/>
    <w:rsid w:val="00EB4443"/>
    <w:rsid w:val="00EB74BC"/>
    <w:rsid w:val="00EC16F8"/>
    <w:rsid w:val="00EC336E"/>
    <w:rsid w:val="00ED2C08"/>
    <w:rsid w:val="00ED3A64"/>
    <w:rsid w:val="00ED4194"/>
    <w:rsid w:val="00ED560D"/>
    <w:rsid w:val="00ED605B"/>
    <w:rsid w:val="00ED6260"/>
    <w:rsid w:val="00ED6B98"/>
    <w:rsid w:val="00ED6C94"/>
    <w:rsid w:val="00ED7F1C"/>
    <w:rsid w:val="00EE1040"/>
    <w:rsid w:val="00EE4797"/>
    <w:rsid w:val="00EE5B40"/>
    <w:rsid w:val="00EE5D08"/>
    <w:rsid w:val="00EE7685"/>
    <w:rsid w:val="00EF0BF1"/>
    <w:rsid w:val="00EF0EA0"/>
    <w:rsid w:val="00EF35D0"/>
    <w:rsid w:val="00EF3CF4"/>
    <w:rsid w:val="00EF4C89"/>
    <w:rsid w:val="00EF5F9F"/>
    <w:rsid w:val="00EF64BD"/>
    <w:rsid w:val="00F0242A"/>
    <w:rsid w:val="00F05050"/>
    <w:rsid w:val="00F053EF"/>
    <w:rsid w:val="00F0676E"/>
    <w:rsid w:val="00F10BC5"/>
    <w:rsid w:val="00F12FA6"/>
    <w:rsid w:val="00F1327E"/>
    <w:rsid w:val="00F141DF"/>
    <w:rsid w:val="00F15307"/>
    <w:rsid w:val="00F16041"/>
    <w:rsid w:val="00F16F37"/>
    <w:rsid w:val="00F17A7A"/>
    <w:rsid w:val="00F20245"/>
    <w:rsid w:val="00F216B1"/>
    <w:rsid w:val="00F23A2A"/>
    <w:rsid w:val="00F23E20"/>
    <w:rsid w:val="00F23F90"/>
    <w:rsid w:val="00F24F70"/>
    <w:rsid w:val="00F25611"/>
    <w:rsid w:val="00F30A87"/>
    <w:rsid w:val="00F31DA3"/>
    <w:rsid w:val="00F32F11"/>
    <w:rsid w:val="00F331FC"/>
    <w:rsid w:val="00F3371D"/>
    <w:rsid w:val="00F35CBE"/>
    <w:rsid w:val="00F374B9"/>
    <w:rsid w:val="00F406A9"/>
    <w:rsid w:val="00F40BF4"/>
    <w:rsid w:val="00F41942"/>
    <w:rsid w:val="00F4261F"/>
    <w:rsid w:val="00F43B0B"/>
    <w:rsid w:val="00F43BA6"/>
    <w:rsid w:val="00F508B0"/>
    <w:rsid w:val="00F51C02"/>
    <w:rsid w:val="00F5227C"/>
    <w:rsid w:val="00F54C78"/>
    <w:rsid w:val="00F555DD"/>
    <w:rsid w:val="00F55D28"/>
    <w:rsid w:val="00F5610C"/>
    <w:rsid w:val="00F566C7"/>
    <w:rsid w:val="00F57850"/>
    <w:rsid w:val="00F626E0"/>
    <w:rsid w:val="00F64195"/>
    <w:rsid w:val="00F646A4"/>
    <w:rsid w:val="00F65C61"/>
    <w:rsid w:val="00F65D33"/>
    <w:rsid w:val="00F6667B"/>
    <w:rsid w:val="00F67195"/>
    <w:rsid w:val="00F675A0"/>
    <w:rsid w:val="00F7027C"/>
    <w:rsid w:val="00F70333"/>
    <w:rsid w:val="00F72892"/>
    <w:rsid w:val="00F729B4"/>
    <w:rsid w:val="00F73106"/>
    <w:rsid w:val="00F73F33"/>
    <w:rsid w:val="00F7494E"/>
    <w:rsid w:val="00F74B06"/>
    <w:rsid w:val="00F75C80"/>
    <w:rsid w:val="00F80AFA"/>
    <w:rsid w:val="00F8155F"/>
    <w:rsid w:val="00F81BA9"/>
    <w:rsid w:val="00F82D92"/>
    <w:rsid w:val="00F85FA6"/>
    <w:rsid w:val="00F860A4"/>
    <w:rsid w:val="00F86357"/>
    <w:rsid w:val="00F90FBA"/>
    <w:rsid w:val="00F93C02"/>
    <w:rsid w:val="00F955C4"/>
    <w:rsid w:val="00F95C7C"/>
    <w:rsid w:val="00F96297"/>
    <w:rsid w:val="00FA106A"/>
    <w:rsid w:val="00FA13BE"/>
    <w:rsid w:val="00FA1A86"/>
    <w:rsid w:val="00FA1B4B"/>
    <w:rsid w:val="00FA3174"/>
    <w:rsid w:val="00FA384A"/>
    <w:rsid w:val="00FA4229"/>
    <w:rsid w:val="00FA433D"/>
    <w:rsid w:val="00FA4DCD"/>
    <w:rsid w:val="00FA65D1"/>
    <w:rsid w:val="00FA6845"/>
    <w:rsid w:val="00FA6CA0"/>
    <w:rsid w:val="00FA701F"/>
    <w:rsid w:val="00FA78E7"/>
    <w:rsid w:val="00FB01B3"/>
    <w:rsid w:val="00FB4CE4"/>
    <w:rsid w:val="00FB5013"/>
    <w:rsid w:val="00FB507A"/>
    <w:rsid w:val="00FB6A28"/>
    <w:rsid w:val="00FB76CD"/>
    <w:rsid w:val="00FC662C"/>
    <w:rsid w:val="00FC6851"/>
    <w:rsid w:val="00FC7394"/>
    <w:rsid w:val="00FD2F99"/>
    <w:rsid w:val="00FD3B61"/>
    <w:rsid w:val="00FD5E0B"/>
    <w:rsid w:val="00FD79B7"/>
    <w:rsid w:val="00FE15EB"/>
    <w:rsid w:val="00FE4B51"/>
    <w:rsid w:val="00FE4E3B"/>
    <w:rsid w:val="00FE5772"/>
    <w:rsid w:val="00FE752E"/>
    <w:rsid w:val="00FE7DFE"/>
    <w:rsid w:val="00FF06F1"/>
    <w:rsid w:val="00FF2C7A"/>
    <w:rsid w:val="00FF330B"/>
    <w:rsid w:val="00FF4869"/>
    <w:rsid w:val="00FF7510"/>
    <w:rsid w:val="00FF7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D18ACD"/>
  <w15:docId w15:val="{46804143-F042-4640-B650-B2CC126C8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58A9"/>
    <w:pPr>
      <w:spacing w:after="0" w:line="240" w:lineRule="auto"/>
    </w:pPr>
    <w:rPr>
      <w:rFonts w:ascii="Calibri" w:hAnsi="Calibri"/>
    </w:rPr>
  </w:style>
  <w:style w:type="paragraph" w:styleId="Heading1">
    <w:name w:val="heading 1"/>
    <w:next w:val="BodyText"/>
    <w:link w:val="Heading1Char"/>
    <w:uiPriority w:val="1"/>
    <w:qFormat/>
    <w:rsid w:val="00E858A9"/>
    <w:pPr>
      <w:keepNext/>
      <w:keepLines/>
      <w:tabs>
        <w:tab w:val="left" w:pos="3345"/>
      </w:tabs>
      <w:spacing w:before="240" w:after="120" w:line="268" w:lineRule="auto"/>
      <w:outlineLvl w:val="0"/>
    </w:pPr>
    <w:rPr>
      <w:rFonts w:ascii="Calibri" w:eastAsiaTheme="majorEastAsia" w:hAnsi="Calibri" w:cstheme="majorBidi"/>
      <w:b/>
      <w:color w:val="003865"/>
      <w:sz w:val="40"/>
      <w:szCs w:val="40"/>
    </w:rPr>
  </w:style>
  <w:style w:type="paragraph" w:styleId="Heading2">
    <w:name w:val="heading 2"/>
    <w:next w:val="BodyText"/>
    <w:link w:val="Heading2Char"/>
    <w:uiPriority w:val="1"/>
    <w:unhideWhenUsed/>
    <w:qFormat/>
    <w:rsid w:val="000341DE"/>
    <w:pPr>
      <w:keepNext/>
      <w:keepLines/>
      <w:pBdr>
        <w:bottom w:val="single" w:sz="4" w:space="1" w:color="auto"/>
      </w:pBdr>
      <w:tabs>
        <w:tab w:val="left" w:pos="2400"/>
      </w:tabs>
      <w:spacing w:before="240" w:after="120" w:line="269" w:lineRule="auto"/>
      <w:outlineLvl w:val="1"/>
    </w:pPr>
    <w:rPr>
      <w:rFonts w:eastAsiaTheme="majorEastAsia" w:cstheme="majorBidi"/>
      <w:b/>
      <w:bCs/>
      <w:color w:val="003865"/>
      <w:sz w:val="32"/>
      <w:szCs w:val="32"/>
    </w:rPr>
  </w:style>
  <w:style w:type="paragraph" w:styleId="Heading3">
    <w:name w:val="heading 3"/>
    <w:next w:val="BodyText"/>
    <w:link w:val="Heading3Char"/>
    <w:uiPriority w:val="1"/>
    <w:unhideWhenUsed/>
    <w:qFormat/>
    <w:rsid w:val="00E858A9"/>
    <w:pPr>
      <w:keepNext/>
      <w:tabs>
        <w:tab w:val="left" w:pos="735"/>
      </w:tabs>
      <w:spacing w:before="240" w:after="120" w:line="268" w:lineRule="auto"/>
      <w:outlineLvl w:val="2"/>
    </w:pPr>
    <w:rPr>
      <w:rFonts w:eastAsiaTheme="majorEastAsia" w:cs="Arial"/>
      <w:b/>
      <w:color w:val="003865"/>
      <w:sz w:val="24"/>
      <w:szCs w:val="24"/>
    </w:rPr>
  </w:style>
  <w:style w:type="paragraph" w:styleId="Heading4">
    <w:name w:val="heading 4"/>
    <w:basedOn w:val="Normal"/>
    <w:next w:val="Normal"/>
    <w:link w:val="Heading4Char"/>
    <w:uiPriority w:val="9"/>
    <w:unhideWhenUsed/>
    <w:qFormat/>
    <w:rsid w:val="00F64195"/>
    <w:pPr>
      <w:keepNext/>
      <w:keepLines/>
      <w:spacing w:before="40"/>
      <w:outlineLvl w:val="3"/>
    </w:pPr>
    <w:rPr>
      <w:rFonts w:asciiTheme="majorHAnsi" w:eastAsiaTheme="majorEastAsia" w:hAnsiTheme="majorHAnsi" w:cstheme="majorBidi"/>
      <w:i/>
      <w:iCs/>
      <w:sz w:val="24"/>
    </w:rPr>
  </w:style>
  <w:style w:type="paragraph" w:styleId="Heading5">
    <w:name w:val="heading 5"/>
    <w:basedOn w:val="Normal"/>
    <w:next w:val="Normal"/>
    <w:link w:val="Heading5Char"/>
    <w:uiPriority w:val="9"/>
    <w:semiHidden/>
    <w:unhideWhenUsed/>
    <w:qFormat/>
    <w:rsid w:val="007C165F"/>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7C165F"/>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7C165F"/>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7C165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C165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ulletList">
    <w:name w:val="1Bullet List"/>
    <w:rsid w:val="00E91310"/>
    <w:pPr>
      <w:widowControl w:val="0"/>
      <w:tabs>
        <w:tab w:val="left" w:pos="720"/>
      </w:tabs>
      <w:autoSpaceDE w:val="0"/>
      <w:autoSpaceDN w:val="0"/>
      <w:adjustRightInd w:val="0"/>
      <w:ind w:left="720" w:hanging="720"/>
      <w:jc w:val="both"/>
    </w:pPr>
    <w:rPr>
      <w:sz w:val="24"/>
      <w:szCs w:val="24"/>
    </w:rPr>
  </w:style>
  <w:style w:type="paragraph" w:customStyle="1" w:styleId="2BulletList">
    <w:name w:val="2Bullet List"/>
    <w:rsid w:val="00E91310"/>
    <w:pPr>
      <w:widowControl w:val="0"/>
      <w:tabs>
        <w:tab w:val="left" w:pos="720"/>
        <w:tab w:val="left" w:pos="1440"/>
      </w:tabs>
      <w:autoSpaceDE w:val="0"/>
      <w:autoSpaceDN w:val="0"/>
      <w:adjustRightInd w:val="0"/>
      <w:ind w:left="1440" w:hanging="720"/>
      <w:jc w:val="both"/>
    </w:pPr>
    <w:rPr>
      <w:sz w:val="24"/>
      <w:szCs w:val="24"/>
    </w:rPr>
  </w:style>
  <w:style w:type="paragraph" w:customStyle="1" w:styleId="3BulletList">
    <w:name w:val="3Bullet List"/>
    <w:rsid w:val="00E91310"/>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BulletList">
    <w:name w:val="4Bullet List"/>
    <w:rsid w:val="00E91310"/>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BulletList">
    <w:name w:val="5Bullet List"/>
    <w:rsid w:val="00E91310"/>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BulletList">
    <w:name w:val="6Bullet List"/>
    <w:rsid w:val="00E9131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BulletList">
    <w:name w:val="7Bullet List"/>
    <w:rsid w:val="00E9131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BulletList">
    <w:name w:val="8Bullet List"/>
    <w:rsid w:val="00E9131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Triangles">
    <w:name w:val="1Triangles"/>
    <w:rsid w:val="00E91310"/>
    <w:pPr>
      <w:widowControl w:val="0"/>
      <w:tabs>
        <w:tab w:val="left" w:pos="720"/>
      </w:tabs>
      <w:autoSpaceDE w:val="0"/>
      <w:autoSpaceDN w:val="0"/>
      <w:adjustRightInd w:val="0"/>
      <w:ind w:left="720" w:hanging="720"/>
      <w:jc w:val="both"/>
    </w:pPr>
    <w:rPr>
      <w:sz w:val="24"/>
      <w:szCs w:val="24"/>
    </w:rPr>
  </w:style>
  <w:style w:type="paragraph" w:customStyle="1" w:styleId="2Triangles">
    <w:name w:val="2Triangles"/>
    <w:rsid w:val="00E91310"/>
    <w:pPr>
      <w:widowControl w:val="0"/>
      <w:tabs>
        <w:tab w:val="left" w:pos="720"/>
        <w:tab w:val="left" w:pos="1440"/>
      </w:tabs>
      <w:autoSpaceDE w:val="0"/>
      <w:autoSpaceDN w:val="0"/>
      <w:adjustRightInd w:val="0"/>
      <w:ind w:left="1440" w:hanging="720"/>
      <w:jc w:val="both"/>
    </w:pPr>
    <w:rPr>
      <w:sz w:val="24"/>
      <w:szCs w:val="24"/>
    </w:rPr>
  </w:style>
  <w:style w:type="paragraph" w:customStyle="1" w:styleId="3Triangles">
    <w:name w:val="3Triangles"/>
    <w:rsid w:val="00E91310"/>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Triangles">
    <w:name w:val="4Triangles"/>
    <w:rsid w:val="00E91310"/>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Triangles">
    <w:name w:val="5Triangles"/>
    <w:rsid w:val="00E91310"/>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Triangles">
    <w:name w:val="6Triangles"/>
    <w:rsid w:val="00E9131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Triangles">
    <w:name w:val="7Triangles"/>
    <w:rsid w:val="00E9131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Triangles">
    <w:name w:val="8Triangles"/>
    <w:rsid w:val="00E9131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a">
    <w:name w:val="_"/>
    <w:rsid w:val="00E91310"/>
    <w:pPr>
      <w:widowControl w:val="0"/>
      <w:autoSpaceDE w:val="0"/>
      <w:autoSpaceDN w:val="0"/>
      <w:adjustRightInd w:val="0"/>
      <w:ind w:left="-1080"/>
    </w:pPr>
    <w:rPr>
      <w:sz w:val="24"/>
      <w:szCs w:val="24"/>
    </w:rPr>
  </w:style>
  <w:style w:type="character" w:customStyle="1" w:styleId="DefaultPara">
    <w:name w:val="Default Para"/>
    <w:rsid w:val="00E91310"/>
  </w:style>
  <w:style w:type="character" w:customStyle="1" w:styleId="SYSHYPERTEXT">
    <w:name w:val="SYS_HYPERTEXT"/>
    <w:rsid w:val="00E91310"/>
    <w:rPr>
      <w:color w:val="0000FF"/>
    </w:rPr>
  </w:style>
  <w:style w:type="paragraph" w:styleId="Header">
    <w:name w:val="header"/>
    <w:basedOn w:val="Normal"/>
    <w:rsid w:val="00E91310"/>
    <w:pPr>
      <w:tabs>
        <w:tab w:val="center" w:pos="4320"/>
        <w:tab w:val="right" w:pos="8640"/>
      </w:tabs>
    </w:pPr>
  </w:style>
  <w:style w:type="character" w:styleId="PageNumber">
    <w:name w:val="page number"/>
    <w:basedOn w:val="DefaultParagraphFont"/>
    <w:rsid w:val="00E91310"/>
  </w:style>
  <w:style w:type="paragraph" w:styleId="BodyText">
    <w:name w:val="Body Text"/>
    <w:link w:val="BodyTextChar"/>
    <w:unhideWhenUsed/>
    <w:qFormat/>
    <w:rsid w:val="00E858A9"/>
    <w:pPr>
      <w:spacing w:before="200" w:after="200" w:line="268" w:lineRule="auto"/>
    </w:pPr>
  </w:style>
  <w:style w:type="paragraph" w:styleId="Caption">
    <w:name w:val="caption"/>
    <w:basedOn w:val="Normal"/>
    <w:next w:val="Normal"/>
    <w:uiPriority w:val="35"/>
    <w:semiHidden/>
    <w:unhideWhenUsed/>
    <w:qFormat/>
    <w:rsid w:val="007C165F"/>
    <w:pPr>
      <w:spacing w:after="200"/>
    </w:pPr>
    <w:rPr>
      <w:i/>
      <w:iCs/>
      <w:color w:val="1F497D" w:themeColor="text2"/>
      <w:sz w:val="18"/>
      <w:szCs w:val="18"/>
    </w:rPr>
  </w:style>
  <w:style w:type="paragraph" w:styleId="BodyText2">
    <w:name w:val="Body Text 2"/>
    <w:basedOn w:val="Normal"/>
    <w:rsid w:val="00E913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styleId="BodyText3">
    <w:name w:val="Body Text 3"/>
    <w:basedOn w:val="Normal"/>
    <w:rsid w:val="00E913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character" w:styleId="Hyperlink">
    <w:name w:val="Hyperlink"/>
    <w:rsid w:val="00E91310"/>
    <w:rPr>
      <w:color w:val="0000FF"/>
      <w:u w:val="single"/>
    </w:rPr>
  </w:style>
  <w:style w:type="character" w:styleId="FollowedHyperlink">
    <w:name w:val="FollowedHyperlink"/>
    <w:rsid w:val="00E91310"/>
    <w:rPr>
      <w:color w:val="800080"/>
      <w:u w:val="single"/>
    </w:rPr>
  </w:style>
  <w:style w:type="paragraph" w:styleId="Footer">
    <w:name w:val="footer"/>
    <w:basedOn w:val="Normal"/>
    <w:link w:val="FooterChar"/>
    <w:uiPriority w:val="99"/>
    <w:rsid w:val="00E91310"/>
    <w:pPr>
      <w:tabs>
        <w:tab w:val="center" w:pos="4320"/>
        <w:tab w:val="right" w:pos="8640"/>
      </w:tabs>
    </w:pPr>
  </w:style>
  <w:style w:type="paragraph" w:customStyle="1" w:styleId="Default">
    <w:name w:val="Default"/>
    <w:rsid w:val="00800885"/>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56059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F4C89"/>
    <w:rPr>
      <w:rFonts w:ascii="Tahoma" w:hAnsi="Tahoma" w:cs="Tahoma"/>
      <w:sz w:val="16"/>
      <w:szCs w:val="16"/>
    </w:rPr>
  </w:style>
  <w:style w:type="paragraph" w:styleId="ListParagraph">
    <w:name w:val="List Paragraph"/>
    <w:basedOn w:val="Normal"/>
    <w:uiPriority w:val="34"/>
    <w:qFormat/>
    <w:rsid w:val="007C165F"/>
    <w:pPr>
      <w:ind w:left="720"/>
      <w:contextualSpacing/>
    </w:pPr>
  </w:style>
  <w:style w:type="paragraph" w:styleId="ListBullet">
    <w:name w:val="List Bullet"/>
    <w:basedOn w:val="Normal"/>
    <w:rsid w:val="00C4222C"/>
    <w:pPr>
      <w:numPr>
        <w:numId w:val="1"/>
      </w:numPr>
      <w:spacing w:after="120"/>
    </w:pPr>
  </w:style>
  <w:style w:type="character" w:customStyle="1" w:styleId="BodyTextChar">
    <w:name w:val="Body Text Char"/>
    <w:basedOn w:val="DefaultParagraphFont"/>
    <w:link w:val="BodyText"/>
    <w:rsid w:val="00E858A9"/>
  </w:style>
  <w:style w:type="paragraph" w:customStyle="1" w:styleId="StyleListBulletAfter12pt">
    <w:name w:val="Style List Bullet + After:  12 pt"/>
    <w:basedOn w:val="ListBullet"/>
    <w:rsid w:val="00C4222C"/>
  </w:style>
  <w:style w:type="character" w:styleId="Strong">
    <w:name w:val="Strong"/>
    <w:basedOn w:val="DefaultParagraphFont"/>
    <w:uiPriority w:val="22"/>
    <w:qFormat/>
    <w:rsid w:val="007C165F"/>
    <w:rPr>
      <w:b/>
      <w:bCs/>
    </w:rPr>
  </w:style>
  <w:style w:type="character" w:styleId="Emphasis">
    <w:name w:val="Emphasis"/>
    <w:basedOn w:val="DefaultParagraphFont"/>
    <w:uiPriority w:val="20"/>
    <w:qFormat/>
    <w:rsid w:val="007C165F"/>
    <w:rPr>
      <w:i/>
      <w:iCs/>
    </w:rPr>
  </w:style>
  <w:style w:type="paragraph" w:styleId="Revision">
    <w:name w:val="Revision"/>
    <w:hidden/>
    <w:uiPriority w:val="99"/>
    <w:semiHidden/>
    <w:rsid w:val="00895418"/>
  </w:style>
  <w:style w:type="paragraph" w:styleId="NoSpacing">
    <w:name w:val="No Spacing"/>
    <w:uiPriority w:val="1"/>
    <w:qFormat/>
    <w:rsid w:val="007C165F"/>
    <w:pPr>
      <w:spacing w:after="0" w:line="240" w:lineRule="auto"/>
    </w:pPr>
    <w:rPr>
      <w:rFonts w:ascii="Calibri" w:hAnsi="Calibri"/>
    </w:rPr>
  </w:style>
  <w:style w:type="character" w:customStyle="1" w:styleId="Heading1Char">
    <w:name w:val="Heading 1 Char"/>
    <w:basedOn w:val="DefaultParagraphFont"/>
    <w:link w:val="Heading1"/>
    <w:uiPriority w:val="1"/>
    <w:rsid w:val="00E858A9"/>
    <w:rPr>
      <w:rFonts w:ascii="Calibri" w:eastAsiaTheme="majorEastAsia" w:hAnsi="Calibri" w:cstheme="majorBidi"/>
      <w:b/>
      <w:color w:val="003865"/>
      <w:sz w:val="40"/>
      <w:szCs w:val="40"/>
    </w:rPr>
  </w:style>
  <w:style w:type="character" w:customStyle="1" w:styleId="Heading2Char">
    <w:name w:val="Heading 2 Char"/>
    <w:basedOn w:val="DefaultParagraphFont"/>
    <w:link w:val="Heading2"/>
    <w:uiPriority w:val="1"/>
    <w:rsid w:val="000341DE"/>
    <w:rPr>
      <w:rFonts w:eastAsiaTheme="majorEastAsia" w:cstheme="majorBidi"/>
      <w:b/>
      <w:bCs/>
      <w:color w:val="003865"/>
      <w:sz w:val="32"/>
      <w:szCs w:val="32"/>
    </w:rPr>
  </w:style>
  <w:style w:type="character" w:customStyle="1" w:styleId="Heading3Char">
    <w:name w:val="Heading 3 Char"/>
    <w:basedOn w:val="DefaultParagraphFont"/>
    <w:link w:val="Heading3"/>
    <w:uiPriority w:val="1"/>
    <w:rsid w:val="00E858A9"/>
    <w:rPr>
      <w:rFonts w:eastAsiaTheme="majorEastAsia" w:cs="Arial"/>
      <w:b/>
      <w:color w:val="003865"/>
      <w:sz w:val="24"/>
      <w:szCs w:val="24"/>
    </w:rPr>
  </w:style>
  <w:style w:type="character" w:customStyle="1" w:styleId="Heading4Char">
    <w:name w:val="Heading 4 Char"/>
    <w:basedOn w:val="DefaultParagraphFont"/>
    <w:link w:val="Heading4"/>
    <w:uiPriority w:val="9"/>
    <w:rsid w:val="00F64195"/>
    <w:rPr>
      <w:rFonts w:asciiTheme="majorHAnsi" w:eastAsiaTheme="majorEastAsia" w:hAnsiTheme="majorHAnsi" w:cstheme="majorBidi"/>
      <w:i/>
      <w:iCs/>
      <w:sz w:val="24"/>
    </w:rPr>
  </w:style>
  <w:style w:type="character" w:customStyle="1" w:styleId="Heading5Char">
    <w:name w:val="Heading 5 Char"/>
    <w:basedOn w:val="DefaultParagraphFont"/>
    <w:link w:val="Heading5"/>
    <w:uiPriority w:val="9"/>
    <w:semiHidden/>
    <w:rsid w:val="007C165F"/>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7C165F"/>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7C165F"/>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7C165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C165F"/>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7C165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16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165F"/>
    <w:pPr>
      <w:numPr>
        <w:ilvl w:val="1"/>
      </w:numPr>
      <w:spacing w:after="160"/>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7C165F"/>
    <w:rPr>
      <w:rFonts w:eastAsiaTheme="minorEastAsia"/>
      <w:color w:val="5A5A5A" w:themeColor="text1" w:themeTint="A5"/>
      <w:spacing w:val="15"/>
    </w:rPr>
  </w:style>
  <w:style w:type="paragraph" w:styleId="Quote">
    <w:name w:val="Quote"/>
    <w:basedOn w:val="Normal"/>
    <w:next w:val="Normal"/>
    <w:link w:val="QuoteChar"/>
    <w:uiPriority w:val="29"/>
    <w:qFormat/>
    <w:rsid w:val="007C165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C165F"/>
    <w:rPr>
      <w:rFonts w:ascii="Calibri" w:hAnsi="Calibri"/>
      <w:i/>
      <w:iCs/>
      <w:color w:val="404040" w:themeColor="text1" w:themeTint="BF"/>
    </w:rPr>
  </w:style>
  <w:style w:type="paragraph" w:styleId="IntenseQuote">
    <w:name w:val="Intense Quote"/>
    <w:basedOn w:val="Normal"/>
    <w:next w:val="Normal"/>
    <w:link w:val="IntenseQuoteChar"/>
    <w:uiPriority w:val="30"/>
    <w:qFormat/>
    <w:rsid w:val="007C165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C165F"/>
    <w:rPr>
      <w:rFonts w:ascii="Calibri" w:hAnsi="Calibri"/>
      <w:i/>
      <w:iCs/>
      <w:color w:val="4F81BD" w:themeColor="accent1"/>
    </w:rPr>
  </w:style>
  <w:style w:type="character" w:styleId="SubtleEmphasis">
    <w:name w:val="Subtle Emphasis"/>
    <w:basedOn w:val="DefaultParagraphFont"/>
    <w:uiPriority w:val="19"/>
    <w:qFormat/>
    <w:rsid w:val="007C165F"/>
    <w:rPr>
      <w:i/>
      <w:iCs/>
      <w:color w:val="404040" w:themeColor="text1" w:themeTint="BF"/>
    </w:rPr>
  </w:style>
  <w:style w:type="character" w:styleId="IntenseEmphasis">
    <w:name w:val="Intense Emphasis"/>
    <w:basedOn w:val="DefaultParagraphFont"/>
    <w:uiPriority w:val="21"/>
    <w:qFormat/>
    <w:rsid w:val="007C165F"/>
    <w:rPr>
      <w:i/>
      <w:iCs/>
      <w:color w:val="4F81BD" w:themeColor="accent1"/>
    </w:rPr>
  </w:style>
  <w:style w:type="character" w:styleId="SubtleReference">
    <w:name w:val="Subtle Reference"/>
    <w:basedOn w:val="DefaultParagraphFont"/>
    <w:uiPriority w:val="31"/>
    <w:qFormat/>
    <w:rsid w:val="007C165F"/>
    <w:rPr>
      <w:smallCaps/>
      <w:color w:val="5A5A5A" w:themeColor="text1" w:themeTint="A5"/>
    </w:rPr>
  </w:style>
  <w:style w:type="character" w:styleId="IntenseReference">
    <w:name w:val="Intense Reference"/>
    <w:basedOn w:val="DefaultParagraphFont"/>
    <w:uiPriority w:val="32"/>
    <w:qFormat/>
    <w:rsid w:val="007C165F"/>
    <w:rPr>
      <w:b/>
      <w:bCs/>
      <w:smallCaps/>
      <w:color w:val="4F81BD" w:themeColor="accent1"/>
      <w:spacing w:val="5"/>
    </w:rPr>
  </w:style>
  <w:style w:type="character" w:styleId="BookTitle">
    <w:name w:val="Book Title"/>
    <w:basedOn w:val="DefaultParagraphFont"/>
    <w:uiPriority w:val="33"/>
    <w:qFormat/>
    <w:rsid w:val="007C165F"/>
    <w:rPr>
      <w:b/>
      <w:bCs/>
      <w:i/>
      <w:iCs/>
      <w:spacing w:val="5"/>
    </w:rPr>
  </w:style>
  <w:style w:type="paragraph" w:styleId="TOCHeading">
    <w:name w:val="TOC Heading"/>
    <w:basedOn w:val="Heading1"/>
    <w:next w:val="Normal"/>
    <w:uiPriority w:val="39"/>
    <w:semiHidden/>
    <w:unhideWhenUsed/>
    <w:qFormat/>
    <w:rsid w:val="007C165F"/>
    <w:pPr>
      <w:tabs>
        <w:tab w:val="clear" w:pos="3345"/>
      </w:tabs>
      <w:spacing w:after="0" w:line="240" w:lineRule="auto"/>
      <w:outlineLvl w:val="9"/>
    </w:pPr>
    <w:rPr>
      <w:rFonts w:asciiTheme="majorHAnsi" w:hAnsiTheme="majorHAnsi"/>
      <w:b w:val="0"/>
      <w:color w:val="365F91" w:themeColor="accent1" w:themeShade="BF"/>
      <w:sz w:val="32"/>
      <w:szCs w:val="32"/>
    </w:rPr>
  </w:style>
  <w:style w:type="character" w:customStyle="1" w:styleId="FooterChar">
    <w:name w:val="Footer Char"/>
    <w:basedOn w:val="DefaultParagraphFont"/>
    <w:link w:val="Footer"/>
    <w:uiPriority w:val="99"/>
    <w:rsid w:val="001B6B06"/>
  </w:style>
  <w:style w:type="character" w:styleId="CommentReference">
    <w:name w:val="annotation reference"/>
    <w:basedOn w:val="DefaultParagraphFont"/>
    <w:semiHidden/>
    <w:unhideWhenUsed/>
    <w:rsid w:val="00D63F04"/>
    <w:rPr>
      <w:sz w:val="16"/>
      <w:szCs w:val="16"/>
    </w:rPr>
  </w:style>
  <w:style w:type="paragraph" w:styleId="CommentText">
    <w:name w:val="annotation text"/>
    <w:basedOn w:val="Normal"/>
    <w:link w:val="CommentTextChar"/>
    <w:semiHidden/>
    <w:unhideWhenUsed/>
    <w:rsid w:val="00D63F04"/>
    <w:rPr>
      <w:sz w:val="20"/>
      <w:szCs w:val="20"/>
    </w:rPr>
  </w:style>
  <w:style w:type="character" w:customStyle="1" w:styleId="CommentTextChar">
    <w:name w:val="Comment Text Char"/>
    <w:basedOn w:val="DefaultParagraphFont"/>
    <w:link w:val="CommentText"/>
    <w:semiHidden/>
    <w:rsid w:val="00D63F04"/>
    <w:rPr>
      <w:sz w:val="20"/>
      <w:szCs w:val="20"/>
    </w:rPr>
  </w:style>
  <w:style w:type="paragraph" w:styleId="CommentSubject">
    <w:name w:val="annotation subject"/>
    <w:basedOn w:val="CommentText"/>
    <w:next w:val="CommentText"/>
    <w:link w:val="CommentSubjectChar"/>
    <w:semiHidden/>
    <w:unhideWhenUsed/>
    <w:rsid w:val="00D63F04"/>
    <w:rPr>
      <w:b/>
      <w:bCs/>
    </w:rPr>
  </w:style>
  <w:style w:type="character" w:customStyle="1" w:styleId="CommentSubjectChar">
    <w:name w:val="Comment Subject Char"/>
    <w:basedOn w:val="CommentTextChar"/>
    <w:link w:val="CommentSubject"/>
    <w:semiHidden/>
    <w:rsid w:val="00D63F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41572">
      <w:bodyDiv w:val="1"/>
      <w:marLeft w:val="60"/>
      <w:marRight w:val="60"/>
      <w:marTop w:val="60"/>
      <w:marBottom w:val="15"/>
      <w:divBdr>
        <w:top w:val="none" w:sz="0" w:space="0" w:color="auto"/>
        <w:left w:val="none" w:sz="0" w:space="0" w:color="auto"/>
        <w:bottom w:val="none" w:sz="0" w:space="0" w:color="auto"/>
        <w:right w:val="none" w:sz="0" w:space="0" w:color="auto"/>
      </w:divBdr>
      <w:divsChild>
        <w:div w:id="130952323">
          <w:marLeft w:val="0"/>
          <w:marRight w:val="0"/>
          <w:marTop w:val="0"/>
          <w:marBottom w:val="0"/>
          <w:divBdr>
            <w:top w:val="none" w:sz="0" w:space="0" w:color="auto"/>
            <w:left w:val="none" w:sz="0" w:space="0" w:color="auto"/>
            <w:bottom w:val="none" w:sz="0" w:space="0" w:color="auto"/>
            <w:right w:val="none" w:sz="0" w:space="0" w:color="auto"/>
          </w:divBdr>
        </w:div>
        <w:div w:id="135029660">
          <w:marLeft w:val="0"/>
          <w:marRight w:val="0"/>
          <w:marTop w:val="0"/>
          <w:marBottom w:val="0"/>
          <w:divBdr>
            <w:top w:val="none" w:sz="0" w:space="0" w:color="auto"/>
            <w:left w:val="none" w:sz="0" w:space="0" w:color="auto"/>
            <w:bottom w:val="none" w:sz="0" w:space="0" w:color="auto"/>
            <w:right w:val="none" w:sz="0" w:space="0" w:color="auto"/>
          </w:divBdr>
        </w:div>
        <w:div w:id="140199586">
          <w:marLeft w:val="0"/>
          <w:marRight w:val="0"/>
          <w:marTop w:val="0"/>
          <w:marBottom w:val="0"/>
          <w:divBdr>
            <w:top w:val="none" w:sz="0" w:space="0" w:color="auto"/>
            <w:left w:val="none" w:sz="0" w:space="0" w:color="auto"/>
            <w:bottom w:val="none" w:sz="0" w:space="0" w:color="auto"/>
            <w:right w:val="none" w:sz="0" w:space="0" w:color="auto"/>
          </w:divBdr>
        </w:div>
        <w:div w:id="165025019">
          <w:marLeft w:val="0"/>
          <w:marRight w:val="0"/>
          <w:marTop w:val="0"/>
          <w:marBottom w:val="0"/>
          <w:divBdr>
            <w:top w:val="none" w:sz="0" w:space="0" w:color="auto"/>
            <w:left w:val="none" w:sz="0" w:space="0" w:color="auto"/>
            <w:bottom w:val="none" w:sz="0" w:space="0" w:color="auto"/>
            <w:right w:val="none" w:sz="0" w:space="0" w:color="auto"/>
          </w:divBdr>
        </w:div>
        <w:div w:id="233275361">
          <w:marLeft w:val="0"/>
          <w:marRight w:val="0"/>
          <w:marTop w:val="0"/>
          <w:marBottom w:val="0"/>
          <w:divBdr>
            <w:top w:val="none" w:sz="0" w:space="0" w:color="auto"/>
            <w:left w:val="none" w:sz="0" w:space="0" w:color="auto"/>
            <w:bottom w:val="none" w:sz="0" w:space="0" w:color="auto"/>
            <w:right w:val="none" w:sz="0" w:space="0" w:color="auto"/>
          </w:divBdr>
        </w:div>
        <w:div w:id="236519906">
          <w:marLeft w:val="0"/>
          <w:marRight w:val="0"/>
          <w:marTop w:val="0"/>
          <w:marBottom w:val="0"/>
          <w:divBdr>
            <w:top w:val="none" w:sz="0" w:space="0" w:color="auto"/>
            <w:left w:val="none" w:sz="0" w:space="0" w:color="auto"/>
            <w:bottom w:val="none" w:sz="0" w:space="0" w:color="auto"/>
            <w:right w:val="none" w:sz="0" w:space="0" w:color="auto"/>
          </w:divBdr>
        </w:div>
        <w:div w:id="274560804">
          <w:marLeft w:val="0"/>
          <w:marRight w:val="0"/>
          <w:marTop w:val="0"/>
          <w:marBottom w:val="0"/>
          <w:divBdr>
            <w:top w:val="none" w:sz="0" w:space="0" w:color="auto"/>
            <w:left w:val="none" w:sz="0" w:space="0" w:color="auto"/>
            <w:bottom w:val="none" w:sz="0" w:space="0" w:color="auto"/>
            <w:right w:val="none" w:sz="0" w:space="0" w:color="auto"/>
          </w:divBdr>
        </w:div>
        <w:div w:id="331493830">
          <w:marLeft w:val="0"/>
          <w:marRight w:val="0"/>
          <w:marTop w:val="0"/>
          <w:marBottom w:val="0"/>
          <w:divBdr>
            <w:top w:val="none" w:sz="0" w:space="0" w:color="auto"/>
            <w:left w:val="none" w:sz="0" w:space="0" w:color="auto"/>
            <w:bottom w:val="none" w:sz="0" w:space="0" w:color="auto"/>
            <w:right w:val="none" w:sz="0" w:space="0" w:color="auto"/>
          </w:divBdr>
        </w:div>
        <w:div w:id="444538856">
          <w:marLeft w:val="0"/>
          <w:marRight w:val="0"/>
          <w:marTop w:val="0"/>
          <w:marBottom w:val="0"/>
          <w:divBdr>
            <w:top w:val="none" w:sz="0" w:space="0" w:color="auto"/>
            <w:left w:val="none" w:sz="0" w:space="0" w:color="auto"/>
            <w:bottom w:val="none" w:sz="0" w:space="0" w:color="auto"/>
            <w:right w:val="none" w:sz="0" w:space="0" w:color="auto"/>
          </w:divBdr>
        </w:div>
        <w:div w:id="513375455">
          <w:marLeft w:val="0"/>
          <w:marRight w:val="0"/>
          <w:marTop w:val="0"/>
          <w:marBottom w:val="0"/>
          <w:divBdr>
            <w:top w:val="none" w:sz="0" w:space="0" w:color="auto"/>
            <w:left w:val="none" w:sz="0" w:space="0" w:color="auto"/>
            <w:bottom w:val="none" w:sz="0" w:space="0" w:color="auto"/>
            <w:right w:val="none" w:sz="0" w:space="0" w:color="auto"/>
          </w:divBdr>
        </w:div>
        <w:div w:id="514464967">
          <w:marLeft w:val="0"/>
          <w:marRight w:val="0"/>
          <w:marTop w:val="0"/>
          <w:marBottom w:val="0"/>
          <w:divBdr>
            <w:top w:val="none" w:sz="0" w:space="0" w:color="auto"/>
            <w:left w:val="none" w:sz="0" w:space="0" w:color="auto"/>
            <w:bottom w:val="none" w:sz="0" w:space="0" w:color="auto"/>
            <w:right w:val="none" w:sz="0" w:space="0" w:color="auto"/>
          </w:divBdr>
        </w:div>
        <w:div w:id="522091692">
          <w:marLeft w:val="0"/>
          <w:marRight w:val="0"/>
          <w:marTop w:val="0"/>
          <w:marBottom w:val="0"/>
          <w:divBdr>
            <w:top w:val="none" w:sz="0" w:space="0" w:color="auto"/>
            <w:left w:val="none" w:sz="0" w:space="0" w:color="auto"/>
            <w:bottom w:val="none" w:sz="0" w:space="0" w:color="auto"/>
            <w:right w:val="none" w:sz="0" w:space="0" w:color="auto"/>
          </w:divBdr>
        </w:div>
        <w:div w:id="549847490">
          <w:marLeft w:val="0"/>
          <w:marRight w:val="0"/>
          <w:marTop w:val="0"/>
          <w:marBottom w:val="0"/>
          <w:divBdr>
            <w:top w:val="none" w:sz="0" w:space="0" w:color="auto"/>
            <w:left w:val="none" w:sz="0" w:space="0" w:color="auto"/>
            <w:bottom w:val="none" w:sz="0" w:space="0" w:color="auto"/>
            <w:right w:val="none" w:sz="0" w:space="0" w:color="auto"/>
          </w:divBdr>
        </w:div>
        <w:div w:id="571158826">
          <w:marLeft w:val="0"/>
          <w:marRight w:val="0"/>
          <w:marTop w:val="0"/>
          <w:marBottom w:val="0"/>
          <w:divBdr>
            <w:top w:val="none" w:sz="0" w:space="0" w:color="auto"/>
            <w:left w:val="none" w:sz="0" w:space="0" w:color="auto"/>
            <w:bottom w:val="none" w:sz="0" w:space="0" w:color="auto"/>
            <w:right w:val="none" w:sz="0" w:space="0" w:color="auto"/>
          </w:divBdr>
        </w:div>
        <w:div w:id="734858534">
          <w:marLeft w:val="0"/>
          <w:marRight w:val="0"/>
          <w:marTop w:val="0"/>
          <w:marBottom w:val="0"/>
          <w:divBdr>
            <w:top w:val="none" w:sz="0" w:space="0" w:color="auto"/>
            <w:left w:val="none" w:sz="0" w:space="0" w:color="auto"/>
            <w:bottom w:val="none" w:sz="0" w:space="0" w:color="auto"/>
            <w:right w:val="none" w:sz="0" w:space="0" w:color="auto"/>
          </w:divBdr>
        </w:div>
        <w:div w:id="852917297">
          <w:marLeft w:val="0"/>
          <w:marRight w:val="0"/>
          <w:marTop w:val="0"/>
          <w:marBottom w:val="0"/>
          <w:divBdr>
            <w:top w:val="none" w:sz="0" w:space="0" w:color="auto"/>
            <w:left w:val="none" w:sz="0" w:space="0" w:color="auto"/>
            <w:bottom w:val="none" w:sz="0" w:space="0" w:color="auto"/>
            <w:right w:val="none" w:sz="0" w:space="0" w:color="auto"/>
          </w:divBdr>
        </w:div>
        <w:div w:id="885220769">
          <w:marLeft w:val="0"/>
          <w:marRight w:val="0"/>
          <w:marTop w:val="0"/>
          <w:marBottom w:val="0"/>
          <w:divBdr>
            <w:top w:val="none" w:sz="0" w:space="0" w:color="auto"/>
            <w:left w:val="none" w:sz="0" w:space="0" w:color="auto"/>
            <w:bottom w:val="none" w:sz="0" w:space="0" w:color="auto"/>
            <w:right w:val="none" w:sz="0" w:space="0" w:color="auto"/>
          </w:divBdr>
        </w:div>
        <w:div w:id="921719138">
          <w:marLeft w:val="0"/>
          <w:marRight w:val="0"/>
          <w:marTop w:val="0"/>
          <w:marBottom w:val="0"/>
          <w:divBdr>
            <w:top w:val="none" w:sz="0" w:space="0" w:color="auto"/>
            <w:left w:val="none" w:sz="0" w:space="0" w:color="auto"/>
            <w:bottom w:val="none" w:sz="0" w:space="0" w:color="auto"/>
            <w:right w:val="none" w:sz="0" w:space="0" w:color="auto"/>
          </w:divBdr>
        </w:div>
        <w:div w:id="1124808185">
          <w:marLeft w:val="0"/>
          <w:marRight w:val="0"/>
          <w:marTop w:val="0"/>
          <w:marBottom w:val="0"/>
          <w:divBdr>
            <w:top w:val="none" w:sz="0" w:space="0" w:color="auto"/>
            <w:left w:val="none" w:sz="0" w:space="0" w:color="auto"/>
            <w:bottom w:val="none" w:sz="0" w:space="0" w:color="auto"/>
            <w:right w:val="none" w:sz="0" w:space="0" w:color="auto"/>
          </w:divBdr>
        </w:div>
        <w:div w:id="1298149345">
          <w:marLeft w:val="0"/>
          <w:marRight w:val="0"/>
          <w:marTop w:val="0"/>
          <w:marBottom w:val="0"/>
          <w:divBdr>
            <w:top w:val="none" w:sz="0" w:space="0" w:color="auto"/>
            <w:left w:val="none" w:sz="0" w:space="0" w:color="auto"/>
            <w:bottom w:val="none" w:sz="0" w:space="0" w:color="auto"/>
            <w:right w:val="none" w:sz="0" w:space="0" w:color="auto"/>
          </w:divBdr>
        </w:div>
        <w:div w:id="1319269194">
          <w:marLeft w:val="0"/>
          <w:marRight w:val="0"/>
          <w:marTop w:val="0"/>
          <w:marBottom w:val="0"/>
          <w:divBdr>
            <w:top w:val="none" w:sz="0" w:space="0" w:color="auto"/>
            <w:left w:val="none" w:sz="0" w:space="0" w:color="auto"/>
            <w:bottom w:val="none" w:sz="0" w:space="0" w:color="auto"/>
            <w:right w:val="none" w:sz="0" w:space="0" w:color="auto"/>
          </w:divBdr>
        </w:div>
        <w:div w:id="1368215720">
          <w:marLeft w:val="0"/>
          <w:marRight w:val="0"/>
          <w:marTop w:val="0"/>
          <w:marBottom w:val="0"/>
          <w:divBdr>
            <w:top w:val="none" w:sz="0" w:space="0" w:color="auto"/>
            <w:left w:val="none" w:sz="0" w:space="0" w:color="auto"/>
            <w:bottom w:val="none" w:sz="0" w:space="0" w:color="auto"/>
            <w:right w:val="none" w:sz="0" w:space="0" w:color="auto"/>
          </w:divBdr>
        </w:div>
        <w:div w:id="1411851049">
          <w:marLeft w:val="0"/>
          <w:marRight w:val="0"/>
          <w:marTop w:val="0"/>
          <w:marBottom w:val="0"/>
          <w:divBdr>
            <w:top w:val="none" w:sz="0" w:space="0" w:color="auto"/>
            <w:left w:val="none" w:sz="0" w:space="0" w:color="auto"/>
            <w:bottom w:val="none" w:sz="0" w:space="0" w:color="auto"/>
            <w:right w:val="none" w:sz="0" w:space="0" w:color="auto"/>
          </w:divBdr>
        </w:div>
        <w:div w:id="1519932120">
          <w:marLeft w:val="0"/>
          <w:marRight w:val="0"/>
          <w:marTop w:val="0"/>
          <w:marBottom w:val="0"/>
          <w:divBdr>
            <w:top w:val="none" w:sz="0" w:space="0" w:color="auto"/>
            <w:left w:val="none" w:sz="0" w:space="0" w:color="auto"/>
            <w:bottom w:val="none" w:sz="0" w:space="0" w:color="auto"/>
            <w:right w:val="none" w:sz="0" w:space="0" w:color="auto"/>
          </w:divBdr>
        </w:div>
        <w:div w:id="1557472255">
          <w:marLeft w:val="0"/>
          <w:marRight w:val="0"/>
          <w:marTop w:val="0"/>
          <w:marBottom w:val="0"/>
          <w:divBdr>
            <w:top w:val="none" w:sz="0" w:space="0" w:color="auto"/>
            <w:left w:val="none" w:sz="0" w:space="0" w:color="auto"/>
            <w:bottom w:val="none" w:sz="0" w:space="0" w:color="auto"/>
            <w:right w:val="none" w:sz="0" w:space="0" w:color="auto"/>
          </w:divBdr>
        </w:div>
        <w:div w:id="1582105048">
          <w:marLeft w:val="0"/>
          <w:marRight w:val="0"/>
          <w:marTop w:val="0"/>
          <w:marBottom w:val="0"/>
          <w:divBdr>
            <w:top w:val="none" w:sz="0" w:space="0" w:color="auto"/>
            <w:left w:val="none" w:sz="0" w:space="0" w:color="auto"/>
            <w:bottom w:val="none" w:sz="0" w:space="0" w:color="auto"/>
            <w:right w:val="none" w:sz="0" w:space="0" w:color="auto"/>
          </w:divBdr>
        </w:div>
        <w:div w:id="1710063345">
          <w:marLeft w:val="0"/>
          <w:marRight w:val="0"/>
          <w:marTop w:val="0"/>
          <w:marBottom w:val="0"/>
          <w:divBdr>
            <w:top w:val="none" w:sz="0" w:space="0" w:color="auto"/>
            <w:left w:val="none" w:sz="0" w:space="0" w:color="auto"/>
            <w:bottom w:val="none" w:sz="0" w:space="0" w:color="auto"/>
            <w:right w:val="none" w:sz="0" w:space="0" w:color="auto"/>
          </w:divBdr>
        </w:div>
        <w:div w:id="1752772614">
          <w:marLeft w:val="0"/>
          <w:marRight w:val="0"/>
          <w:marTop w:val="0"/>
          <w:marBottom w:val="0"/>
          <w:divBdr>
            <w:top w:val="none" w:sz="0" w:space="0" w:color="auto"/>
            <w:left w:val="none" w:sz="0" w:space="0" w:color="auto"/>
            <w:bottom w:val="none" w:sz="0" w:space="0" w:color="auto"/>
            <w:right w:val="none" w:sz="0" w:space="0" w:color="auto"/>
          </w:divBdr>
        </w:div>
        <w:div w:id="1813214408">
          <w:marLeft w:val="0"/>
          <w:marRight w:val="0"/>
          <w:marTop w:val="0"/>
          <w:marBottom w:val="0"/>
          <w:divBdr>
            <w:top w:val="none" w:sz="0" w:space="0" w:color="auto"/>
            <w:left w:val="none" w:sz="0" w:space="0" w:color="auto"/>
            <w:bottom w:val="none" w:sz="0" w:space="0" w:color="auto"/>
            <w:right w:val="none" w:sz="0" w:space="0" w:color="auto"/>
          </w:divBdr>
        </w:div>
        <w:div w:id="1819223066">
          <w:marLeft w:val="0"/>
          <w:marRight w:val="0"/>
          <w:marTop w:val="0"/>
          <w:marBottom w:val="0"/>
          <w:divBdr>
            <w:top w:val="none" w:sz="0" w:space="0" w:color="auto"/>
            <w:left w:val="none" w:sz="0" w:space="0" w:color="auto"/>
            <w:bottom w:val="none" w:sz="0" w:space="0" w:color="auto"/>
            <w:right w:val="none" w:sz="0" w:space="0" w:color="auto"/>
          </w:divBdr>
        </w:div>
        <w:div w:id="1850943744">
          <w:marLeft w:val="0"/>
          <w:marRight w:val="0"/>
          <w:marTop w:val="0"/>
          <w:marBottom w:val="0"/>
          <w:divBdr>
            <w:top w:val="none" w:sz="0" w:space="0" w:color="auto"/>
            <w:left w:val="none" w:sz="0" w:space="0" w:color="auto"/>
            <w:bottom w:val="none" w:sz="0" w:space="0" w:color="auto"/>
            <w:right w:val="none" w:sz="0" w:space="0" w:color="auto"/>
          </w:divBdr>
        </w:div>
        <w:div w:id="1886482137">
          <w:marLeft w:val="0"/>
          <w:marRight w:val="0"/>
          <w:marTop w:val="0"/>
          <w:marBottom w:val="0"/>
          <w:divBdr>
            <w:top w:val="none" w:sz="0" w:space="0" w:color="auto"/>
            <w:left w:val="none" w:sz="0" w:space="0" w:color="auto"/>
            <w:bottom w:val="none" w:sz="0" w:space="0" w:color="auto"/>
            <w:right w:val="none" w:sz="0" w:space="0" w:color="auto"/>
          </w:divBdr>
        </w:div>
        <w:div w:id="1978029152">
          <w:marLeft w:val="0"/>
          <w:marRight w:val="0"/>
          <w:marTop w:val="0"/>
          <w:marBottom w:val="0"/>
          <w:divBdr>
            <w:top w:val="none" w:sz="0" w:space="0" w:color="auto"/>
            <w:left w:val="none" w:sz="0" w:space="0" w:color="auto"/>
            <w:bottom w:val="none" w:sz="0" w:space="0" w:color="auto"/>
            <w:right w:val="none" w:sz="0" w:space="0" w:color="auto"/>
          </w:divBdr>
        </w:div>
        <w:div w:id="2045397593">
          <w:marLeft w:val="0"/>
          <w:marRight w:val="0"/>
          <w:marTop w:val="0"/>
          <w:marBottom w:val="0"/>
          <w:divBdr>
            <w:top w:val="none" w:sz="0" w:space="0" w:color="auto"/>
            <w:left w:val="none" w:sz="0" w:space="0" w:color="auto"/>
            <w:bottom w:val="none" w:sz="0" w:space="0" w:color="auto"/>
            <w:right w:val="none" w:sz="0" w:space="0" w:color="auto"/>
          </w:divBdr>
        </w:div>
      </w:divsChild>
    </w:div>
    <w:div w:id="148258125">
      <w:bodyDiv w:val="1"/>
      <w:marLeft w:val="0"/>
      <w:marRight w:val="0"/>
      <w:marTop w:val="0"/>
      <w:marBottom w:val="0"/>
      <w:divBdr>
        <w:top w:val="none" w:sz="0" w:space="0" w:color="auto"/>
        <w:left w:val="none" w:sz="0" w:space="0" w:color="auto"/>
        <w:bottom w:val="none" w:sz="0" w:space="0" w:color="auto"/>
        <w:right w:val="none" w:sz="0" w:space="0" w:color="auto"/>
      </w:divBdr>
    </w:div>
    <w:div w:id="507446586">
      <w:bodyDiv w:val="1"/>
      <w:marLeft w:val="0"/>
      <w:marRight w:val="0"/>
      <w:marTop w:val="0"/>
      <w:marBottom w:val="0"/>
      <w:divBdr>
        <w:top w:val="none" w:sz="0" w:space="0" w:color="auto"/>
        <w:left w:val="none" w:sz="0" w:space="0" w:color="auto"/>
        <w:bottom w:val="none" w:sz="0" w:space="0" w:color="auto"/>
        <w:right w:val="none" w:sz="0" w:space="0" w:color="auto"/>
      </w:divBdr>
    </w:div>
    <w:div w:id="556091595">
      <w:bodyDiv w:val="1"/>
      <w:marLeft w:val="0"/>
      <w:marRight w:val="0"/>
      <w:marTop w:val="0"/>
      <w:marBottom w:val="0"/>
      <w:divBdr>
        <w:top w:val="none" w:sz="0" w:space="0" w:color="auto"/>
        <w:left w:val="none" w:sz="0" w:space="0" w:color="auto"/>
        <w:bottom w:val="none" w:sz="0" w:space="0" w:color="auto"/>
        <w:right w:val="none" w:sz="0" w:space="0" w:color="auto"/>
      </w:divBdr>
    </w:div>
    <w:div w:id="569192947">
      <w:bodyDiv w:val="1"/>
      <w:marLeft w:val="0"/>
      <w:marRight w:val="0"/>
      <w:marTop w:val="0"/>
      <w:marBottom w:val="0"/>
      <w:divBdr>
        <w:top w:val="none" w:sz="0" w:space="0" w:color="auto"/>
        <w:left w:val="none" w:sz="0" w:space="0" w:color="auto"/>
        <w:bottom w:val="none" w:sz="0" w:space="0" w:color="auto"/>
        <w:right w:val="none" w:sz="0" w:space="0" w:color="auto"/>
      </w:divBdr>
    </w:div>
    <w:div w:id="617833075">
      <w:bodyDiv w:val="1"/>
      <w:marLeft w:val="0"/>
      <w:marRight w:val="0"/>
      <w:marTop w:val="0"/>
      <w:marBottom w:val="0"/>
      <w:divBdr>
        <w:top w:val="none" w:sz="0" w:space="0" w:color="auto"/>
        <w:left w:val="none" w:sz="0" w:space="0" w:color="auto"/>
        <w:bottom w:val="none" w:sz="0" w:space="0" w:color="auto"/>
        <w:right w:val="none" w:sz="0" w:space="0" w:color="auto"/>
      </w:divBdr>
    </w:div>
    <w:div w:id="799149858">
      <w:bodyDiv w:val="1"/>
      <w:marLeft w:val="0"/>
      <w:marRight w:val="0"/>
      <w:marTop w:val="0"/>
      <w:marBottom w:val="0"/>
      <w:divBdr>
        <w:top w:val="none" w:sz="0" w:space="0" w:color="auto"/>
        <w:left w:val="none" w:sz="0" w:space="0" w:color="auto"/>
        <w:bottom w:val="none" w:sz="0" w:space="0" w:color="auto"/>
        <w:right w:val="none" w:sz="0" w:space="0" w:color="auto"/>
      </w:divBdr>
    </w:div>
    <w:div w:id="846596447">
      <w:bodyDiv w:val="1"/>
      <w:marLeft w:val="0"/>
      <w:marRight w:val="0"/>
      <w:marTop w:val="0"/>
      <w:marBottom w:val="0"/>
      <w:divBdr>
        <w:top w:val="none" w:sz="0" w:space="0" w:color="auto"/>
        <w:left w:val="none" w:sz="0" w:space="0" w:color="auto"/>
        <w:bottom w:val="none" w:sz="0" w:space="0" w:color="auto"/>
        <w:right w:val="none" w:sz="0" w:space="0" w:color="auto"/>
      </w:divBdr>
    </w:div>
    <w:div w:id="1491678343">
      <w:bodyDiv w:val="1"/>
      <w:marLeft w:val="60"/>
      <w:marRight w:val="60"/>
      <w:marTop w:val="60"/>
      <w:marBottom w:val="15"/>
      <w:divBdr>
        <w:top w:val="none" w:sz="0" w:space="0" w:color="auto"/>
        <w:left w:val="none" w:sz="0" w:space="0" w:color="auto"/>
        <w:bottom w:val="none" w:sz="0" w:space="0" w:color="auto"/>
        <w:right w:val="none" w:sz="0" w:space="0" w:color="auto"/>
      </w:divBdr>
      <w:divsChild>
        <w:div w:id="6180454">
          <w:marLeft w:val="0"/>
          <w:marRight w:val="0"/>
          <w:marTop w:val="0"/>
          <w:marBottom w:val="0"/>
          <w:divBdr>
            <w:top w:val="none" w:sz="0" w:space="0" w:color="auto"/>
            <w:left w:val="none" w:sz="0" w:space="0" w:color="auto"/>
            <w:bottom w:val="none" w:sz="0" w:space="0" w:color="auto"/>
            <w:right w:val="none" w:sz="0" w:space="0" w:color="auto"/>
          </w:divBdr>
        </w:div>
        <w:div w:id="48652241">
          <w:marLeft w:val="0"/>
          <w:marRight w:val="0"/>
          <w:marTop w:val="0"/>
          <w:marBottom w:val="0"/>
          <w:divBdr>
            <w:top w:val="none" w:sz="0" w:space="0" w:color="auto"/>
            <w:left w:val="none" w:sz="0" w:space="0" w:color="auto"/>
            <w:bottom w:val="none" w:sz="0" w:space="0" w:color="auto"/>
            <w:right w:val="none" w:sz="0" w:space="0" w:color="auto"/>
          </w:divBdr>
        </w:div>
        <w:div w:id="75983683">
          <w:marLeft w:val="0"/>
          <w:marRight w:val="0"/>
          <w:marTop w:val="0"/>
          <w:marBottom w:val="0"/>
          <w:divBdr>
            <w:top w:val="none" w:sz="0" w:space="0" w:color="auto"/>
            <w:left w:val="none" w:sz="0" w:space="0" w:color="auto"/>
            <w:bottom w:val="none" w:sz="0" w:space="0" w:color="auto"/>
            <w:right w:val="none" w:sz="0" w:space="0" w:color="auto"/>
          </w:divBdr>
        </w:div>
        <w:div w:id="264308144">
          <w:marLeft w:val="0"/>
          <w:marRight w:val="0"/>
          <w:marTop w:val="0"/>
          <w:marBottom w:val="0"/>
          <w:divBdr>
            <w:top w:val="none" w:sz="0" w:space="0" w:color="auto"/>
            <w:left w:val="none" w:sz="0" w:space="0" w:color="auto"/>
            <w:bottom w:val="none" w:sz="0" w:space="0" w:color="auto"/>
            <w:right w:val="none" w:sz="0" w:space="0" w:color="auto"/>
          </w:divBdr>
        </w:div>
        <w:div w:id="320622269">
          <w:marLeft w:val="0"/>
          <w:marRight w:val="0"/>
          <w:marTop w:val="0"/>
          <w:marBottom w:val="0"/>
          <w:divBdr>
            <w:top w:val="none" w:sz="0" w:space="0" w:color="auto"/>
            <w:left w:val="none" w:sz="0" w:space="0" w:color="auto"/>
            <w:bottom w:val="none" w:sz="0" w:space="0" w:color="auto"/>
            <w:right w:val="none" w:sz="0" w:space="0" w:color="auto"/>
          </w:divBdr>
        </w:div>
        <w:div w:id="379676130">
          <w:marLeft w:val="0"/>
          <w:marRight w:val="0"/>
          <w:marTop w:val="0"/>
          <w:marBottom w:val="0"/>
          <w:divBdr>
            <w:top w:val="none" w:sz="0" w:space="0" w:color="auto"/>
            <w:left w:val="none" w:sz="0" w:space="0" w:color="auto"/>
            <w:bottom w:val="none" w:sz="0" w:space="0" w:color="auto"/>
            <w:right w:val="none" w:sz="0" w:space="0" w:color="auto"/>
          </w:divBdr>
        </w:div>
        <w:div w:id="433013661">
          <w:marLeft w:val="0"/>
          <w:marRight w:val="0"/>
          <w:marTop w:val="0"/>
          <w:marBottom w:val="0"/>
          <w:divBdr>
            <w:top w:val="none" w:sz="0" w:space="0" w:color="auto"/>
            <w:left w:val="none" w:sz="0" w:space="0" w:color="auto"/>
            <w:bottom w:val="none" w:sz="0" w:space="0" w:color="auto"/>
            <w:right w:val="none" w:sz="0" w:space="0" w:color="auto"/>
          </w:divBdr>
        </w:div>
        <w:div w:id="491798577">
          <w:marLeft w:val="0"/>
          <w:marRight w:val="0"/>
          <w:marTop w:val="0"/>
          <w:marBottom w:val="0"/>
          <w:divBdr>
            <w:top w:val="none" w:sz="0" w:space="0" w:color="auto"/>
            <w:left w:val="none" w:sz="0" w:space="0" w:color="auto"/>
            <w:bottom w:val="none" w:sz="0" w:space="0" w:color="auto"/>
            <w:right w:val="none" w:sz="0" w:space="0" w:color="auto"/>
          </w:divBdr>
        </w:div>
        <w:div w:id="533082959">
          <w:marLeft w:val="0"/>
          <w:marRight w:val="0"/>
          <w:marTop w:val="0"/>
          <w:marBottom w:val="0"/>
          <w:divBdr>
            <w:top w:val="none" w:sz="0" w:space="0" w:color="auto"/>
            <w:left w:val="none" w:sz="0" w:space="0" w:color="auto"/>
            <w:bottom w:val="none" w:sz="0" w:space="0" w:color="auto"/>
            <w:right w:val="none" w:sz="0" w:space="0" w:color="auto"/>
          </w:divBdr>
        </w:div>
        <w:div w:id="549615924">
          <w:marLeft w:val="0"/>
          <w:marRight w:val="0"/>
          <w:marTop w:val="0"/>
          <w:marBottom w:val="0"/>
          <w:divBdr>
            <w:top w:val="none" w:sz="0" w:space="0" w:color="auto"/>
            <w:left w:val="none" w:sz="0" w:space="0" w:color="auto"/>
            <w:bottom w:val="none" w:sz="0" w:space="0" w:color="auto"/>
            <w:right w:val="none" w:sz="0" w:space="0" w:color="auto"/>
          </w:divBdr>
        </w:div>
        <w:div w:id="693576273">
          <w:marLeft w:val="0"/>
          <w:marRight w:val="0"/>
          <w:marTop w:val="0"/>
          <w:marBottom w:val="0"/>
          <w:divBdr>
            <w:top w:val="none" w:sz="0" w:space="0" w:color="auto"/>
            <w:left w:val="none" w:sz="0" w:space="0" w:color="auto"/>
            <w:bottom w:val="none" w:sz="0" w:space="0" w:color="auto"/>
            <w:right w:val="none" w:sz="0" w:space="0" w:color="auto"/>
          </w:divBdr>
        </w:div>
        <w:div w:id="733507878">
          <w:marLeft w:val="0"/>
          <w:marRight w:val="0"/>
          <w:marTop w:val="0"/>
          <w:marBottom w:val="0"/>
          <w:divBdr>
            <w:top w:val="none" w:sz="0" w:space="0" w:color="auto"/>
            <w:left w:val="none" w:sz="0" w:space="0" w:color="auto"/>
            <w:bottom w:val="none" w:sz="0" w:space="0" w:color="auto"/>
            <w:right w:val="none" w:sz="0" w:space="0" w:color="auto"/>
          </w:divBdr>
        </w:div>
        <w:div w:id="738329561">
          <w:marLeft w:val="0"/>
          <w:marRight w:val="0"/>
          <w:marTop w:val="0"/>
          <w:marBottom w:val="0"/>
          <w:divBdr>
            <w:top w:val="none" w:sz="0" w:space="0" w:color="auto"/>
            <w:left w:val="none" w:sz="0" w:space="0" w:color="auto"/>
            <w:bottom w:val="none" w:sz="0" w:space="0" w:color="auto"/>
            <w:right w:val="none" w:sz="0" w:space="0" w:color="auto"/>
          </w:divBdr>
        </w:div>
        <w:div w:id="766539687">
          <w:marLeft w:val="0"/>
          <w:marRight w:val="0"/>
          <w:marTop w:val="0"/>
          <w:marBottom w:val="0"/>
          <w:divBdr>
            <w:top w:val="none" w:sz="0" w:space="0" w:color="auto"/>
            <w:left w:val="none" w:sz="0" w:space="0" w:color="auto"/>
            <w:bottom w:val="none" w:sz="0" w:space="0" w:color="auto"/>
            <w:right w:val="none" w:sz="0" w:space="0" w:color="auto"/>
          </w:divBdr>
        </w:div>
        <w:div w:id="814761948">
          <w:marLeft w:val="0"/>
          <w:marRight w:val="0"/>
          <w:marTop w:val="0"/>
          <w:marBottom w:val="0"/>
          <w:divBdr>
            <w:top w:val="none" w:sz="0" w:space="0" w:color="auto"/>
            <w:left w:val="none" w:sz="0" w:space="0" w:color="auto"/>
            <w:bottom w:val="none" w:sz="0" w:space="0" w:color="auto"/>
            <w:right w:val="none" w:sz="0" w:space="0" w:color="auto"/>
          </w:divBdr>
        </w:div>
        <w:div w:id="897323485">
          <w:marLeft w:val="0"/>
          <w:marRight w:val="0"/>
          <w:marTop w:val="0"/>
          <w:marBottom w:val="0"/>
          <w:divBdr>
            <w:top w:val="none" w:sz="0" w:space="0" w:color="auto"/>
            <w:left w:val="none" w:sz="0" w:space="0" w:color="auto"/>
            <w:bottom w:val="none" w:sz="0" w:space="0" w:color="auto"/>
            <w:right w:val="none" w:sz="0" w:space="0" w:color="auto"/>
          </w:divBdr>
        </w:div>
        <w:div w:id="956451479">
          <w:marLeft w:val="0"/>
          <w:marRight w:val="0"/>
          <w:marTop w:val="0"/>
          <w:marBottom w:val="0"/>
          <w:divBdr>
            <w:top w:val="none" w:sz="0" w:space="0" w:color="auto"/>
            <w:left w:val="none" w:sz="0" w:space="0" w:color="auto"/>
            <w:bottom w:val="none" w:sz="0" w:space="0" w:color="auto"/>
            <w:right w:val="none" w:sz="0" w:space="0" w:color="auto"/>
          </w:divBdr>
        </w:div>
        <w:div w:id="1027292865">
          <w:marLeft w:val="0"/>
          <w:marRight w:val="0"/>
          <w:marTop w:val="0"/>
          <w:marBottom w:val="0"/>
          <w:divBdr>
            <w:top w:val="none" w:sz="0" w:space="0" w:color="auto"/>
            <w:left w:val="none" w:sz="0" w:space="0" w:color="auto"/>
            <w:bottom w:val="none" w:sz="0" w:space="0" w:color="auto"/>
            <w:right w:val="none" w:sz="0" w:space="0" w:color="auto"/>
          </w:divBdr>
        </w:div>
        <w:div w:id="1049381007">
          <w:marLeft w:val="0"/>
          <w:marRight w:val="0"/>
          <w:marTop w:val="0"/>
          <w:marBottom w:val="0"/>
          <w:divBdr>
            <w:top w:val="none" w:sz="0" w:space="0" w:color="auto"/>
            <w:left w:val="none" w:sz="0" w:space="0" w:color="auto"/>
            <w:bottom w:val="none" w:sz="0" w:space="0" w:color="auto"/>
            <w:right w:val="none" w:sz="0" w:space="0" w:color="auto"/>
          </w:divBdr>
        </w:div>
        <w:div w:id="1226143700">
          <w:marLeft w:val="0"/>
          <w:marRight w:val="0"/>
          <w:marTop w:val="0"/>
          <w:marBottom w:val="0"/>
          <w:divBdr>
            <w:top w:val="none" w:sz="0" w:space="0" w:color="auto"/>
            <w:left w:val="none" w:sz="0" w:space="0" w:color="auto"/>
            <w:bottom w:val="none" w:sz="0" w:space="0" w:color="auto"/>
            <w:right w:val="none" w:sz="0" w:space="0" w:color="auto"/>
          </w:divBdr>
        </w:div>
        <w:div w:id="1273366763">
          <w:marLeft w:val="0"/>
          <w:marRight w:val="0"/>
          <w:marTop w:val="0"/>
          <w:marBottom w:val="0"/>
          <w:divBdr>
            <w:top w:val="none" w:sz="0" w:space="0" w:color="auto"/>
            <w:left w:val="none" w:sz="0" w:space="0" w:color="auto"/>
            <w:bottom w:val="none" w:sz="0" w:space="0" w:color="auto"/>
            <w:right w:val="none" w:sz="0" w:space="0" w:color="auto"/>
          </w:divBdr>
        </w:div>
        <w:div w:id="1293752070">
          <w:marLeft w:val="0"/>
          <w:marRight w:val="0"/>
          <w:marTop w:val="0"/>
          <w:marBottom w:val="0"/>
          <w:divBdr>
            <w:top w:val="none" w:sz="0" w:space="0" w:color="auto"/>
            <w:left w:val="none" w:sz="0" w:space="0" w:color="auto"/>
            <w:bottom w:val="none" w:sz="0" w:space="0" w:color="auto"/>
            <w:right w:val="none" w:sz="0" w:space="0" w:color="auto"/>
          </w:divBdr>
        </w:div>
        <w:div w:id="1295713079">
          <w:marLeft w:val="0"/>
          <w:marRight w:val="0"/>
          <w:marTop w:val="0"/>
          <w:marBottom w:val="0"/>
          <w:divBdr>
            <w:top w:val="none" w:sz="0" w:space="0" w:color="auto"/>
            <w:left w:val="none" w:sz="0" w:space="0" w:color="auto"/>
            <w:bottom w:val="none" w:sz="0" w:space="0" w:color="auto"/>
            <w:right w:val="none" w:sz="0" w:space="0" w:color="auto"/>
          </w:divBdr>
        </w:div>
        <w:div w:id="1302806349">
          <w:marLeft w:val="0"/>
          <w:marRight w:val="0"/>
          <w:marTop w:val="0"/>
          <w:marBottom w:val="0"/>
          <w:divBdr>
            <w:top w:val="none" w:sz="0" w:space="0" w:color="auto"/>
            <w:left w:val="none" w:sz="0" w:space="0" w:color="auto"/>
            <w:bottom w:val="none" w:sz="0" w:space="0" w:color="auto"/>
            <w:right w:val="none" w:sz="0" w:space="0" w:color="auto"/>
          </w:divBdr>
        </w:div>
        <w:div w:id="1509902587">
          <w:marLeft w:val="0"/>
          <w:marRight w:val="0"/>
          <w:marTop w:val="0"/>
          <w:marBottom w:val="0"/>
          <w:divBdr>
            <w:top w:val="none" w:sz="0" w:space="0" w:color="auto"/>
            <w:left w:val="none" w:sz="0" w:space="0" w:color="auto"/>
            <w:bottom w:val="none" w:sz="0" w:space="0" w:color="auto"/>
            <w:right w:val="none" w:sz="0" w:space="0" w:color="auto"/>
          </w:divBdr>
        </w:div>
        <w:div w:id="1553730171">
          <w:marLeft w:val="0"/>
          <w:marRight w:val="0"/>
          <w:marTop w:val="0"/>
          <w:marBottom w:val="0"/>
          <w:divBdr>
            <w:top w:val="none" w:sz="0" w:space="0" w:color="auto"/>
            <w:left w:val="none" w:sz="0" w:space="0" w:color="auto"/>
            <w:bottom w:val="none" w:sz="0" w:space="0" w:color="auto"/>
            <w:right w:val="none" w:sz="0" w:space="0" w:color="auto"/>
          </w:divBdr>
        </w:div>
        <w:div w:id="1627736823">
          <w:marLeft w:val="0"/>
          <w:marRight w:val="0"/>
          <w:marTop w:val="0"/>
          <w:marBottom w:val="0"/>
          <w:divBdr>
            <w:top w:val="none" w:sz="0" w:space="0" w:color="auto"/>
            <w:left w:val="none" w:sz="0" w:space="0" w:color="auto"/>
            <w:bottom w:val="none" w:sz="0" w:space="0" w:color="auto"/>
            <w:right w:val="none" w:sz="0" w:space="0" w:color="auto"/>
          </w:divBdr>
        </w:div>
        <w:div w:id="1653365614">
          <w:marLeft w:val="0"/>
          <w:marRight w:val="0"/>
          <w:marTop w:val="0"/>
          <w:marBottom w:val="0"/>
          <w:divBdr>
            <w:top w:val="none" w:sz="0" w:space="0" w:color="auto"/>
            <w:left w:val="none" w:sz="0" w:space="0" w:color="auto"/>
            <w:bottom w:val="none" w:sz="0" w:space="0" w:color="auto"/>
            <w:right w:val="none" w:sz="0" w:space="0" w:color="auto"/>
          </w:divBdr>
        </w:div>
        <w:div w:id="1741712463">
          <w:marLeft w:val="0"/>
          <w:marRight w:val="0"/>
          <w:marTop w:val="0"/>
          <w:marBottom w:val="0"/>
          <w:divBdr>
            <w:top w:val="none" w:sz="0" w:space="0" w:color="auto"/>
            <w:left w:val="none" w:sz="0" w:space="0" w:color="auto"/>
            <w:bottom w:val="none" w:sz="0" w:space="0" w:color="auto"/>
            <w:right w:val="none" w:sz="0" w:space="0" w:color="auto"/>
          </w:divBdr>
        </w:div>
        <w:div w:id="1887374909">
          <w:marLeft w:val="0"/>
          <w:marRight w:val="0"/>
          <w:marTop w:val="0"/>
          <w:marBottom w:val="0"/>
          <w:divBdr>
            <w:top w:val="none" w:sz="0" w:space="0" w:color="auto"/>
            <w:left w:val="none" w:sz="0" w:space="0" w:color="auto"/>
            <w:bottom w:val="none" w:sz="0" w:space="0" w:color="auto"/>
            <w:right w:val="none" w:sz="0" w:space="0" w:color="auto"/>
          </w:divBdr>
        </w:div>
        <w:div w:id="1951157452">
          <w:marLeft w:val="0"/>
          <w:marRight w:val="0"/>
          <w:marTop w:val="0"/>
          <w:marBottom w:val="0"/>
          <w:divBdr>
            <w:top w:val="none" w:sz="0" w:space="0" w:color="auto"/>
            <w:left w:val="none" w:sz="0" w:space="0" w:color="auto"/>
            <w:bottom w:val="none" w:sz="0" w:space="0" w:color="auto"/>
            <w:right w:val="none" w:sz="0" w:space="0" w:color="auto"/>
          </w:divBdr>
        </w:div>
        <w:div w:id="2075657967">
          <w:marLeft w:val="0"/>
          <w:marRight w:val="0"/>
          <w:marTop w:val="0"/>
          <w:marBottom w:val="0"/>
          <w:divBdr>
            <w:top w:val="none" w:sz="0" w:space="0" w:color="auto"/>
            <w:left w:val="none" w:sz="0" w:space="0" w:color="auto"/>
            <w:bottom w:val="none" w:sz="0" w:space="0" w:color="auto"/>
            <w:right w:val="none" w:sz="0" w:space="0" w:color="auto"/>
          </w:divBdr>
        </w:div>
        <w:div w:id="2090153335">
          <w:marLeft w:val="0"/>
          <w:marRight w:val="0"/>
          <w:marTop w:val="0"/>
          <w:marBottom w:val="0"/>
          <w:divBdr>
            <w:top w:val="none" w:sz="0" w:space="0" w:color="auto"/>
            <w:left w:val="none" w:sz="0" w:space="0" w:color="auto"/>
            <w:bottom w:val="none" w:sz="0" w:space="0" w:color="auto"/>
            <w:right w:val="none" w:sz="0" w:space="0" w:color="auto"/>
          </w:divBdr>
        </w:div>
        <w:div w:id="2134706714">
          <w:marLeft w:val="0"/>
          <w:marRight w:val="0"/>
          <w:marTop w:val="0"/>
          <w:marBottom w:val="0"/>
          <w:divBdr>
            <w:top w:val="none" w:sz="0" w:space="0" w:color="auto"/>
            <w:left w:val="none" w:sz="0" w:space="0" w:color="auto"/>
            <w:bottom w:val="none" w:sz="0" w:space="0" w:color="auto"/>
            <w:right w:val="none" w:sz="0" w:space="0" w:color="auto"/>
          </w:divBdr>
        </w:div>
      </w:divsChild>
    </w:div>
    <w:div w:id="1580869024">
      <w:bodyDiv w:val="1"/>
      <w:marLeft w:val="0"/>
      <w:marRight w:val="0"/>
      <w:marTop w:val="0"/>
      <w:marBottom w:val="0"/>
      <w:divBdr>
        <w:top w:val="none" w:sz="0" w:space="0" w:color="auto"/>
        <w:left w:val="none" w:sz="0" w:space="0" w:color="auto"/>
        <w:bottom w:val="none" w:sz="0" w:space="0" w:color="auto"/>
        <w:right w:val="none" w:sz="0" w:space="0" w:color="auto"/>
      </w:divBdr>
    </w:div>
    <w:div w:id="1581252783">
      <w:bodyDiv w:val="1"/>
      <w:marLeft w:val="0"/>
      <w:marRight w:val="0"/>
      <w:marTop w:val="0"/>
      <w:marBottom w:val="0"/>
      <w:divBdr>
        <w:top w:val="none" w:sz="0" w:space="0" w:color="auto"/>
        <w:left w:val="none" w:sz="0" w:space="0" w:color="auto"/>
        <w:bottom w:val="none" w:sz="0" w:space="0" w:color="auto"/>
        <w:right w:val="none" w:sz="0" w:space="0" w:color="auto"/>
      </w:divBdr>
    </w:div>
    <w:div w:id="1588879076">
      <w:bodyDiv w:val="1"/>
      <w:marLeft w:val="0"/>
      <w:marRight w:val="0"/>
      <w:marTop w:val="0"/>
      <w:marBottom w:val="0"/>
      <w:divBdr>
        <w:top w:val="none" w:sz="0" w:space="0" w:color="auto"/>
        <w:left w:val="none" w:sz="0" w:space="0" w:color="auto"/>
        <w:bottom w:val="none" w:sz="0" w:space="0" w:color="auto"/>
        <w:right w:val="none" w:sz="0" w:space="0" w:color="auto"/>
      </w:divBdr>
    </w:div>
    <w:div w:id="1724938557">
      <w:bodyDiv w:val="1"/>
      <w:marLeft w:val="0"/>
      <w:marRight w:val="0"/>
      <w:marTop w:val="0"/>
      <w:marBottom w:val="0"/>
      <w:divBdr>
        <w:top w:val="none" w:sz="0" w:space="0" w:color="auto"/>
        <w:left w:val="none" w:sz="0" w:space="0" w:color="auto"/>
        <w:bottom w:val="none" w:sz="0" w:space="0" w:color="auto"/>
        <w:right w:val="none" w:sz="0" w:space="0" w:color="auto"/>
      </w:divBdr>
    </w:div>
    <w:div w:id="1728409520">
      <w:bodyDiv w:val="1"/>
      <w:marLeft w:val="0"/>
      <w:marRight w:val="0"/>
      <w:marTop w:val="0"/>
      <w:marBottom w:val="0"/>
      <w:divBdr>
        <w:top w:val="none" w:sz="0" w:space="0" w:color="auto"/>
        <w:left w:val="none" w:sz="0" w:space="0" w:color="auto"/>
        <w:bottom w:val="none" w:sz="0" w:space="0" w:color="auto"/>
        <w:right w:val="none" w:sz="0" w:space="0" w:color="auto"/>
      </w:divBdr>
    </w:div>
    <w:div w:id="198142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hyperlink" Target="http://mn.gov/deed/data/export-sta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0.23689450277048701"/>
          <c:y val="0.14541575561481782"/>
          <c:w val="0.60311787949583218"/>
          <c:h val="0.77849258204426564"/>
        </c:manualLayout>
      </c:layout>
      <c:pieChart>
        <c:varyColors val="1"/>
        <c:ser>
          <c:idx val="0"/>
          <c:order val="0"/>
          <c:tx>
            <c:strRef>
              <c:f>Sheet1!$B$1</c:f>
              <c:strCache>
                <c:ptCount val="1"/>
                <c:pt idx="0">
                  <c:v>MN 2025-Q1</c:v>
                </c:pt>
              </c:strCache>
            </c:strRef>
          </c:tx>
          <c:spPr>
            <a:ln w="9525">
              <a:solidFill>
                <a:schemeClr val="tx1">
                  <a:lumMod val="65000"/>
                  <a:lumOff val="35000"/>
                </a:schemeClr>
              </a:solidFill>
            </a:ln>
          </c:spPr>
          <c:dPt>
            <c:idx val="0"/>
            <c:bubble3D val="0"/>
            <c:spPr>
              <a:solidFill>
                <a:srgbClr val="003865"/>
              </a:solidFill>
              <a:ln w="9525">
                <a:solidFill>
                  <a:schemeClr val="tx1">
                    <a:lumMod val="65000"/>
                    <a:lumOff val="35000"/>
                  </a:schemeClr>
                </a:solidFill>
              </a:ln>
              <a:effectLst/>
            </c:spPr>
            <c:extLst>
              <c:ext xmlns:c16="http://schemas.microsoft.com/office/drawing/2014/chart" uri="{C3380CC4-5D6E-409C-BE32-E72D297353CC}">
                <c16:uniqueId val="{00000001-EE41-426A-8C08-348CFBE666E1}"/>
              </c:ext>
            </c:extLst>
          </c:dPt>
          <c:dPt>
            <c:idx val="1"/>
            <c:bubble3D val="0"/>
            <c:spPr>
              <a:solidFill>
                <a:srgbClr val="78BE21"/>
              </a:solidFill>
              <a:ln w="9525">
                <a:solidFill>
                  <a:schemeClr val="tx1">
                    <a:lumMod val="65000"/>
                    <a:lumOff val="35000"/>
                  </a:schemeClr>
                </a:solidFill>
              </a:ln>
              <a:effectLst/>
            </c:spPr>
            <c:extLst>
              <c:ext xmlns:c16="http://schemas.microsoft.com/office/drawing/2014/chart" uri="{C3380CC4-5D6E-409C-BE32-E72D297353CC}">
                <c16:uniqueId val="{00000003-EE41-426A-8C08-348CFBE666E1}"/>
              </c:ext>
            </c:extLst>
          </c:dPt>
          <c:dPt>
            <c:idx val="2"/>
            <c:bubble3D val="0"/>
            <c:spPr>
              <a:solidFill>
                <a:srgbClr val="008EAA"/>
              </a:solidFill>
              <a:ln w="9525">
                <a:solidFill>
                  <a:schemeClr val="tx1">
                    <a:lumMod val="65000"/>
                    <a:lumOff val="35000"/>
                  </a:schemeClr>
                </a:solidFill>
              </a:ln>
              <a:effectLst/>
            </c:spPr>
            <c:extLst>
              <c:ext xmlns:c16="http://schemas.microsoft.com/office/drawing/2014/chart" uri="{C3380CC4-5D6E-409C-BE32-E72D297353CC}">
                <c16:uniqueId val="{00000005-EE41-426A-8C08-348CFBE666E1}"/>
              </c:ext>
            </c:extLst>
          </c:dPt>
          <c:dPt>
            <c:idx val="3"/>
            <c:bubble3D val="0"/>
            <c:spPr>
              <a:solidFill>
                <a:srgbClr val="8D3F2B"/>
              </a:solidFill>
              <a:ln w="9525">
                <a:solidFill>
                  <a:schemeClr val="tx1">
                    <a:lumMod val="65000"/>
                    <a:lumOff val="35000"/>
                  </a:schemeClr>
                </a:solidFill>
              </a:ln>
              <a:effectLst/>
            </c:spPr>
            <c:extLst>
              <c:ext xmlns:c16="http://schemas.microsoft.com/office/drawing/2014/chart" uri="{C3380CC4-5D6E-409C-BE32-E72D297353CC}">
                <c16:uniqueId val="{00000007-EE41-426A-8C08-348CFBE666E1}"/>
              </c:ext>
            </c:extLst>
          </c:dPt>
          <c:dPt>
            <c:idx val="4"/>
            <c:bubble3D val="0"/>
            <c:spPr>
              <a:solidFill>
                <a:srgbClr val="948193"/>
              </a:solidFill>
              <a:ln w="9525">
                <a:solidFill>
                  <a:srgbClr val="7030A0"/>
                </a:solidFill>
              </a:ln>
              <a:effectLst/>
            </c:spPr>
            <c:extLst>
              <c:ext xmlns:c16="http://schemas.microsoft.com/office/drawing/2014/chart" uri="{C3380CC4-5D6E-409C-BE32-E72D297353CC}">
                <c16:uniqueId val="{00000009-EE41-426A-8C08-348CFBE666E1}"/>
              </c:ext>
            </c:extLst>
          </c:dPt>
          <c:dPt>
            <c:idx val="5"/>
            <c:bubble3D val="0"/>
            <c:spPr>
              <a:solidFill>
                <a:srgbClr val="FFC845"/>
              </a:solidFill>
              <a:ln w="9525">
                <a:solidFill>
                  <a:schemeClr val="tx1">
                    <a:lumMod val="65000"/>
                    <a:lumOff val="35000"/>
                  </a:schemeClr>
                </a:solidFill>
              </a:ln>
              <a:effectLst/>
            </c:spPr>
            <c:extLst>
              <c:ext xmlns:c16="http://schemas.microsoft.com/office/drawing/2014/chart" uri="{C3380CC4-5D6E-409C-BE32-E72D297353CC}">
                <c16:uniqueId val="{0000000B-EE41-426A-8C08-348CFBE666E1}"/>
              </c:ext>
            </c:extLst>
          </c:dPt>
          <c:dPt>
            <c:idx val="6"/>
            <c:bubble3D val="0"/>
            <c:spPr>
              <a:solidFill>
                <a:srgbClr val="9BCBEB"/>
              </a:solidFill>
              <a:ln w="9525">
                <a:solidFill>
                  <a:schemeClr val="tx1">
                    <a:lumMod val="65000"/>
                    <a:lumOff val="35000"/>
                  </a:schemeClr>
                </a:solidFill>
              </a:ln>
              <a:effectLst/>
            </c:spPr>
            <c:extLst>
              <c:ext xmlns:c16="http://schemas.microsoft.com/office/drawing/2014/chart" uri="{C3380CC4-5D6E-409C-BE32-E72D297353CC}">
                <c16:uniqueId val="{0000000D-EE41-426A-8C08-348CFBE666E1}"/>
              </c:ext>
            </c:extLst>
          </c:dPt>
          <c:dPt>
            <c:idx val="7"/>
            <c:bubble3D val="0"/>
            <c:spPr>
              <a:solidFill>
                <a:schemeClr val="accent1">
                  <a:tint val="30000"/>
                </a:schemeClr>
              </a:solidFill>
              <a:ln w="9525">
                <a:solidFill>
                  <a:schemeClr val="tx1">
                    <a:lumMod val="65000"/>
                    <a:lumOff val="35000"/>
                  </a:schemeClr>
                </a:solidFill>
              </a:ln>
              <a:effectLst/>
            </c:spPr>
            <c:extLst>
              <c:ext xmlns:c16="http://schemas.microsoft.com/office/drawing/2014/chart" uri="{C3380CC4-5D6E-409C-BE32-E72D297353CC}">
                <c16:uniqueId val="{0000000F-EE41-426A-8C08-348CFBE666E1}"/>
              </c:ext>
            </c:extLst>
          </c:dPt>
          <c:dPt>
            <c:idx val="8"/>
            <c:bubble3D val="0"/>
            <c:spPr>
              <a:solidFill>
                <a:schemeClr val="accent1">
                  <a:tint val="13000"/>
                </a:schemeClr>
              </a:solidFill>
              <a:ln w="9525">
                <a:solidFill>
                  <a:schemeClr val="tx1">
                    <a:lumMod val="65000"/>
                    <a:lumOff val="35000"/>
                  </a:schemeClr>
                </a:solidFill>
              </a:ln>
              <a:effectLst/>
            </c:spPr>
            <c:extLst>
              <c:ext xmlns:c16="http://schemas.microsoft.com/office/drawing/2014/chart" uri="{C3380CC4-5D6E-409C-BE32-E72D297353CC}">
                <c16:uniqueId val="{00000011-EE41-426A-8C08-348CFBE666E1}"/>
              </c:ext>
            </c:extLst>
          </c:dPt>
          <c:dLbls>
            <c:dLbl>
              <c:idx val="0"/>
              <c:layout>
                <c:manualLayout>
                  <c:x val="-1.6975112544026657E-16"/>
                  <c:y val="-0.3595505617977528"/>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9283756197142025"/>
                      <c:h val="0.20849281480264406"/>
                    </c:manualLayout>
                  </c15:layout>
                </c:ext>
                <c:ext xmlns:c16="http://schemas.microsoft.com/office/drawing/2014/chart" uri="{C3380CC4-5D6E-409C-BE32-E72D297353CC}">
                  <c16:uniqueId val="{00000001-EE41-426A-8C08-348CFBE666E1}"/>
                </c:ext>
              </c:extLst>
            </c:dLbl>
            <c:dLbl>
              <c:idx val="1"/>
              <c:layout>
                <c:manualLayout>
                  <c:x val="-1.1574074074074073E-2"/>
                  <c:y val="-4.6642484296204545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8113626421697291"/>
                      <c:h val="0.12499387014825394"/>
                    </c:manualLayout>
                  </c15:layout>
                </c:ext>
                <c:ext xmlns:c16="http://schemas.microsoft.com/office/drawing/2014/chart" uri="{C3380CC4-5D6E-409C-BE32-E72D297353CC}">
                  <c16:uniqueId val="{00000003-EE41-426A-8C08-348CFBE666E1}"/>
                </c:ext>
              </c:extLst>
            </c:dLbl>
            <c:dLbl>
              <c:idx val="2"/>
              <c:layout>
                <c:manualLayout>
                  <c:x val="0"/>
                  <c:y val="-1.2132050909366724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632017351997667"/>
                      <c:h val="0.11352333767267854"/>
                    </c:manualLayout>
                  </c15:layout>
                </c:ext>
                <c:ext xmlns:c16="http://schemas.microsoft.com/office/drawing/2014/chart" uri="{C3380CC4-5D6E-409C-BE32-E72D297353CC}">
                  <c16:uniqueId val="{00000005-EE41-426A-8C08-348CFBE666E1}"/>
                </c:ext>
              </c:extLst>
            </c:dLbl>
            <c:dLbl>
              <c:idx val="3"/>
              <c:layout>
                <c:manualLayout>
                  <c:x val="-4.6067002041411523E-2"/>
                  <c:y val="5.2541550283742605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540387139107611"/>
                      <c:h val="0.21658118577874391"/>
                    </c:manualLayout>
                  </c15:layout>
                </c:ext>
                <c:ext xmlns:c16="http://schemas.microsoft.com/office/drawing/2014/chart" uri="{C3380CC4-5D6E-409C-BE32-E72D297353CC}">
                  <c16:uniqueId val="{00000007-EE41-426A-8C08-348CFBE666E1}"/>
                </c:ext>
              </c:extLst>
            </c:dLbl>
            <c:dLbl>
              <c:idx val="4"/>
              <c:layout>
                <c:manualLayout>
                  <c:x val="2.5462962962962962E-2"/>
                  <c:y val="-4.1733547351524909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30093649752114321"/>
                      <c:h val="0.10825950127020641"/>
                    </c:manualLayout>
                  </c15:layout>
                </c:ext>
                <c:ext xmlns:c16="http://schemas.microsoft.com/office/drawing/2014/chart" uri="{C3380CC4-5D6E-409C-BE32-E72D297353CC}">
                  <c16:uniqueId val="{00000009-EE41-426A-8C08-348CFBE666E1}"/>
                </c:ext>
              </c:extLst>
            </c:dLbl>
            <c:dLbl>
              <c:idx val="5"/>
              <c:layout>
                <c:manualLayout>
                  <c:x val="7.7679170312044327E-2"/>
                  <c:y val="-7.4598652696502843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3296296296296293"/>
                      <c:h val="0.10131115633017783"/>
                    </c:manualLayout>
                  </c15:layout>
                </c:ext>
                <c:ext xmlns:c16="http://schemas.microsoft.com/office/drawing/2014/chart" uri="{C3380CC4-5D6E-409C-BE32-E72D297353CC}">
                  <c16:uniqueId val="{0000000B-EE41-426A-8C08-348CFBE666E1}"/>
                </c:ext>
              </c:extLst>
            </c:dLbl>
            <c:dLbl>
              <c:idx val="6"/>
              <c:layout>
                <c:manualLayout>
                  <c:x val="0.12732648002333041"/>
                  <c:y val="-4.8843164267387926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30804534849810439"/>
                      <c:h val="0.10333590323681451"/>
                    </c:manualLayout>
                  </c15:layout>
                </c:ext>
                <c:ext xmlns:c16="http://schemas.microsoft.com/office/drawing/2014/chart" uri="{C3380CC4-5D6E-409C-BE32-E72D297353CC}">
                  <c16:uniqueId val="{0000000D-EE41-426A-8C08-348CFBE666E1}"/>
                </c:ext>
              </c:extLst>
            </c:dLbl>
            <c:dLbl>
              <c:idx val="8"/>
              <c:layout>
                <c:manualLayout>
                  <c:x val="2.8112449799196824E-2"/>
                  <c:y val="-2.5252525252525252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1-EE41-426A-8C08-348CFBE666E1}"/>
                </c:ext>
              </c:extLst>
            </c:dLbl>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dLblPos val="outEnd"/>
            <c:showLegendKey val="0"/>
            <c:showVal val="0"/>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Sheet1!$A$2:$A$8</c:f>
              <c:strCache>
                <c:ptCount val="7"/>
                <c:pt idx="0">
                  <c:v>Canada</c:v>
                </c:pt>
                <c:pt idx="1">
                  <c:v>Mexico</c:v>
                </c:pt>
                <c:pt idx="2">
                  <c:v>China</c:v>
                </c:pt>
                <c:pt idx="3">
                  <c:v>Philippines</c:v>
                </c:pt>
                <c:pt idx="4">
                  <c:v>Australia</c:v>
                </c:pt>
                <c:pt idx="5">
                  <c:v>Korea</c:v>
                </c:pt>
                <c:pt idx="6">
                  <c:v>Other</c:v>
                </c:pt>
              </c:strCache>
            </c:strRef>
          </c:cat>
          <c:val>
            <c:numRef>
              <c:f>Sheet1!$B$2:$B$8</c:f>
              <c:numCache>
                <c:formatCode>_("$"* #,##0_);_("$"* \(#,##0\);_("$"* "-"??_);_(@_)</c:formatCode>
                <c:ptCount val="7"/>
                <c:pt idx="0">
                  <c:v>30282778</c:v>
                </c:pt>
                <c:pt idx="1">
                  <c:v>8866745</c:v>
                </c:pt>
                <c:pt idx="2">
                  <c:v>6973072</c:v>
                </c:pt>
                <c:pt idx="3">
                  <c:v>1579221</c:v>
                </c:pt>
                <c:pt idx="4">
                  <c:v>1554781</c:v>
                </c:pt>
                <c:pt idx="5">
                  <c:v>1098545</c:v>
                </c:pt>
                <c:pt idx="6">
                  <c:v>6911881</c:v>
                </c:pt>
              </c:numCache>
            </c:numRef>
          </c:val>
          <c:extLst>
            <c:ext xmlns:c16="http://schemas.microsoft.com/office/drawing/2014/chart" uri="{C3380CC4-5D6E-409C-BE32-E72D297353CC}">
              <c16:uniqueId val="{00000012-EE41-426A-8C08-348CFBE666E1}"/>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00">
          <a:solidFill>
            <a:sysClr val="windowText" lastClr="000000"/>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B6C44-9FF8-492D-ADB5-283AD1E5C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713</Words>
  <Characters>3970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Minnesota Quarterly Export Statistics, 1st Quarter 2025</vt:lpstr>
    </vt:vector>
  </TitlesOfParts>
  <Company>MN DEED</Company>
  <LinksUpToDate>false</LinksUpToDate>
  <CharactersWithSpaces>4674</CharactersWithSpaces>
  <SharedDoc>false</SharedDoc>
  <HLinks>
    <vt:vector size="12" baseType="variant">
      <vt:variant>
        <vt:i4>6488181</vt:i4>
      </vt:variant>
      <vt:variant>
        <vt:i4>9</vt:i4>
      </vt:variant>
      <vt:variant>
        <vt:i4>0</vt:i4>
      </vt:variant>
      <vt:variant>
        <vt:i4>5</vt:i4>
      </vt:variant>
      <vt:variant>
        <vt:lpwstr>http://www.deed.state.mn.us/facts/manufacturing.htm</vt:lpwstr>
      </vt:variant>
      <vt:variant>
        <vt:lpwstr/>
      </vt:variant>
      <vt:variant>
        <vt:i4>3211383</vt:i4>
      </vt:variant>
      <vt:variant>
        <vt:i4>6</vt:i4>
      </vt:variant>
      <vt:variant>
        <vt:i4>0</vt:i4>
      </vt:variant>
      <vt:variant>
        <vt:i4>5</vt:i4>
      </vt:variant>
      <vt:variant>
        <vt:lpwstr>http://www.exportminnesota.com/itradestats.htm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Minnesota Quarterly Export Statistics, 1st Quarter 2025</dc:title>
  <dc:subject>Minnesota Quarterly Export Statistics</dc:subject>
  <dc:creator>Economic Analysis Unit (T. Ho-Kim)</dc:creator>
  <dc:description>1st qtr 2025_x000d_
(publ May 2025)</dc:description>
  <cp:lastModifiedBy>Ho-Kim, Thu-Mai (DEED)</cp:lastModifiedBy>
  <cp:revision>4</cp:revision>
  <cp:lastPrinted>2021-02-10T19:09:00Z</cp:lastPrinted>
  <dcterms:created xsi:type="dcterms:W3CDTF">2025-05-21T19:19:00Z</dcterms:created>
  <dcterms:modified xsi:type="dcterms:W3CDTF">2025-05-22T13:19:00Z</dcterms:modified>
</cp:coreProperties>
</file>