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07434" w14:textId="209760AA" w:rsidR="001631FC" w:rsidRPr="001677C7" w:rsidRDefault="000055EB" w:rsidP="00AB6F70">
      <w:pPr>
        <w:rPr>
          <w:rFonts w:asciiTheme="majorHAnsi" w:hAnsiTheme="majorHAnsi" w:cstheme="majorHAnsi"/>
        </w:rPr>
      </w:pPr>
      <w:bookmarkStart w:id="0" w:name="_Hlk204342162"/>
      <w:bookmarkEnd w:id="0"/>
      <w:r w:rsidRPr="001677C7">
        <w:rPr>
          <w:rFonts w:asciiTheme="majorHAnsi" w:hAnsiTheme="majorHAnsi" w:cstheme="majorHAnsi"/>
          <w:noProof/>
        </w:rPr>
        <w:drawing>
          <wp:inline distT="0" distB="0" distL="0" distR="0" wp14:anchorId="6B4E940A" wp14:editId="409238F9">
            <wp:extent cx="6858000" cy="1292860"/>
            <wp:effectExtent l="0" t="0" r="0" b="2540"/>
            <wp:docPr id="3" name="Picture 3" descr="Banner with Minnesota Department of Employment and Economic Development logo  and title &quot;Survey of Minnesota Business Services Firms&quot;"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 Services New Header.png"/>
                    <pic:cNvPicPr/>
                  </pic:nvPicPr>
                  <pic:blipFill>
                    <a:blip r:embed="rId8">
                      <a:extLst>
                        <a:ext uri="{28A0092B-C50C-407E-A947-70E740481C1C}">
                          <a14:useLocalDpi xmlns:a14="http://schemas.microsoft.com/office/drawing/2010/main" val="0"/>
                        </a:ext>
                      </a:extLst>
                    </a:blip>
                    <a:stretch>
                      <a:fillRect/>
                    </a:stretch>
                  </pic:blipFill>
                  <pic:spPr>
                    <a:xfrm>
                      <a:off x="0" y="0"/>
                      <a:ext cx="6858000" cy="1292860"/>
                    </a:xfrm>
                    <a:prstGeom prst="rect">
                      <a:avLst/>
                    </a:prstGeom>
                  </pic:spPr>
                </pic:pic>
              </a:graphicData>
            </a:graphic>
          </wp:inline>
        </w:drawing>
      </w:r>
    </w:p>
    <w:p w14:paraId="6896AFB4" w14:textId="2CEFB0FA" w:rsidR="008B388C" w:rsidRPr="001677C7" w:rsidRDefault="00137F8D" w:rsidP="004C227D">
      <w:pPr>
        <w:pStyle w:val="Heading1"/>
        <w:spacing w:before="120"/>
        <w:jc w:val="center"/>
        <w:rPr>
          <w:rFonts w:cstheme="majorHAnsi"/>
          <w:b/>
          <w:color w:val="auto"/>
          <w:sz w:val="28"/>
          <w:szCs w:val="28"/>
        </w:rPr>
        <w:sectPr w:rsidR="008B388C" w:rsidRPr="001677C7" w:rsidSect="0070375F">
          <w:headerReference w:type="default" r:id="rId9"/>
          <w:footerReference w:type="default" r:id="rId10"/>
          <w:pgSz w:w="12240" w:h="15840"/>
          <w:pgMar w:top="720" w:right="720" w:bottom="720" w:left="720" w:header="720" w:footer="720" w:gutter="0"/>
          <w:cols w:space="720"/>
          <w:docGrid w:linePitch="360"/>
        </w:sectPr>
      </w:pPr>
      <w:r>
        <w:rPr>
          <w:rFonts w:cstheme="majorHAnsi"/>
          <w:b/>
          <w:color w:val="auto"/>
          <w:sz w:val="28"/>
          <w:szCs w:val="28"/>
        </w:rPr>
        <w:t xml:space="preserve">Modest Optimism </w:t>
      </w:r>
      <w:r w:rsidR="00630809">
        <w:rPr>
          <w:rFonts w:cstheme="majorHAnsi"/>
          <w:b/>
          <w:color w:val="auto"/>
          <w:sz w:val="28"/>
          <w:szCs w:val="28"/>
        </w:rPr>
        <w:t>as Labor Shortages Persist into Next  Year</w:t>
      </w:r>
    </w:p>
    <w:p w14:paraId="2511B3C9" w14:textId="14A100C0" w:rsidR="00FF6F5D" w:rsidRDefault="00FF6F5D" w:rsidP="008C020B">
      <w:pPr>
        <w:spacing w:after="0" w:line="240" w:lineRule="auto"/>
        <w:rPr>
          <w:rFonts w:asciiTheme="majorHAnsi" w:hAnsiTheme="majorHAnsi" w:cstheme="majorHAnsi"/>
        </w:rPr>
        <w:sectPr w:rsidR="00FF6F5D" w:rsidSect="009B07B0">
          <w:type w:val="continuous"/>
          <w:pgSz w:w="12240" w:h="15840"/>
          <w:pgMar w:top="720" w:right="720" w:bottom="720" w:left="720" w:header="720" w:footer="720" w:gutter="0"/>
          <w:cols w:num="2" w:space="720"/>
          <w:docGrid w:linePitch="360"/>
        </w:sectPr>
      </w:pPr>
    </w:p>
    <w:p w14:paraId="3BEF3AD3" w14:textId="77777777" w:rsidR="008C020B" w:rsidRDefault="00E1256D" w:rsidP="008C020B">
      <w:pPr>
        <w:spacing w:after="0" w:line="240" w:lineRule="auto"/>
        <w:rPr>
          <w:rFonts w:asciiTheme="majorHAnsi" w:hAnsiTheme="majorHAnsi" w:cstheme="majorHAnsi"/>
        </w:rPr>
      </w:pPr>
      <w:r w:rsidRPr="008C020B">
        <w:rPr>
          <w:rFonts w:asciiTheme="majorHAnsi" w:hAnsiTheme="majorHAnsi" w:cstheme="majorHAnsi"/>
        </w:rPr>
        <w:t>Business services firms anticipate modest gains in revenue, profits, productivity, and employment over the coming year. While labor availability is expected to improve slightly, limited worker supply will likely continue driving wages upward</w:t>
      </w:r>
      <w:r w:rsidR="0023388B" w:rsidRPr="008C020B">
        <w:rPr>
          <w:rFonts w:asciiTheme="majorHAnsi" w:hAnsiTheme="majorHAnsi" w:cstheme="majorHAnsi"/>
        </w:rPr>
        <w:t>.</w:t>
      </w:r>
      <w:r w:rsidR="00C07A2A" w:rsidRPr="008C020B">
        <w:rPr>
          <w:rFonts w:asciiTheme="majorHAnsi" w:hAnsiTheme="majorHAnsi" w:cstheme="majorHAnsi"/>
        </w:rPr>
        <w:t xml:space="preserve"> </w:t>
      </w:r>
    </w:p>
    <w:p w14:paraId="041773F8" w14:textId="77777777" w:rsidR="008C020B" w:rsidRDefault="008C020B" w:rsidP="008C020B">
      <w:pPr>
        <w:spacing w:after="0" w:line="240" w:lineRule="auto"/>
        <w:rPr>
          <w:rFonts w:asciiTheme="majorHAnsi" w:hAnsiTheme="majorHAnsi" w:cstheme="majorHAnsi"/>
        </w:rPr>
      </w:pPr>
    </w:p>
    <w:p w14:paraId="75368A52" w14:textId="6D23F2FD" w:rsidR="00796F89" w:rsidRDefault="00BC5DD8" w:rsidP="003F62BE">
      <w:pPr>
        <w:spacing w:after="0" w:line="240" w:lineRule="auto"/>
        <w:rPr>
          <w:rFonts w:asciiTheme="majorHAnsi" w:hAnsiTheme="majorHAnsi" w:cstheme="majorHAnsi"/>
        </w:rPr>
      </w:pPr>
      <w:r w:rsidRPr="008C020B">
        <w:rPr>
          <w:rFonts w:asciiTheme="majorHAnsi" w:hAnsiTheme="majorHAnsi" w:cstheme="majorHAnsi"/>
        </w:rPr>
        <w:t>These results come from a random sample of Minnesota businesse</w:t>
      </w:r>
      <w:r w:rsidR="006B6F5E" w:rsidRPr="008C020B">
        <w:rPr>
          <w:rFonts w:asciiTheme="majorHAnsi" w:hAnsiTheme="majorHAnsi" w:cstheme="majorHAnsi"/>
        </w:rPr>
        <w:t xml:space="preserve">s service firms conducted </w:t>
      </w:r>
      <w:r w:rsidR="003940AF">
        <w:rPr>
          <w:rFonts w:asciiTheme="majorHAnsi" w:hAnsiTheme="majorHAnsi" w:cstheme="majorHAnsi"/>
        </w:rPr>
        <w:t>from</w:t>
      </w:r>
      <w:r w:rsidR="006B6F5E" w:rsidRPr="008C020B">
        <w:rPr>
          <w:rFonts w:asciiTheme="majorHAnsi" w:hAnsiTheme="majorHAnsi" w:cstheme="majorHAnsi"/>
        </w:rPr>
        <w:t xml:space="preserve"> </w:t>
      </w:r>
      <w:r w:rsidR="00396DC1" w:rsidRPr="008C020B">
        <w:rPr>
          <w:rFonts w:asciiTheme="majorHAnsi" w:hAnsiTheme="majorHAnsi" w:cstheme="majorHAnsi"/>
        </w:rPr>
        <w:t xml:space="preserve">May </w:t>
      </w:r>
      <w:r w:rsidR="003940AF">
        <w:rPr>
          <w:rFonts w:asciiTheme="majorHAnsi" w:hAnsiTheme="majorHAnsi" w:cstheme="majorHAnsi"/>
        </w:rPr>
        <w:t>through</w:t>
      </w:r>
      <w:r w:rsidR="00396DC1" w:rsidRPr="008C020B">
        <w:rPr>
          <w:rFonts w:asciiTheme="majorHAnsi" w:hAnsiTheme="majorHAnsi" w:cstheme="majorHAnsi"/>
        </w:rPr>
        <w:t xml:space="preserve"> Ju</w:t>
      </w:r>
      <w:r w:rsidR="00E1256D" w:rsidRPr="008C020B">
        <w:rPr>
          <w:rFonts w:asciiTheme="majorHAnsi" w:hAnsiTheme="majorHAnsi" w:cstheme="majorHAnsi"/>
        </w:rPr>
        <w:t>ly</w:t>
      </w:r>
      <w:r w:rsidR="00396DC1" w:rsidRPr="008C020B">
        <w:rPr>
          <w:rFonts w:asciiTheme="majorHAnsi" w:hAnsiTheme="majorHAnsi" w:cstheme="majorHAnsi"/>
        </w:rPr>
        <w:t xml:space="preserve"> 202</w:t>
      </w:r>
      <w:r w:rsidR="00E1256D" w:rsidRPr="008C020B">
        <w:rPr>
          <w:rFonts w:asciiTheme="majorHAnsi" w:hAnsiTheme="majorHAnsi" w:cstheme="majorHAnsi"/>
        </w:rPr>
        <w:t>5</w:t>
      </w:r>
      <w:r w:rsidR="00396DC1" w:rsidRPr="008C020B">
        <w:rPr>
          <w:rFonts w:asciiTheme="majorHAnsi" w:hAnsiTheme="majorHAnsi" w:cstheme="majorHAnsi"/>
        </w:rPr>
        <w:t>,</w:t>
      </w:r>
      <w:r w:rsidRPr="008C020B">
        <w:rPr>
          <w:rFonts w:asciiTheme="majorHAnsi" w:hAnsiTheme="majorHAnsi" w:cstheme="majorHAnsi"/>
        </w:rPr>
        <w:t xml:space="preserve"> by the Minnesota Department of Employment and Economic </w:t>
      </w:r>
      <w:r w:rsidR="009B07B0" w:rsidRPr="008C020B">
        <w:rPr>
          <w:rFonts w:asciiTheme="majorHAnsi" w:hAnsiTheme="majorHAnsi" w:cstheme="majorHAnsi"/>
        </w:rPr>
        <w:t>Development and the Federal Reserve Ban</w:t>
      </w:r>
      <w:r w:rsidR="006309E6" w:rsidRPr="008C020B">
        <w:rPr>
          <w:rFonts w:asciiTheme="majorHAnsi" w:hAnsiTheme="majorHAnsi" w:cstheme="majorHAnsi"/>
        </w:rPr>
        <w:t>k in Minne</w:t>
      </w:r>
      <w:r w:rsidR="00D53E18" w:rsidRPr="008C020B">
        <w:rPr>
          <w:rFonts w:asciiTheme="majorHAnsi" w:hAnsiTheme="majorHAnsi" w:cstheme="majorHAnsi"/>
        </w:rPr>
        <w:t>apolis</w:t>
      </w:r>
      <w:r w:rsidR="00CA4F8E" w:rsidRPr="008C020B">
        <w:rPr>
          <w:rFonts w:asciiTheme="majorHAnsi" w:hAnsiTheme="majorHAnsi" w:cstheme="majorHAnsi"/>
        </w:rPr>
        <w:t>.</w:t>
      </w:r>
    </w:p>
    <w:p w14:paraId="1F549BC1" w14:textId="77777777" w:rsidR="00461BEB" w:rsidRDefault="00461BEB" w:rsidP="003F62BE">
      <w:pPr>
        <w:spacing w:after="0" w:line="240" w:lineRule="auto"/>
        <w:rPr>
          <w:rFonts w:asciiTheme="majorHAnsi" w:hAnsiTheme="majorHAnsi" w:cstheme="majorHAnsi"/>
        </w:rPr>
      </w:pPr>
    </w:p>
    <w:p w14:paraId="0F78DC78" w14:textId="36CADB87" w:rsidR="00D93B09" w:rsidRDefault="00D93B09" w:rsidP="003F62BE">
      <w:pPr>
        <w:spacing w:after="0" w:line="240" w:lineRule="auto"/>
        <w:rPr>
          <w:rFonts w:asciiTheme="majorHAnsi" w:hAnsiTheme="majorHAnsi" w:cstheme="majorHAnsi"/>
        </w:rPr>
      </w:pPr>
      <w:r w:rsidRPr="00D93B09">
        <w:rPr>
          <w:rFonts w:asciiTheme="majorHAnsi" w:hAnsiTheme="majorHAnsi" w:cstheme="majorHAnsi"/>
        </w:rPr>
        <w:t>The survey inquired about the previous four quarters—rather than the calendar year—as well as expectations for the coming four quarters</w:t>
      </w:r>
      <w:r>
        <w:rPr>
          <w:rFonts w:asciiTheme="majorHAnsi" w:hAnsiTheme="majorHAnsi" w:cstheme="majorHAnsi"/>
        </w:rPr>
        <w:t>.</w:t>
      </w:r>
    </w:p>
    <w:p w14:paraId="74AC10D6" w14:textId="6FC263BA" w:rsidR="00CF44E3" w:rsidRDefault="003F62BE" w:rsidP="003F62BE">
      <w:pPr>
        <w:spacing w:after="0" w:line="240" w:lineRule="auto"/>
        <w:rPr>
          <w:rFonts w:asciiTheme="majorHAnsi" w:hAnsiTheme="majorHAnsi" w:cstheme="majorHAnsi"/>
        </w:rPr>
      </w:pPr>
      <w:r w:rsidRPr="001677C7">
        <w:rPr>
          <w:rFonts w:asciiTheme="majorHAnsi" w:hAnsiTheme="majorHAnsi" w:cstheme="majorHAnsi"/>
        </w:rPr>
        <w:br/>
      </w:r>
      <w:r w:rsidR="00C067E2" w:rsidRPr="008C020B">
        <w:rPr>
          <w:rStyle w:val="Heading2Char"/>
          <w:rFonts w:cstheme="majorHAnsi"/>
          <w:b/>
          <w:color w:val="auto"/>
        </w:rPr>
        <w:t>Business Services Firms</w:t>
      </w:r>
      <w:r w:rsidR="008D3F64" w:rsidRPr="008C020B">
        <w:rPr>
          <w:rStyle w:val="Heading2Char"/>
          <w:rFonts w:cstheme="majorHAnsi"/>
          <w:b/>
          <w:color w:val="auto"/>
        </w:rPr>
        <w:t xml:space="preserve">: </w:t>
      </w:r>
      <w:r w:rsidR="009E21D1">
        <w:rPr>
          <w:rStyle w:val="Heading2Char"/>
          <w:rFonts w:cstheme="majorHAnsi"/>
          <w:b/>
          <w:color w:val="auto"/>
        </w:rPr>
        <w:t>Past Four Quarters</w:t>
      </w:r>
      <w:r w:rsidR="001751AA" w:rsidRPr="008C020B">
        <w:rPr>
          <w:rFonts w:asciiTheme="majorHAnsi" w:hAnsiTheme="majorHAnsi" w:cstheme="majorHAnsi"/>
        </w:rPr>
        <w:t>.</w:t>
      </w:r>
      <w:r w:rsidR="006E3F3F" w:rsidRPr="008C020B">
        <w:rPr>
          <w:rFonts w:asciiTheme="majorHAnsi" w:hAnsiTheme="majorHAnsi" w:cstheme="majorHAnsi"/>
        </w:rPr>
        <w:t xml:space="preserve"> </w:t>
      </w:r>
    </w:p>
    <w:p w14:paraId="5D8B6B9A" w14:textId="1B6FAAB3" w:rsidR="00A21628" w:rsidRDefault="00E20505" w:rsidP="003F62BE">
      <w:pPr>
        <w:spacing w:after="0" w:line="240" w:lineRule="auto"/>
        <w:rPr>
          <w:rFonts w:asciiTheme="majorHAnsi" w:hAnsiTheme="majorHAnsi" w:cstheme="majorHAnsi"/>
        </w:rPr>
      </w:pPr>
      <w:r>
        <w:rPr>
          <w:rFonts w:asciiTheme="majorHAnsi" w:hAnsiTheme="majorHAnsi" w:cstheme="majorHAnsi"/>
        </w:rPr>
        <w:t>Economic performance for the previous four quarters is analyzed using diffusion indexes. Values above 50 indicate expansion</w:t>
      </w:r>
      <w:r w:rsidR="00A21628">
        <w:rPr>
          <w:rFonts w:asciiTheme="majorHAnsi" w:hAnsiTheme="majorHAnsi" w:cstheme="majorHAnsi"/>
        </w:rPr>
        <w:t xml:space="preserve"> and b</w:t>
      </w:r>
      <w:r>
        <w:rPr>
          <w:rFonts w:asciiTheme="majorHAnsi" w:hAnsiTheme="majorHAnsi" w:cstheme="majorHAnsi"/>
        </w:rPr>
        <w:t xml:space="preserve">elow 50, contraction.  </w:t>
      </w:r>
    </w:p>
    <w:p w14:paraId="01327453" w14:textId="77777777" w:rsidR="00A21628" w:rsidRDefault="00A21628" w:rsidP="003F62BE">
      <w:pPr>
        <w:spacing w:after="0" w:line="240" w:lineRule="auto"/>
        <w:rPr>
          <w:rFonts w:asciiTheme="majorHAnsi" w:hAnsiTheme="majorHAnsi" w:cstheme="majorHAnsi"/>
        </w:rPr>
      </w:pPr>
    </w:p>
    <w:p w14:paraId="1FE01E8F" w14:textId="4171AD4C" w:rsidR="009B1E5D" w:rsidRDefault="00A4090C" w:rsidP="003F62BE">
      <w:pPr>
        <w:spacing w:after="0" w:line="240" w:lineRule="auto"/>
        <w:rPr>
          <w:rFonts w:asciiTheme="majorHAnsi" w:hAnsiTheme="majorHAnsi" w:cstheme="majorHAnsi"/>
        </w:rPr>
      </w:pPr>
      <w:r w:rsidRPr="008C020B">
        <w:rPr>
          <w:rFonts w:asciiTheme="majorHAnsi" w:hAnsiTheme="majorHAnsi" w:cstheme="majorHAnsi"/>
        </w:rPr>
        <w:t>Diffusion indexes for revenue (57), profits (48), and productivity (54) were unchanged from the previous year</w:t>
      </w:r>
      <w:r w:rsidR="00351D14">
        <w:rPr>
          <w:rFonts w:asciiTheme="majorHAnsi" w:hAnsiTheme="majorHAnsi" w:cstheme="majorHAnsi"/>
        </w:rPr>
        <w:t xml:space="preserve">. </w:t>
      </w:r>
      <w:r w:rsidR="002F5202">
        <w:rPr>
          <w:rFonts w:asciiTheme="majorHAnsi" w:hAnsiTheme="majorHAnsi" w:cstheme="majorHAnsi"/>
        </w:rPr>
        <w:t>Although r</w:t>
      </w:r>
      <w:r w:rsidRPr="008C020B">
        <w:rPr>
          <w:rFonts w:asciiTheme="majorHAnsi" w:hAnsiTheme="majorHAnsi" w:cstheme="majorHAnsi"/>
        </w:rPr>
        <w:t>evenue and productivity remained in expansion territory (above 50), profits stayed below the threshold</w:t>
      </w:r>
      <w:r w:rsidR="003940AF">
        <w:rPr>
          <w:rFonts w:asciiTheme="majorHAnsi" w:hAnsiTheme="majorHAnsi" w:cstheme="majorHAnsi"/>
        </w:rPr>
        <w:t xml:space="preserve"> (48)</w:t>
      </w:r>
      <w:r w:rsidRPr="008C020B">
        <w:rPr>
          <w:rFonts w:asciiTheme="majorHAnsi" w:hAnsiTheme="majorHAnsi" w:cstheme="majorHAnsi"/>
        </w:rPr>
        <w:t xml:space="preserve">, indicating continued contraction. </w:t>
      </w:r>
    </w:p>
    <w:p w14:paraId="6697F17E" w14:textId="77777777" w:rsidR="009B1E5D" w:rsidRDefault="009B1E5D" w:rsidP="003F62BE">
      <w:pPr>
        <w:spacing w:after="0" w:line="240" w:lineRule="auto"/>
        <w:rPr>
          <w:rFonts w:asciiTheme="majorHAnsi" w:hAnsiTheme="majorHAnsi" w:cstheme="majorHAnsi"/>
        </w:rPr>
      </w:pPr>
    </w:p>
    <w:p w14:paraId="56FB61C3" w14:textId="3D9FD5CA" w:rsidR="00E65EC1" w:rsidRPr="00E65EC1" w:rsidRDefault="00977599" w:rsidP="00E65EC1">
      <w:pPr>
        <w:spacing w:after="0" w:line="240" w:lineRule="auto"/>
        <w:rPr>
          <w:rFonts w:asciiTheme="majorHAnsi" w:hAnsiTheme="majorHAnsi" w:cstheme="majorHAnsi"/>
        </w:rPr>
        <w:sectPr w:rsidR="00E65EC1" w:rsidRPr="00E65EC1" w:rsidSect="00E65EC1">
          <w:type w:val="continuous"/>
          <w:pgSz w:w="12240" w:h="15840"/>
          <w:pgMar w:top="720" w:right="720" w:bottom="720" w:left="720" w:header="720" w:footer="720" w:gutter="0"/>
          <w:cols w:space="720"/>
          <w:docGrid w:linePitch="360"/>
        </w:sectPr>
      </w:pPr>
      <w:r>
        <w:rPr>
          <w:rFonts w:asciiTheme="majorHAnsi" w:hAnsiTheme="majorHAnsi" w:cstheme="majorHAnsi"/>
        </w:rPr>
        <w:t xml:space="preserve">Sixty percent of respondents </w:t>
      </w:r>
      <w:r w:rsidR="00D6146A">
        <w:rPr>
          <w:rFonts w:asciiTheme="majorHAnsi" w:hAnsiTheme="majorHAnsi" w:cstheme="majorHAnsi"/>
        </w:rPr>
        <w:t>experienced</w:t>
      </w:r>
      <w:r>
        <w:rPr>
          <w:rFonts w:asciiTheme="majorHAnsi" w:hAnsiTheme="majorHAnsi" w:cstheme="majorHAnsi"/>
        </w:rPr>
        <w:t xml:space="preserve"> unchanged conditions from the tight employment level the year</w:t>
      </w:r>
      <w:r w:rsidR="008E759A">
        <w:rPr>
          <w:rFonts w:asciiTheme="majorHAnsi" w:hAnsiTheme="majorHAnsi" w:cstheme="majorHAnsi"/>
        </w:rPr>
        <w:t xml:space="preserve"> before</w:t>
      </w:r>
      <w:r>
        <w:rPr>
          <w:rFonts w:asciiTheme="majorHAnsi" w:hAnsiTheme="majorHAnsi" w:cstheme="majorHAnsi"/>
        </w:rPr>
        <w:t xml:space="preserve">, resulting in a diffusion index of </w:t>
      </w:r>
      <w:r w:rsidR="00A4090C" w:rsidRPr="008C020B">
        <w:rPr>
          <w:rFonts w:asciiTheme="majorHAnsi" w:hAnsiTheme="majorHAnsi" w:cstheme="majorHAnsi"/>
        </w:rPr>
        <w:t>49</w:t>
      </w:r>
      <w:r w:rsidR="00A21628">
        <w:rPr>
          <w:rFonts w:asciiTheme="majorHAnsi" w:hAnsiTheme="majorHAnsi" w:cstheme="majorHAnsi"/>
        </w:rPr>
        <w:t xml:space="preserve">, </w:t>
      </w:r>
      <w:r w:rsidR="008E759A">
        <w:rPr>
          <w:rFonts w:asciiTheme="majorHAnsi" w:hAnsiTheme="majorHAnsi" w:cstheme="majorHAnsi"/>
        </w:rPr>
        <w:t>or contraction</w:t>
      </w:r>
      <w:r w:rsidR="00A4090C" w:rsidRPr="008C020B">
        <w:rPr>
          <w:rFonts w:asciiTheme="majorHAnsi" w:hAnsiTheme="majorHAnsi" w:cstheme="majorHAnsi"/>
        </w:rPr>
        <w:t xml:space="preserve">. </w:t>
      </w:r>
      <w:r w:rsidR="009B1E5D" w:rsidRPr="009B1E5D">
        <w:rPr>
          <w:rFonts w:asciiTheme="majorHAnsi" w:hAnsiTheme="majorHAnsi" w:cstheme="majorHAnsi"/>
        </w:rPr>
        <w:t>Similarly, 66% reported no change in labor availability, with the diffusion index remaining in contraction at 45—indicating persistent labor supply constraints.</w:t>
      </w:r>
      <w:r w:rsidR="009B1E5D">
        <w:rPr>
          <w:rFonts w:asciiTheme="majorHAnsi" w:hAnsiTheme="majorHAnsi" w:cstheme="majorHAnsi"/>
        </w:rPr>
        <w:t xml:space="preserve"> </w:t>
      </w:r>
      <w:r>
        <w:rPr>
          <w:rFonts w:asciiTheme="majorHAnsi" w:hAnsiTheme="majorHAnsi" w:cstheme="majorHAnsi"/>
        </w:rPr>
        <w:t xml:space="preserve">Nearly 70% of respondents </w:t>
      </w:r>
      <w:r w:rsidR="00D6146A">
        <w:rPr>
          <w:rFonts w:asciiTheme="majorHAnsi" w:hAnsiTheme="majorHAnsi" w:cstheme="majorHAnsi"/>
        </w:rPr>
        <w:t>faced</w:t>
      </w:r>
      <w:r>
        <w:rPr>
          <w:rFonts w:asciiTheme="majorHAnsi" w:hAnsiTheme="majorHAnsi" w:cstheme="majorHAnsi"/>
        </w:rPr>
        <w:t xml:space="preserve"> higher input </w:t>
      </w:r>
      <w:r w:rsidR="005C3801">
        <w:rPr>
          <w:rFonts w:asciiTheme="majorHAnsi" w:hAnsiTheme="majorHAnsi" w:cstheme="majorHAnsi"/>
        </w:rPr>
        <w:t>costs</w:t>
      </w:r>
      <w:r>
        <w:rPr>
          <w:rFonts w:asciiTheme="majorHAnsi" w:hAnsiTheme="majorHAnsi" w:cstheme="majorHAnsi"/>
        </w:rPr>
        <w:t xml:space="preserve">, resulting in a diffusion index of </w:t>
      </w:r>
      <w:r w:rsidR="00DB2F5D">
        <w:rPr>
          <w:rFonts w:asciiTheme="majorHAnsi" w:hAnsiTheme="majorHAnsi" w:cstheme="majorHAnsi"/>
        </w:rPr>
        <w:t xml:space="preserve"> 84</w:t>
      </w:r>
      <w:r w:rsidR="00E21D58" w:rsidRPr="008C020B">
        <w:rPr>
          <w:rFonts w:asciiTheme="majorHAnsi" w:hAnsiTheme="majorHAnsi" w:cstheme="majorHAnsi"/>
        </w:rPr>
        <w:t>.</w:t>
      </w:r>
      <w:r w:rsidR="007B5927" w:rsidRPr="008C020B">
        <w:rPr>
          <w:rFonts w:asciiTheme="majorHAnsi" w:hAnsiTheme="majorHAnsi" w:cstheme="majorHAnsi"/>
        </w:rPr>
        <w:t xml:space="preserve"> </w:t>
      </w:r>
      <w:r w:rsidR="00316A4C" w:rsidRPr="008C020B">
        <w:rPr>
          <w:rFonts w:asciiTheme="majorHAnsi" w:hAnsiTheme="majorHAnsi" w:cstheme="majorHAnsi"/>
        </w:rPr>
        <w:t>(Table 1-A</w:t>
      </w:r>
      <w:r w:rsidR="00E65EC1">
        <w:rPr>
          <w:rFonts w:asciiTheme="majorHAnsi" w:hAnsiTheme="majorHAnsi" w:cstheme="majorHAnsi"/>
        </w:rPr>
        <w:t>, Chart 1</w:t>
      </w:r>
      <w:r w:rsidR="00316A4C" w:rsidRPr="008C020B">
        <w:rPr>
          <w:rFonts w:asciiTheme="majorHAnsi" w:hAnsiTheme="majorHAnsi" w:cstheme="majorHAnsi"/>
        </w:rPr>
        <w:t>).</w:t>
      </w:r>
      <w:r w:rsidR="003F4F11" w:rsidRPr="001677C7">
        <w:rPr>
          <w:rFonts w:asciiTheme="majorHAnsi" w:hAnsiTheme="majorHAnsi" w:cstheme="majorHAnsi"/>
        </w:rPr>
        <w:br/>
      </w:r>
    </w:p>
    <w:p w14:paraId="025298F3" w14:textId="144A1686" w:rsidR="00580687" w:rsidRPr="00E65EC1" w:rsidRDefault="003368D3" w:rsidP="004C227D">
      <w:pPr>
        <w:spacing w:after="0" w:line="240" w:lineRule="auto"/>
        <w:rPr>
          <w:rFonts w:asciiTheme="majorHAnsi" w:eastAsiaTheme="majorEastAsia" w:hAnsiTheme="majorHAnsi" w:cstheme="majorHAnsi"/>
          <w:b/>
          <w:bCs/>
          <w:sz w:val="26"/>
          <w:szCs w:val="26"/>
        </w:rPr>
      </w:pPr>
      <w:r w:rsidRPr="008C020B">
        <w:rPr>
          <w:rStyle w:val="Heading2Char"/>
          <w:rFonts w:cstheme="majorHAnsi"/>
          <w:b/>
          <w:bCs/>
          <w:color w:val="auto"/>
        </w:rPr>
        <w:t>Business Services Firms</w:t>
      </w:r>
      <w:r w:rsidR="008D3F64" w:rsidRPr="008C020B">
        <w:rPr>
          <w:rStyle w:val="Heading2Char"/>
          <w:rFonts w:cstheme="majorHAnsi"/>
          <w:b/>
          <w:bCs/>
          <w:color w:val="auto"/>
        </w:rPr>
        <w:t xml:space="preserve">: </w:t>
      </w:r>
      <w:r w:rsidR="009E21D1">
        <w:rPr>
          <w:rStyle w:val="Heading2Char"/>
          <w:rFonts w:cstheme="majorHAnsi"/>
          <w:b/>
          <w:bCs/>
          <w:color w:val="auto"/>
        </w:rPr>
        <w:t>Next Fou</w:t>
      </w:r>
      <w:r w:rsidR="00DB7513">
        <w:rPr>
          <w:rStyle w:val="Heading2Char"/>
          <w:rFonts w:cstheme="majorHAnsi"/>
          <w:b/>
          <w:bCs/>
          <w:color w:val="auto"/>
        </w:rPr>
        <w:t>r</w:t>
      </w:r>
      <w:r w:rsidR="009E21D1">
        <w:rPr>
          <w:rStyle w:val="Heading2Char"/>
          <w:rFonts w:cstheme="majorHAnsi"/>
          <w:b/>
          <w:bCs/>
          <w:color w:val="auto"/>
        </w:rPr>
        <w:t xml:space="preserve"> Quarters</w:t>
      </w:r>
      <w:r w:rsidRPr="008C020B">
        <w:rPr>
          <w:rStyle w:val="Heading2Char"/>
          <w:rFonts w:cstheme="majorHAnsi"/>
          <w:color w:val="auto"/>
        </w:rPr>
        <w:br/>
      </w:r>
      <w:r w:rsidR="00C45122" w:rsidRPr="00B55105">
        <w:rPr>
          <w:rFonts w:asciiTheme="majorHAnsi" w:hAnsiTheme="majorHAnsi" w:cstheme="majorHAnsi"/>
        </w:rPr>
        <w:t xml:space="preserve">Minnesota business services firms enter the </w:t>
      </w:r>
      <w:r w:rsidR="00B55105" w:rsidRPr="00B55105">
        <w:rPr>
          <w:rFonts w:asciiTheme="majorHAnsi" w:hAnsiTheme="majorHAnsi" w:cstheme="majorHAnsi"/>
        </w:rPr>
        <w:t>year</w:t>
      </w:r>
      <w:r w:rsidR="00C45122" w:rsidRPr="00B55105">
        <w:rPr>
          <w:rFonts w:asciiTheme="majorHAnsi" w:hAnsiTheme="majorHAnsi" w:cstheme="majorHAnsi"/>
        </w:rPr>
        <w:t xml:space="preserve"> with cautious optimism, as diffusion indexes point to modest gains in revenue, profits, productivity and employment</w:t>
      </w:r>
      <w:r w:rsidR="00137F8D" w:rsidRPr="00B55105">
        <w:rPr>
          <w:rFonts w:asciiTheme="majorHAnsi" w:hAnsiTheme="majorHAnsi" w:cstheme="majorHAnsi"/>
        </w:rPr>
        <w:t xml:space="preserve"> compared to economic performance </w:t>
      </w:r>
      <w:r w:rsidR="00F81DF8" w:rsidRPr="00B55105">
        <w:rPr>
          <w:rFonts w:asciiTheme="majorHAnsi" w:hAnsiTheme="majorHAnsi" w:cstheme="majorHAnsi"/>
        </w:rPr>
        <w:t>from the previous four quarters</w:t>
      </w:r>
      <w:r w:rsidR="00C45122" w:rsidRPr="00B55105">
        <w:rPr>
          <w:rFonts w:asciiTheme="majorHAnsi" w:hAnsiTheme="majorHAnsi" w:cstheme="majorHAnsi"/>
        </w:rPr>
        <w:t xml:space="preserve">. </w:t>
      </w:r>
    </w:p>
    <w:p w14:paraId="4691D07A" w14:textId="77777777" w:rsidR="000A40DB" w:rsidRDefault="00187BF3" w:rsidP="004C227D">
      <w:pPr>
        <w:spacing w:after="0" w:line="240" w:lineRule="auto"/>
        <w:rPr>
          <w:rFonts w:asciiTheme="majorHAnsi" w:hAnsiTheme="majorHAnsi" w:cstheme="majorHAnsi"/>
        </w:rPr>
      </w:pPr>
      <w:r>
        <w:rPr>
          <w:rFonts w:asciiTheme="majorHAnsi" w:hAnsiTheme="majorHAnsi" w:cstheme="majorHAnsi"/>
        </w:rPr>
        <w:t xml:space="preserve"> </w:t>
      </w:r>
    </w:p>
    <w:p w14:paraId="5483D411" w14:textId="2D91FBB1" w:rsidR="00C45122" w:rsidRPr="00CF6AD8" w:rsidRDefault="00C45122" w:rsidP="004C227D">
      <w:pPr>
        <w:spacing w:after="0" w:line="240" w:lineRule="auto"/>
        <w:rPr>
          <w:rStyle w:val="Heading2Char"/>
          <w:rFonts w:eastAsiaTheme="minorHAnsi" w:cstheme="majorHAnsi"/>
          <w:color w:val="auto"/>
          <w:sz w:val="22"/>
          <w:szCs w:val="22"/>
        </w:rPr>
      </w:pPr>
      <w:r w:rsidRPr="00B55105">
        <w:rPr>
          <w:rFonts w:asciiTheme="majorHAnsi" w:hAnsiTheme="majorHAnsi" w:cstheme="majorHAnsi"/>
        </w:rPr>
        <w:t xml:space="preserve">The labor availability index, while still in contraction at 49, has ticked up from last year’s </w:t>
      </w:r>
      <w:r w:rsidR="00137F8D" w:rsidRPr="00B55105">
        <w:rPr>
          <w:rFonts w:asciiTheme="majorHAnsi" w:hAnsiTheme="majorHAnsi" w:cstheme="majorHAnsi"/>
        </w:rPr>
        <w:t xml:space="preserve">performance </w:t>
      </w:r>
      <w:r w:rsidR="006D3563" w:rsidRPr="00B55105">
        <w:rPr>
          <w:rFonts w:asciiTheme="majorHAnsi" w:hAnsiTheme="majorHAnsi" w:cstheme="majorHAnsi"/>
        </w:rPr>
        <w:t>of</w:t>
      </w:r>
      <w:r w:rsidR="00137F8D" w:rsidRPr="00B55105">
        <w:rPr>
          <w:rFonts w:asciiTheme="majorHAnsi" w:hAnsiTheme="majorHAnsi" w:cstheme="majorHAnsi"/>
        </w:rPr>
        <w:t xml:space="preserve"> </w:t>
      </w:r>
      <w:r w:rsidRPr="00B55105">
        <w:rPr>
          <w:rFonts w:asciiTheme="majorHAnsi" w:hAnsiTheme="majorHAnsi" w:cstheme="majorHAnsi"/>
        </w:rPr>
        <w:t>4</w:t>
      </w:r>
      <w:r w:rsidR="00137F8D" w:rsidRPr="00B55105">
        <w:rPr>
          <w:rFonts w:asciiTheme="majorHAnsi" w:hAnsiTheme="majorHAnsi" w:cstheme="majorHAnsi"/>
        </w:rPr>
        <w:t>5</w:t>
      </w:r>
      <w:r w:rsidRPr="00B55105">
        <w:rPr>
          <w:rFonts w:asciiTheme="majorHAnsi" w:hAnsiTheme="majorHAnsi" w:cstheme="majorHAnsi"/>
        </w:rPr>
        <w:t xml:space="preserve">. </w:t>
      </w:r>
      <w:r w:rsidR="00B55105" w:rsidRPr="00B55105">
        <w:rPr>
          <w:rFonts w:asciiTheme="majorHAnsi" w:hAnsiTheme="majorHAnsi" w:cstheme="majorHAnsi"/>
        </w:rPr>
        <w:t xml:space="preserve">This small gain comes with a price. </w:t>
      </w:r>
      <w:r w:rsidRPr="00B55105">
        <w:rPr>
          <w:rFonts w:asciiTheme="majorHAnsi" w:hAnsiTheme="majorHAnsi" w:cstheme="majorHAnsi"/>
        </w:rPr>
        <w:t>To secure the talent needed, 59</w:t>
      </w:r>
      <w:r w:rsidR="00F02FFF" w:rsidRPr="00B55105">
        <w:rPr>
          <w:rFonts w:asciiTheme="majorHAnsi" w:hAnsiTheme="majorHAnsi" w:cstheme="majorHAnsi"/>
        </w:rPr>
        <w:t>%</w:t>
      </w:r>
      <w:r w:rsidRPr="00B55105">
        <w:rPr>
          <w:rFonts w:asciiTheme="majorHAnsi" w:hAnsiTheme="majorHAnsi" w:cstheme="majorHAnsi"/>
        </w:rPr>
        <w:t xml:space="preserve"> of respondents plan to raise wages by at least 3</w:t>
      </w:r>
      <w:r w:rsidR="00B55105" w:rsidRPr="00B55105">
        <w:rPr>
          <w:rFonts w:asciiTheme="majorHAnsi" w:hAnsiTheme="majorHAnsi" w:cstheme="majorHAnsi"/>
        </w:rPr>
        <w:t>%</w:t>
      </w:r>
      <w:r w:rsidRPr="00B55105">
        <w:rPr>
          <w:rFonts w:asciiTheme="majorHAnsi" w:hAnsiTheme="majorHAnsi" w:cstheme="majorHAnsi"/>
        </w:rPr>
        <w:t xml:space="preserve"> (Table 1</w:t>
      </w:r>
      <w:r w:rsidRPr="00B55105">
        <w:rPr>
          <w:rFonts w:asciiTheme="majorHAnsi" w:hAnsiTheme="majorHAnsi" w:cstheme="majorHAnsi"/>
        </w:rPr>
        <w:noBreakHyphen/>
      </w:r>
      <w:r w:rsidR="0011704A" w:rsidRPr="00B55105">
        <w:rPr>
          <w:rFonts w:asciiTheme="majorHAnsi" w:hAnsiTheme="majorHAnsi" w:cstheme="majorHAnsi"/>
        </w:rPr>
        <w:t xml:space="preserve">A and </w:t>
      </w:r>
      <w:r w:rsidRPr="00B55105">
        <w:rPr>
          <w:rFonts w:asciiTheme="majorHAnsi" w:hAnsiTheme="majorHAnsi" w:cstheme="majorHAnsi"/>
        </w:rPr>
        <w:t>B</w:t>
      </w:r>
      <w:r w:rsidR="00187BF3">
        <w:rPr>
          <w:rFonts w:asciiTheme="majorHAnsi" w:hAnsiTheme="majorHAnsi" w:cstheme="majorHAnsi"/>
        </w:rPr>
        <w:t>, Chart 1</w:t>
      </w:r>
      <w:r w:rsidRPr="00B55105">
        <w:rPr>
          <w:rFonts w:asciiTheme="majorHAnsi" w:hAnsiTheme="majorHAnsi" w:cstheme="majorHAnsi"/>
        </w:rPr>
        <w:t>).</w:t>
      </w:r>
      <w:r w:rsidR="003B1478" w:rsidRPr="00A67896">
        <w:rPr>
          <w:rFonts w:asciiTheme="majorHAnsi" w:hAnsiTheme="majorHAnsi" w:cstheme="majorHAnsi"/>
          <w:color w:val="EE0000"/>
        </w:rPr>
        <w:br/>
      </w:r>
    </w:p>
    <w:p w14:paraId="6B6D5A3C" w14:textId="09668B79" w:rsidR="00827FE0" w:rsidRPr="004101B2" w:rsidRDefault="00B374B3" w:rsidP="00187BF3">
      <w:pPr>
        <w:rPr>
          <w:rFonts w:asciiTheme="majorHAnsi" w:hAnsiTheme="majorHAnsi" w:cstheme="majorHAnsi"/>
          <w:color w:val="595959" w:themeColor="text1" w:themeTint="A6"/>
          <w:sz w:val="18"/>
          <w:szCs w:val="18"/>
        </w:rPr>
      </w:pPr>
      <w:r>
        <w:rPr>
          <w:noProof/>
        </w:rPr>
        <w:lastRenderedPageBreak/>
        <w:drawing>
          <wp:inline distT="0" distB="0" distL="0" distR="0" wp14:anchorId="4F906AAF" wp14:editId="547176DD">
            <wp:extent cx="6647290" cy="2870421"/>
            <wp:effectExtent l="0" t="0" r="1270" b="6350"/>
            <wp:docPr id="81062164" name="Chart 1" descr="Chart 2:&#10;Revenue: Expanded both years, with a slight increase from 57 in 2024 to 58 in 2025.&#10;Profits: Shifted from contraction (48) in 2024 to expansion (51) in 2025.&#10;Productivity: In expansion both years, improving from 54 to 58.&#10;Employment: Moved from contraction (49) in 2024 to expansion (57) in 2025—a notable positive shift.&#10;Labor Availability: Improved slightly from 45 to 49, but remained in contraction both years.&#10;Selling Prices: Remained in expansion but declined from 70 to 65.&#10;Input Costs: Still in expansion but decreased from 84 in 2024 to 75 in 2025, suggesting easing cost pressures.&#10;Space Occupancy: Just above the expansion threshold in both years, dipping from 53 to 50.&#10;Exports: Maintained modest expansion, rising slightly from 51 to 52.">
              <a:extLst xmlns:a="http://schemas.openxmlformats.org/drawingml/2006/main">
                <a:ext uri="{FF2B5EF4-FFF2-40B4-BE49-F238E27FC236}">
                  <a16:creationId xmlns:a16="http://schemas.microsoft.com/office/drawing/2014/main" id="{B4EE341A-E8F0-4A61-1FDC-4D5445BAD1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27FE0">
        <w:rPr>
          <w:rFonts w:asciiTheme="majorHAnsi" w:hAnsiTheme="majorHAnsi" w:cstheme="majorHAnsi"/>
          <w:noProof/>
          <w:sz w:val="18"/>
          <w:szCs w:val="18"/>
        </w:rPr>
        <w:br/>
      </w:r>
      <w:r w:rsidR="00827FE0" w:rsidRPr="004101B2">
        <w:rPr>
          <w:rFonts w:asciiTheme="majorHAnsi" w:hAnsiTheme="majorHAnsi" w:cstheme="majorHAnsi"/>
          <w:color w:val="595959" w:themeColor="text1" w:themeTint="A6"/>
          <w:sz w:val="18"/>
          <w:szCs w:val="18"/>
        </w:rPr>
        <w:t>*Values above 50 indicate expansion. Below 50, contraction. The index is computed by taking the percentage of responses that indicated “Up”</w:t>
      </w:r>
      <w:r w:rsidR="006A31D0" w:rsidRPr="004101B2">
        <w:rPr>
          <w:rFonts w:asciiTheme="majorHAnsi" w:hAnsiTheme="majorHAnsi" w:cstheme="majorHAnsi"/>
          <w:color w:val="595959" w:themeColor="text1" w:themeTint="A6"/>
          <w:sz w:val="18"/>
          <w:szCs w:val="18"/>
        </w:rPr>
        <w:br/>
      </w:r>
      <w:r w:rsidR="00827FE0" w:rsidRPr="004101B2">
        <w:rPr>
          <w:rFonts w:asciiTheme="majorHAnsi" w:hAnsiTheme="majorHAnsi" w:cstheme="majorHAnsi"/>
          <w:color w:val="595959" w:themeColor="text1" w:themeTint="A6"/>
          <w:sz w:val="18"/>
          <w:szCs w:val="18"/>
        </w:rPr>
        <w:t xml:space="preserve"> and half of the respondents that indicated “Same.”</w:t>
      </w:r>
    </w:p>
    <w:p w14:paraId="5B3D3DCB" w14:textId="1325B630" w:rsidR="00B0174D" w:rsidRPr="00827FE0" w:rsidRDefault="006A31D0" w:rsidP="008C020B">
      <w:pPr>
        <w:spacing w:after="0" w:line="240" w:lineRule="auto"/>
        <w:rPr>
          <w:rFonts w:asciiTheme="majorHAnsi" w:eastAsiaTheme="majorEastAsia" w:hAnsiTheme="majorHAnsi" w:cstheme="majorHAnsi"/>
          <w:b/>
          <w:sz w:val="26"/>
          <w:szCs w:val="26"/>
        </w:rPr>
      </w:pPr>
      <w:r>
        <w:rPr>
          <w:rStyle w:val="Heading2Char"/>
          <w:rFonts w:cstheme="majorHAnsi"/>
          <w:b/>
          <w:color w:val="auto"/>
        </w:rPr>
        <w:br/>
      </w:r>
      <w:r w:rsidR="00A66699" w:rsidRPr="008C020B">
        <w:rPr>
          <w:rStyle w:val="Heading2Char"/>
          <w:rFonts w:cstheme="majorHAnsi"/>
          <w:b/>
          <w:color w:val="auto"/>
        </w:rPr>
        <w:t xml:space="preserve">Outlook </w:t>
      </w:r>
      <w:r w:rsidR="00557345" w:rsidRPr="008C020B">
        <w:rPr>
          <w:rStyle w:val="Heading2Char"/>
          <w:rFonts w:cstheme="majorHAnsi"/>
          <w:b/>
          <w:color w:val="auto"/>
        </w:rPr>
        <w:t>O</w:t>
      </w:r>
      <w:r w:rsidR="00A66699" w:rsidRPr="008C020B">
        <w:rPr>
          <w:rStyle w:val="Heading2Char"/>
          <w:rFonts w:cstheme="majorHAnsi"/>
          <w:b/>
          <w:color w:val="auto"/>
        </w:rPr>
        <w:t xml:space="preserve">n </w:t>
      </w:r>
      <w:r w:rsidR="00557345" w:rsidRPr="008C020B">
        <w:rPr>
          <w:rStyle w:val="Heading2Char"/>
          <w:rFonts w:cstheme="majorHAnsi"/>
          <w:b/>
          <w:color w:val="auto"/>
        </w:rPr>
        <w:t>T</w:t>
      </w:r>
      <w:r w:rsidR="00A66699" w:rsidRPr="008C020B">
        <w:rPr>
          <w:rStyle w:val="Heading2Char"/>
          <w:rFonts w:cstheme="majorHAnsi"/>
          <w:b/>
          <w:color w:val="auto"/>
        </w:rPr>
        <w:t>he State Economy</w:t>
      </w:r>
      <w:r w:rsidR="00E66F63" w:rsidRPr="008C020B">
        <w:rPr>
          <w:rStyle w:val="Heading2Char"/>
          <w:rFonts w:cstheme="majorHAnsi"/>
          <w:b/>
          <w:color w:val="auto"/>
        </w:rPr>
        <w:t>: Next Year</w:t>
      </w:r>
      <w:r w:rsidR="00520911" w:rsidRPr="008C020B">
        <w:rPr>
          <w:rFonts w:asciiTheme="majorHAnsi" w:hAnsiTheme="majorHAnsi" w:cstheme="majorHAnsi"/>
        </w:rPr>
        <w:t xml:space="preserve"> </w:t>
      </w:r>
      <w:r w:rsidR="002B3361" w:rsidRPr="008C020B">
        <w:rPr>
          <w:rFonts w:asciiTheme="majorHAnsi" w:hAnsiTheme="majorHAnsi" w:cstheme="majorHAnsi"/>
        </w:rPr>
        <w:t xml:space="preserve"> </w:t>
      </w:r>
    </w:p>
    <w:p w14:paraId="5F0EA21E" w14:textId="77777777" w:rsidR="00461BEB" w:rsidRDefault="00B0174D" w:rsidP="00355F92">
      <w:pPr>
        <w:spacing w:after="120" w:line="240" w:lineRule="auto"/>
        <w:rPr>
          <w:rFonts w:asciiTheme="majorHAnsi" w:hAnsiTheme="majorHAnsi" w:cstheme="majorHAnsi"/>
        </w:rPr>
      </w:pPr>
      <w:r w:rsidRPr="00B35C01">
        <w:rPr>
          <w:rFonts w:asciiTheme="majorHAnsi" w:hAnsiTheme="majorHAnsi" w:cstheme="majorHAnsi"/>
          <w:color w:val="000000" w:themeColor="text1"/>
        </w:rPr>
        <w:t xml:space="preserve">Minnesota business services firms have a pessimistic outlook for the overall economy in the </w:t>
      </w:r>
      <w:r w:rsidR="00B35C01" w:rsidRPr="00B35C01">
        <w:rPr>
          <w:rFonts w:asciiTheme="majorHAnsi" w:hAnsiTheme="majorHAnsi" w:cstheme="majorHAnsi"/>
          <w:color w:val="000000" w:themeColor="text1"/>
        </w:rPr>
        <w:t>next four quarters</w:t>
      </w:r>
      <w:r w:rsidRPr="00B35C01">
        <w:rPr>
          <w:rFonts w:asciiTheme="majorHAnsi" w:hAnsiTheme="majorHAnsi" w:cstheme="majorHAnsi"/>
          <w:color w:val="000000" w:themeColor="text1"/>
        </w:rPr>
        <w:t>.</w:t>
      </w:r>
      <w:r w:rsidR="00B35C01" w:rsidRPr="00B35C01">
        <w:rPr>
          <w:rFonts w:asciiTheme="majorHAnsi" w:hAnsiTheme="majorHAnsi" w:cstheme="majorHAnsi"/>
          <w:color w:val="000000" w:themeColor="text1"/>
        </w:rPr>
        <w:t xml:space="preserve"> Respondents are particularly concerned with consumer spending as half expect a decline, resulting in a diffusion index of 32</w:t>
      </w:r>
      <w:r w:rsidR="00355F92">
        <w:rPr>
          <w:rFonts w:asciiTheme="majorHAnsi" w:hAnsiTheme="majorHAnsi" w:cstheme="majorHAnsi"/>
          <w:color w:val="000000" w:themeColor="text1"/>
        </w:rPr>
        <w:t>, the lowest of all indexes for the economy.</w:t>
      </w:r>
      <w:r w:rsidR="001D73C8">
        <w:rPr>
          <w:rFonts w:asciiTheme="majorHAnsi" w:hAnsiTheme="majorHAnsi" w:cstheme="majorHAnsi"/>
          <w:color w:val="000000" w:themeColor="text1"/>
        </w:rPr>
        <w:t xml:space="preserve"> </w:t>
      </w:r>
      <w:r w:rsidR="00B35C01" w:rsidRPr="00B35C01">
        <w:rPr>
          <w:rFonts w:asciiTheme="majorHAnsi" w:hAnsiTheme="majorHAnsi" w:cstheme="majorHAnsi"/>
          <w:color w:val="000000" w:themeColor="text1"/>
        </w:rPr>
        <w:t>Forty-one percent anticipate a decline in corporate profits, yielding a diffusion index of 39, signaling continu</w:t>
      </w:r>
      <w:r w:rsidR="00343CBD">
        <w:rPr>
          <w:rFonts w:asciiTheme="majorHAnsi" w:hAnsiTheme="majorHAnsi" w:cstheme="majorHAnsi"/>
          <w:color w:val="000000" w:themeColor="text1"/>
        </w:rPr>
        <w:t>ing</w:t>
      </w:r>
      <w:r w:rsidR="00B35C01" w:rsidRPr="00B35C01">
        <w:rPr>
          <w:rFonts w:asciiTheme="majorHAnsi" w:hAnsiTheme="majorHAnsi" w:cstheme="majorHAnsi"/>
          <w:color w:val="000000" w:themeColor="text1"/>
        </w:rPr>
        <w:t xml:space="preserve"> reduction in profits. As one </w:t>
      </w:r>
      <w:r w:rsidR="001D73C8">
        <w:rPr>
          <w:rFonts w:asciiTheme="majorHAnsi" w:hAnsiTheme="majorHAnsi" w:cstheme="majorHAnsi"/>
          <w:color w:val="000000" w:themeColor="text1"/>
        </w:rPr>
        <w:t>graphic design firm</w:t>
      </w:r>
      <w:r w:rsidR="00B35C01" w:rsidRPr="00B35C01">
        <w:rPr>
          <w:rFonts w:asciiTheme="majorHAnsi" w:hAnsiTheme="majorHAnsi" w:cstheme="majorHAnsi"/>
          <w:color w:val="000000" w:themeColor="text1"/>
        </w:rPr>
        <w:t xml:space="preserve"> commented</w:t>
      </w:r>
      <w:r w:rsidR="00B35C01">
        <w:rPr>
          <w:rFonts w:asciiTheme="majorHAnsi" w:hAnsiTheme="majorHAnsi" w:cstheme="majorHAnsi"/>
          <w:color w:val="000000" w:themeColor="text1"/>
        </w:rPr>
        <w:t>:</w:t>
      </w:r>
      <w:r w:rsidR="00B35C01" w:rsidRPr="00B35C01">
        <w:rPr>
          <w:rFonts w:asciiTheme="majorHAnsi" w:hAnsiTheme="majorHAnsi" w:cstheme="majorHAnsi"/>
          <w:color w:val="000000" w:themeColor="text1"/>
        </w:rPr>
        <w:t xml:space="preserve"> “</w:t>
      </w:r>
      <w:r w:rsidR="00B35C01" w:rsidRPr="00B35C01">
        <w:rPr>
          <w:rFonts w:asciiTheme="majorHAnsi" w:hAnsiTheme="majorHAnsi" w:cstheme="majorHAnsi"/>
          <w:i/>
          <w:iCs/>
        </w:rPr>
        <w:t>People are starting to feel money tightening, which means my in-person sales for the holiday season will</w:t>
      </w:r>
      <w:r w:rsidR="00B35C01">
        <w:rPr>
          <w:rFonts w:asciiTheme="majorHAnsi" w:hAnsiTheme="majorHAnsi" w:cstheme="majorHAnsi"/>
          <w:i/>
          <w:iCs/>
        </w:rPr>
        <w:t xml:space="preserve"> </w:t>
      </w:r>
      <w:r w:rsidR="00B35C01" w:rsidRPr="005B1903">
        <w:rPr>
          <w:rFonts w:asciiTheme="majorHAnsi" w:hAnsiTheme="majorHAnsi" w:cstheme="majorHAnsi"/>
          <w:i/>
          <w:iCs/>
        </w:rPr>
        <w:t>be lower while supply costs have been going up, which means income/profits will be down</w:t>
      </w:r>
      <w:r w:rsidR="00B35C01">
        <w:rPr>
          <w:rFonts w:asciiTheme="majorHAnsi" w:hAnsiTheme="majorHAnsi" w:cstheme="majorHAnsi"/>
          <w:i/>
          <w:iCs/>
        </w:rPr>
        <w:t>.”</w:t>
      </w:r>
      <w:r w:rsidR="00355F92">
        <w:rPr>
          <w:rFonts w:asciiTheme="majorHAnsi" w:hAnsiTheme="majorHAnsi" w:cstheme="majorHAnsi"/>
          <w:i/>
          <w:iCs/>
        </w:rPr>
        <w:t xml:space="preserve"> </w:t>
      </w:r>
    </w:p>
    <w:p w14:paraId="5FE1121D" w14:textId="0FA12893" w:rsidR="00187BF3" w:rsidRDefault="00DB7513" w:rsidP="00355F92">
      <w:pPr>
        <w:spacing w:after="120" w:line="240" w:lineRule="auto"/>
        <w:rPr>
          <w:noProof/>
        </w:rPr>
      </w:pPr>
      <w:r w:rsidRPr="00DB7513">
        <w:rPr>
          <w:rFonts w:asciiTheme="majorHAnsi" w:hAnsiTheme="majorHAnsi" w:cstheme="majorHAnsi"/>
        </w:rPr>
        <w:t xml:space="preserve">Employment </w:t>
      </w:r>
      <w:r w:rsidR="00EB6A0E">
        <w:rPr>
          <w:rFonts w:asciiTheme="majorHAnsi" w:hAnsiTheme="majorHAnsi" w:cstheme="majorHAnsi"/>
        </w:rPr>
        <w:t xml:space="preserve">is </w:t>
      </w:r>
      <w:r w:rsidR="006A31D0">
        <w:rPr>
          <w:rFonts w:asciiTheme="majorHAnsi" w:hAnsiTheme="majorHAnsi" w:cstheme="majorHAnsi"/>
        </w:rPr>
        <w:t>expected</w:t>
      </w:r>
      <w:r w:rsidR="00EB6A0E">
        <w:rPr>
          <w:rFonts w:asciiTheme="majorHAnsi" w:hAnsiTheme="majorHAnsi" w:cstheme="majorHAnsi"/>
        </w:rPr>
        <w:t xml:space="preserve"> to continue</w:t>
      </w:r>
      <w:r w:rsidRPr="00DB7513">
        <w:rPr>
          <w:rFonts w:asciiTheme="majorHAnsi" w:hAnsiTheme="majorHAnsi" w:cstheme="majorHAnsi"/>
        </w:rPr>
        <w:t xml:space="preserve"> in contraction, with a diffusion index of 46. Additionally, </w:t>
      </w:r>
      <w:r w:rsidR="008E6BAE">
        <w:rPr>
          <w:rFonts w:asciiTheme="majorHAnsi" w:hAnsiTheme="majorHAnsi" w:cstheme="majorHAnsi"/>
        </w:rPr>
        <w:t xml:space="preserve">expectations for </w:t>
      </w:r>
      <w:r w:rsidRPr="00DB7513">
        <w:rPr>
          <w:rFonts w:asciiTheme="majorHAnsi" w:hAnsiTheme="majorHAnsi" w:cstheme="majorHAnsi"/>
        </w:rPr>
        <w:t xml:space="preserve">inflation increased with </w:t>
      </w:r>
      <w:r>
        <w:rPr>
          <w:rFonts w:asciiTheme="majorHAnsi" w:hAnsiTheme="majorHAnsi" w:cstheme="majorHAnsi"/>
        </w:rPr>
        <w:t>an index of</w:t>
      </w:r>
      <w:r w:rsidRPr="00DB7513">
        <w:rPr>
          <w:rFonts w:asciiTheme="majorHAnsi" w:hAnsiTheme="majorHAnsi" w:cstheme="majorHAnsi"/>
        </w:rPr>
        <w:t xml:space="preserve"> 77</w:t>
      </w:r>
      <w:r w:rsidR="00187BF3">
        <w:rPr>
          <w:rFonts w:asciiTheme="majorHAnsi" w:hAnsiTheme="majorHAnsi" w:cstheme="majorHAnsi"/>
        </w:rPr>
        <w:t>.</w:t>
      </w:r>
      <w:r w:rsidR="00461BEB">
        <w:rPr>
          <w:rFonts w:asciiTheme="majorHAnsi" w:hAnsiTheme="majorHAnsi" w:cstheme="majorHAnsi"/>
        </w:rPr>
        <w:t xml:space="preserve"> (Chart 2, </w:t>
      </w:r>
      <w:r w:rsidR="00187BF3" w:rsidRPr="00187BF3">
        <w:rPr>
          <w:noProof/>
        </w:rPr>
        <w:t xml:space="preserve"> </w:t>
      </w:r>
      <w:r w:rsidR="00461BEB" w:rsidRPr="00461BEB">
        <w:rPr>
          <w:rFonts w:asciiTheme="majorHAnsi" w:hAnsiTheme="majorHAnsi" w:cstheme="majorHAnsi"/>
          <w:noProof/>
        </w:rPr>
        <w:t>Table 1.C</w:t>
      </w:r>
      <w:r w:rsidR="00461BEB">
        <w:rPr>
          <w:rFonts w:asciiTheme="majorHAnsi" w:hAnsiTheme="majorHAnsi" w:cstheme="majorHAnsi"/>
          <w:noProof/>
        </w:rPr>
        <w:t>)</w:t>
      </w:r>
    </w:p>
    <w:p w14:paraId="6159976B" w14:textId="77777777" w:rsidR="00187BF3" w:rsidRDefault="00187BF3" w:rsidP="00BE3E10">
      <w:pPr>
        <w:spacing w:after="0" w:line="240" w:lineRule="auto"/>
        <w:rPr>
          <w:noProof/>
        </w:rPr>
      </w:pPr>
    </w:p>
    <w:p w14:paraId="4886595A" w14:textId="1979246E" w:rsidR="00B86180" w:rsidRPr="00341B86" w:rsidRDefault="00B86180" w:rsidP="00BE3E10">
      <w:pPr>
        <w:spacing w:after="0" w:line="240" w:lineRule="auto"/>
        <w:rPr>
          <w:rFonts w:asciiTheme="majorHAnsi" w:hAnsiTheme="majorHAnsi" w:cstheme="majorHAnsi"/>
          <w:i/>
          <w:iCs/>
        </w:rPr>
        <w:sectPr w:rsidR="00B86180" w:rsidRPr="00341B86" w:rsidSect="00FF6F5D">
          <w:type w:val="continuous"/>
          <w:pgSz w:w="12240" w:h="15840"/>
          <w:pgMar w:top="720" w:right="720" w:bottom="720" w:left="720" w:header="720" w:footer="720" w:gutter="0"/>
          <w:cols w:space="720"/>
          <w:docGrid w:linePitch="360"/>
        </w:sectPr>
      </w:pPr>
    </w:p>
    <w:p w14:paraId="7B2C43E8" w14:textId="77860C34" w:rsidR="00187BF3" w:rsidRDefault="00BE3E10" w:rsidP="00BE3E10">
      <w:pPr>
        <w:spacing w:after="0" w:line="240" w:lineRule="auto"/>
        <w:contextualSpacing/>
        <w:rPr>
          <w:noProof/>
        </w:rPr>
      </w:pPr>
      <w:bookmarkStart w:id="1" w:name="_Hlk76110608"/>
      <w:r>
        <w:rPr>
          <w:noProof/>
        </w:rPr>
        <w:drawing>
          <wp:inline distT="0" distB="0" distL="0" distR="0" wp14:anchorId="6C8F1DF3" wp14:editId="1FE9D3A7">
            <wp:extent cx="4492487" cy="2592125"/>
            <wp:effectExtent l="0" t="0" r="3810" b="17780"/>
            <wp:docPr id="443740856" name="Chart 1" descr="The table presents a forecast of key state economic indicators over the next four quarters. It uses a diffusion index, where values above 50 signal expansion, and values below 50 contraction. Here's the breakdown:&#10;&#10;Employment:&#10;The diffusion index is 46, indicating a slight contraction in employment expectations.&#10;&#10;Consumer Spending:&#10;The diffusion index is 32, signaling a significant expected contraction in consumer spending.&#10;&#10;Inflation:&#10;The diffusion index is 77, suggesting strong expectations of inflation continuing to rise.&#10;&#10;Corporate Profits:&#10;The diffusion index is 39, indicating an anticipated contraction in corporate profits.&#10;&#10;Mergers and Acquisitions (M&amp;A):&#10;The diffusion index is 59, which points to expected expansion in M&amp;A activity.">
              <a:extLst xmlns:a="http://schemas.openxmlformats.org/drawingml/2006/main">
                <a:ext uri="{FF2B5EF4-FFF2-40B4-BE49-F238E27FC236}">
                  <a16:creationId xmlns:a16="http://schemas.microsoft.com/office/drawing/2014/main" id="{725D96F3-CCBC-76AD-1E33-55A702F5DF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4A7DA6" w14:textId="77777777" w:rsidR="00BE3E10" w:rsidRPr="004101B2" w:rsidRDefault="00BE3E10" w:rsidP="00BE3E10">
      <w:pPr>
        <w:rPr>
          <w:rFonts w:asciiTheme="majorHAnsi" w:hAnsiTheme="majorHAnsi" w:cstheme="majorHAnsi"/>
          <w:color w:val="595959" w:themeColor="text1" w:themeTint="A6"/>
          <w:sz w:val="18"/>
          <w:szCs w:val="18"/>
        </w:rPr>
      </w:pPr>
      <w:r w:rsidRPr="004101B2">
        <w:rPr>
          <w:rFonts w:asciiTheme="majorHAnsi" w:hAnsiTheme="majorHAnsi" w:cstheme="majorHAnsi"/>
          <w:color w:val="595959" w:themeColor="text1" w:themeTint="A6"/>
          <w:sz w:val="18"/>
          <w:szCs w:val="18"/>
        </w:rPr>
        <w:t>*Values above 50 indicate expansion. Below 50, contraction. The index is computed by taking the percentage of responses that indicated “Up”</w:t>
      </w:r>
      <w:r w:rsidRPr="004101B2">
        <w:rPr>
          <w:rFonts w:asciiTheme="majorHAnsi" w:hAnsiTheme="majorHAnsi" w:cstheme="majorHAnsi"/>
          <w:color w:val="595959" w:themeColor="text1" w:themeTint="A6"/>
          <w:sz w:val="18"/>
          <w:szCs w:val="18"/>
        </w:rPr>
        <w:br/>
        <w:t xml:space="preserve"> and half of the respondents that indicated “Same.”</w:t>
      </w:r>
    </w:p>
    <w:p w14:paraId="71B26269" w14:textId="77777777" w:rsidR="00187BF3" w:rsidRDefault="00187BF3" w:rsidP="00BE3E10">
      <w:pPr>
        <w:spacing w:after="0" w:line="240" w:lineRule="auto"/>
        <w:contextualSpacing/>
        <w:rPr>
          <w:noProof/>
        </w:rPr>
      </w:pPr>
    </w:p>
    <w:p w14:paraId="2B0DF23D" w14:textId="6735B602" w:rsidR="00187BF3" w:rsidRPr="001677C7" w:rsidRDefault="00471F42" w:rsidP="003D16DE">
      <w:pPr>
        <w:pStyle w:val="Title"/>
        <w:ind w:left="90"/>
        <w:jc w:val="both"/>
        <w:rPr>
          <w:rFonts w:cstheme="majorHAnsi"/>
          <w:b/>
          <w:color w:val="1F4E79" w:themeColor="accent1" w:themeShade="80"/>
          <w:sz w:val="22"/>
          <w:szCs w:val="22"/>
        </w:rPr>
      </w:pPr>
      <w:r>
        <w:rPr>
          <w:rFonts w:cstheme="majorHAnsi"/>
          <w:b/>
          <w:color w:val="1F4E79" w:themeColor="accent1" w:themeShade="80"/>
          <w:sz w:val="22"/>
          <w:szCs w:val="22"/>
        </w:rPr>
        <w:br w:type="page"/>
      </w:r>
      <w:r w:rsidR="00187BF3" w:rsidRPr="001677C7">
        <w:rPr>
          <w:rFonts w:cstheme="majorHAnsi"/>
          <w:b/>
          <w:color w:val="1F4E79" w:themeColor="accent1" w:themeShade="80"/>
          <w:sz w:val="22"/>
          <w:szCs w:val="22"/>
        </w:rPr>
        <w:lastRenderedPageBreak/>
        <w:t>Table 1: Minnesota 202</w:t>
      </w:r>
      <w:r w:rsidR="00187BF3">
        <w:rPr>
          <w:rFonts w:cstheme="majorHAnsi"/>
          <w:b/>
          <w:color w:val="1F4E79" w:themeColor="accent1" w:themeShade="80"/>
          <w:sz w:val="22"/>
          <w:szCs w:val="22"/>
        </w:rPr>
        <w:t>5</w:t>
      </w:r>
      <w:r w:rsidR="00187BF3" w:rsidRPr="001677C7">
        <w:rPr>
          <w:rFonts w:cstheme="majorHAnsi"/>
          <w:b/>
          <w:color w:val="1F4E79" w:themeColor="accent1" w:themeShade="80"/>
          <w:sz w:val="22"/>
          <w:szCs w:val="22"/>
        </w:rPr>
        <w:t xml:space="preserve"> Business Services Firms Condition Survey Results</w:t>
      </w:r>
      <w:r w:rsidR="00187BF3" w:rsidRPr="001677C7">
        <w:rPr>
          <w:rFonts w:cstheme="majorHAnsi"/>
          <w:b/>
          <w:color w:val="1F4E79" w:themeColor="accent1" w:themeShade="80"/>
          <w:sz w:val="22"/>
          <w:szCs w:val="22"/>
          <w:vertAlign w:val="superscript"/>
        </w:rPr>
        <w:t>1</w:t>
      </w:r>
    </w:p>
    <w:tbl>
      <w:tblPr>
        <w:tblStyle w:val="PlainTable5"/>
        <w:tblW w:w="10532" w:type="dxa"/>
        <w:jc w:val="center"/>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Pr>
      <w:tblGrid>
        <w:gridCol w:w="5121"/>
        <w:gridCol w:w="1352"/>
        <w:gridCol w:w="1272"/>
        <w:gridCol w:w="1260"/>
        <w:gridCol w:w="1527"/>
      </w:tblGrid>
      <w:tr w:rsidR="00187BF3" w:rsidRPr="001677C7" w14:paraId="2B266077"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tcW w:w="5121" w:type="dxa"/>
            <w:tcBorders>
              <w:top w:val="single" w:sz="4" w:space="0" w:color="auto"/>
              <w:bottom w:val="single" w:sz="4" w:space="0" w:color="auto"/>
              <w:right w:val="nil"/>
            </w:tcBorders>
            <w:shd w:val="clear" w:color="auto" w:fill="BDD6EE" w:themeFill="accent1" w:themeFillTint="66"/>
            <w:noWrap/>
            <w:hideMark/>
          </w:tcPr>
          <w:p w14:paraId="5112D86A" w14:textId="77777777" w:rsidR="00187BF3" w:rsidRPr="00C75042" w:rsidRDefault="00187BF3" w:rsidP="00DD01EC">
            <w:pPr>
              <w:pStyle w:val="ListParagraph"/>
              <w:numPr>
                <w:ilvl w:val="0"/>
                <w:numId w:val="14"/>
              </w:numPr>
              <w:rPr>
                <w:rFonts w:eastAsia="Times New Roman" w:cstheme="majorHAnsi"/>
                <w:b/>
                <w:bCs/>
                <w:i w:val="0"/>
                <w:iCs w:val="0"/>
                <w:color w:val="000000"/>
                <w:sz w:val="18"/>
                <w:szCs w:val="18"/>
              </w:rPr>
            </w:pPr>
            <w:r w:rsidRPr="00C75042">
              <w:rPr>
                <w:rFonts w:eastAsia="Times New Roman" w:cstheme="majorHAnsi"/>
                <w:b/>
                <w:bCs/>
                <w:i w:val="0"/>
                <w:iCs w:val="0"/>
                <w:color w:val="000000"/>
                <w:sz w:val="18"/>
                <w:szCs w:val="18"/>
              </w:rPr>
              <w:t xml:space="preserve">Business indicators in the last </w:t>
            </w:r>
            <w:r>
              <w:rPr>
                <w:rFonts w:eastAsia="Times New Roman" w:cstheme="majorHAnsi"/>
                <w:b/>
                <w:bCs/>
                <w:i w:val="0"/>
                <w:iCs w:val="0"/>
                <w:color w:val="000000"/>
                <w:sz w:val="18"/>
                <w:szCs w:val="18"/>
              </w:rPr>
              <w:t>four quarters</w:t>
            </w:r>
          </w:p>
        </w:tc>
        <w:tc>
          <w:tcPr>
            <w:tcW w:w="1352" w:type="dxa"/>
            <w:tcBorders>
              <w:top w:val="single" w:sz="4" w:space="0" w:color="auto"/>
              <w:left w:val="nil"/>
              <w:bottom w:val="single" w:sz="4" w:space="0" w:color="auto"/>
            </w:tcBorders>
            <w:shd w:val="clear" w:color="auto" w:fill="BDD6EE" w:themeFill="accent1" w:themeFillTint="66"/>
            <w:noWrap/>
            <w:hideMark/>
          </w:tcPr>
          <w:p w14:paraId="5B053492" w14:textId="77777777" w:rsidR="00187BF3" w:rsidRPr="001677C7" w:rsidRDefault="00187BF3" w:rsidP="00DD01EC">
            <w:pPr>
              <w:jc w:val="center"/>
              <w:rPr>
                <w:rFonts w:eastAsia="Times New Roman" w:cstheme="majorHAnsi"/>
                <w:b/>
                <w:bCs/>
                <w:i w:val="0"/>
                <w:color w:val="000000"/>
                <w:sz w:val="18"/>
                <w:szCs w:val="18"/>
              </w:rPr>
            </w:pPr>
            <w:r w:rsidRPr="001677C7">
              <w:rPr>
                <w:rFonts w:eastAsia="Times New Roman" w:cstheme="majorHAnsi"/>
                <w:b/>
                <w:bCs/>
                <w:i w:val="0"/>
                <w:color w:val="000000"/>
                <w:sz w:val="18"/>
                <w:szCs w:val="18"/>
              </w:rPr>
              <w:t>Up</w:t>
            </w:r>
          </w:p>
        </w:tc>
        <w:tc>
          <w:tcPr>
            <w:tcW w:w="1272" w:type="dxa"/>
            <w:tcBorders>
              <w:top w:val="single" w:sz="4" w:space="0" w:color="auto"/>
              <w:bottom w:val="single" w:sz="4" w:space="0" w:color="auto"/>
            </w:tcBorders>
            <w:shd w:val="clear" w:color="auto" w:fill="BDD6EE" w:themeFill="accent1" w:themeFillTint="66"/>
            <w:noWrap/>
            <w:hideMark/>
          </w:tcPr>
          <w:p w14:paraId="71BEAB9D" w14:textId="77777777" w:rsidR="00187BF3" w:rsidRPr="001677C7" w:rsidRDefault="00187BF3" w:rsidP="00DD01EC">
            <w:pPr>
              <w:jc w:val="center"/>
              <w:rPr>
                <w:rFonts w:eastAsia="Times New Roman" w:cstheme="majorHAnsi"/>
                <w:b/>
                <w:bCs/>
                <w:i w:val="0"/>
                <w:color w:val="000000"/>
                <w:sz w:val="18"/>
                <w:szCs w:val="18"/>
              </w:rPr>
            </w:pPr>
            <w:r w:rsidRPr="001677C7">
              <w:rPr>
                <w:rFonts w:eastAsia="Times New Roman" w:cstheme="majorHAnsi"/>
                <w:b/>
                <w:bCs/>
                <w:i w:val="0"/>
                <w:color w:val="000000"/>
                <w:sz w:val="18"/>
                <w:szCs w:val="18"/>
              </w:rPr>
              <w:t>Same</w:t>
            </w:r>
          </w:p>
        </w:tc>
        <w:tc>
          <w:tcPr>
            <w:tcW w:w="1260" w:type="dxa"/>
            <w:tcBorders>
              <w:top w:val="single" w:sz="4" w:space="0" w:color="auto"/>
              <w:bottom w:val="single" w:sz="4" w:space="0" w:color="auto"/>
            </w:tcBorders>
            <w:shd w:val="clear" w:color="auto" w:fill="BDD6EE" w:themeFill="accent1" w:themeFillTint="66"/>
            <w:noWrap/>
            <w:hideMark/>
          </w:tcPr>
          <w:p w14:paraId="3ACA996D" w14:textId="77777777" w:rsidR="00187BF3" w:rsidRPr="001677C7" w:rsidRDefault="00187BF3" w:rsidP="00DD01EC">
            <w:pPr>
              <w:jc w:val="center"/>
              <w:rPr>
                <w:rFonts w:eastAsia="Times New Roman" w:cstheme="majorHAnsi"/>
                <w:b/>
                <w:bCs/>
                <w:i w:val="0"/>
                <w:color w:val="000000"/>
                <w:sz w:val="18"/>
                <w:szCs w:val="18"/>
              </w:rPr>
            </w:pPr>
            <w:r w:rsidRPr="001677C7">
              <w:rPr>
                <w:rFonts w:eastAsia="Times New Roman" w:cstheme="majorHAnsi"/>
                <w:b/>
                <w:bCs/>
                <w:i w:val="0"/>
                <w:color w:val="000000"/>
                <w:sz w:val="18"/>
                <w:szCs w:val="18"/>
              </w:rPr>
              <w:t>Down</w:t>
            </w:r>
          </w:p>
        </w:tc>
        <w:tc>
          <w:tcPr>
            <w:tcW w:w="1527" w:type="dxa"/>
            <w:tcBorders>
              <w:top w:val="single" w:sz="4" w:space="0" w:color="auto"/>
              <w:bottom w:val="single" w:sz="4" w:space="0" w:color="auto"/>
            </w:tcBorders>
            <w:shd w:val="clear" w:color="auto" w:fill="BDD6EE" w:themeFill="accent1" w:themeFillTint="66"/>
          </w:tcPr>
          <w:p w14:paraId="096CB9F3" w14:textId="77777777" w:rsidR="00187BF3" w:rsidRPr="000241BD" w:rsidRDefault="00187BF3" w:rsidP="00DD01EC">
            <w:pPr>
              <w:jc w:val="center"/>
              <w:rPr>
                <w:rFonts w:eastAsia="Times New Roman" w:cstheme="majorHAnsi"/>
                <w:b/>
                <w:bCs/>
                <w:i w:val="0"/>
                <w:iCs w:val="0"/>
                <w:sz w:val="18"/>
                <w:szCs w:val="18"/>
              </w:rPr>
            </w:pPr>
            <w:r>
              <w:rPr>
                <w:rFonts w:eastAsia="Times New Roman" w:cstheme="majorHAnsi"/>
                <w:b/>
                <w:bCs/>
                <w:i w:val="0"/>
                <w:iCs w:val="0"/>
                <w:sz w:val="18"/>
                <w:szCs w:val="18"/>
              </w:rPr>
              <w:t xml:space="preserve">Diffusion Index </w:t>
            </w:r>
            <w:r w:rsidRPr="00FE1004">
              <w:rPr>
                <w:rFonts w:eastAsia="Times New Roman" w:cstheme="majorHAnsi"/>
                <w:b/>
                <w:bCs/>
                <w:i w:val="0"/>
                <w:iCs w:val="0"/>
                <w:sz w:val="18"/>
                <w:szCs w:val="18"/>
                <w:vertAlign w:val="superscript"/>
              </w:rPr>
              <w:t>(2)</w:t>
            </w:r>
          </w:p>
        </w:tc>
      </w:tr>
      <w:tr w:rsidR="00187BF3" w:rsidRPr="001677C7" w14:paraId="4BE8495C"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tcW w:w="5121" w:type="dxa"/>
            <w:tcBorders>
              <w:top w:val="single" w:sz="4" w:space="0" w:color="auto"/>
              <w:bottom w:val="nil"/>
              <w:right w:val="nil"/>
            </w:tcBorders>
            <w:noWrap/>
            <w:hideMark/>
          </w:tcPr>
          <w:p w14:paraId="7A4F901E" w14:textId="77777777" w:rsidR="00187BF3" w:rsidRPr="001677C7" w:rsidRDefault="00187BF3" w:rsidP="00DD01EC">
            <w:pPr>
              <w:rPr>
                <w:rFonts w:eastAsia="Times New Roman" w:cstheme="majorHAnsi"/>
                <w:i w:val="0"/>
                <w:color w:val="000000"/>
                <w:sz w:val="18"/>
                <w:szCs w:val="18"/>
              </w:rPr>
            </w:pPr>
            <w:r w:rsidRPr="001677C7">
              <w:rPr>
                <w:rFonts w:eastAsia="Times New Roman" w:cstheme="majorHAnsi"/>
                <w:i w:val="0"/>
                <w:color w:val="000000"/>
                <w:sz w:val="18"/>
                <w:szCs w:val="18"/>
              </w:rPr>
              <w:t>Sales revenue</w:t>
            </w:r>
          </w:p>
        </w:tc>
        <w:tc>
          <w:tcPr>
            <w:tcW w:w="1352" w:type="dxa"/>
            <w:tcBorders>
              <w:top w:val="single" w:sz="4" w:space="0" w:color="auto"/>
              <w:left w:val="nil"/>
              <w:bottom w:val="nil"/>
            </w:tcBorders>
            <w:noWrap/>
            <w:hideMark/>
          </w:tcPr>
          <w:p w14:paraId="5958B566"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42%</w:t>
            </w:r>
          </w:p>
        </w:tc>
        <w:tc>
          <w:tcPr>
            <w:tcW w:w="1272" w:type="dxa"/>
            <w:tcBorders>
              <w:top w:val="single" w:sz="4" w:space="0" w:color="auto"/>
              <w:bottom w:val="nil"/>
            </w:tcBorders>
            <w:noWrap/>
            <w:hideMark/>
          </w:tcPr>
          <w:p w14:paraId="3B33F67A"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30%</w:t>
            </w:r>
          </w:p>
        </w:tc>
        <w:tc>
          <w:tcPr>
            <w:tcW w:w="1260" w:type="dxa"/>
            <w:tcBorders>
              <w:top w:val="single" w:sz="4" w:space="0" w:color="auto"/>
              <w:bottom w:val="nil"/>
            </w:tcBorders>
            <w:noWrap/>
            <w:hideMark/>
          </w:tcPr>
          <w:p w14:paraId="538379CA"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29%</w:t>
            </w:r>
          </w:p>
        </w:tc>
        <w:tc>
          <w:tcPr>
            <w:tcW w:w="1527" w:type="dxa"/>
            <w:tcBorders>
              <w:top w:val="single" w:sz="4" w:space="0" w:color="auto"/>
              <w:bottom w:val="nil"/>
            </w:tcBorders>
          </w:tcPr>
          <w:p w14:paraId="75E4218E" w14:textId="77777777" w:rsidR="00187BF3" w:rsidRPr="000241BD" w:rsidRDefault="00187BF3" w:rsidP="00DD01EC">
            <w:pPr>
              <w:jc w:val="center"/>
              <w:rPr>
                <w:rFonts w:eastAsia="Times New Roman" w:cstheme="majorHAnsi"/>
                <w:i w:val="0"/>
                <w:iCs w:val="0"/>
                <w:sz w:val="18"/>
                <w:szCs w:val="18"/>
              </w:rPr>
            </w:pPr>
            <w:r w:rsidRPr="000241BD">
              <w:rPr>
                <w:rFonts w:eastAsia="Times New Roman" w:cstheme="majorHAnsi"/>
                <w:i w:val="0"/>
                <w:iCs w:val="0"/>
                <w:sz w:val="18"/>
                <w:szCs w:val="18"/>
              </w:rPr>
              <w:t>57</w:t>
            </w:r>
          </w:p>
        </w:tc>
      </w:tr>
      <w:tr w:rsidR="00187BF3" w:rsidRPr="001677C7" w14:paraId="44901349"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tcW w:w="5121" w:type="dxa"/>
            <w:tcBorders>
              <w:top w:val="nil"/>
              <w:left w:val="single" w:sz="4" w:space="0" w:color="auto"/>
              <w:bottom w:val="nil"/>
              <w:right w:val="nil"/>
            </w:tcBorders>
            <w:noWrap/>
            <w:hideMark/>
          </w:tcPr>
          <w:p w14:paraId="2953232B" w14:textId="77777777" w:rsidR="00187BF3" w:rsidRPr="001677C7" w:rsidRDefault="00187BF3" w:rsidP="00DD01EC">
            <w:pPr>
              <w:rPr>
                <w:rFonts w:eastAsia="Times New Roman" w:cstheme="majorHAnsi"/>
                <w:i w:val="0"/>
                <w:color w:val="000000"/>
                <w:sz w:val="18"/>
                <w:szCs w:val="18"/>
              </w:rPr>
            </w:pPr>
            <w:r w:rsidRPr="001677C7">
              <w:rPr>
                <w:rFonts w:eastAsia="Times New Roman" w:cstheme="majorHAnsi"/>
                <w:i w:val="0"/>
                <w:color w:val="000000"/>
                <w:sz w:val="18"/>
                <w:szCs w:val="18"/>
              </w:rPr>
              <w:t>Profits</w:t>
            </w:r>
          </w:p>
        </w:tc>
        <w:tc>
          <w:tcPr>
            <w:tcW w:w="1352" w:type="dxa"/>
            <w:tcBorders>
              <w:top w:val="nil"/>
              <w:left w:val="nil"/>
              <w:bottom w:val="nil"/>
            </w:tcBorders>
            <w:noWrap/>
            <w:hideMark/>
          </w:tcPr>
          <w:p w14:paraId="7578ECCE"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31%</w:t>
            </w:r>
          </w:p>
        </w:tc>
        <w:tc>
          <w:tcPr>
            <w:tcW w:w="1272" w:type="dxa"/>
            <w:tcBorders>
              <w:top w:val="nil"/>
              <w:bottom w:val="nil"/>
            </w:tcBorders>
            <w:noWrap/>
            <w:hideMark/>
          </w:tcPr>
          <w:p w14:paraId="3B217FEA"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33%</w:t>
            </w:r>
          </w:p>
        </w:tc>
        <w:tc>
          <w:tcPr>
            <w:tcW w:w="1260" w:type="dxa"/>
            <w:tcBorders>
              <w:top w:val="nil"/>
              <w:bottom w:val="nil"/>
            </w:tcBorders>
            <w:noWrap/>
            <w:hideMark/>
          </w:tcPr>
          <w:p w14:paraId="0F350F33"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36%</w:t>
            </w:r>
          </w:p>
        </w:tc>
        <w:tc>
          <w:tcPr>
            <w:tcW w:w="1527" w:type="dxa"/>
            <w:tcBorders>
              <w:top w:val="nil"/>
              <w:bottom w:val="nil"/>
              <w:right w:val="single" w:sz="4" w:space="0" w:color="auto"/>
            </w:tcBorders>
          </w:tcPr>
          <w:p w14:paraId="0194CD2E" w14:textId="77777777" w:rsidR="00187BF3" w:rsidRPr="000241BD" w:rsidRDefault="00187BF3" w:rsidP="00DD01EC">
            <w:pPr>
              <w:jc w:val="center"/>
              <w:rPr>
                <w:rFonts w:eastAsia="Times New Roman" w:cstheme="majorHAnsi"/>
                <w:i w:val="0"/>
                <w:iCs w:val="0"/>
                <w:sz w:val="18"/>
                <w:szCs w:val="18"/>
              </w:rPr>
            </w:pPr>
            <w:r w:rsidRPr="000241BD">
              <w:rPr>
                <w:rFonts w:eastAsia="Times New Roman" w:cstheme="majorHAnsi"/>
                <w:i w:val="0"/>
                <w:iCs w:val="0"/>
                <w:sz w:val="18"/>
                <w:szCs w:val="18"/>
              </w:rPr>
              <w:t>48</w:t>
            </w:r>
          </w:p>
        </w:tc>
      </w:tr>
      <w:tr w:rsidR="00187BF3" w:rsidRPr="001677C7" w14:paraId="063188B9"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tcW w:w="5121" w:type="dxa"/>
            <w:tcBorders>
              <w:top w:val="nil"/>
              <w:left w:val="single" w:sz="4" w:space="0" w:color="auto"/>
              <w:bottom w:val="nil"/>
              <w:right w:val="nil"/>
            </w:tcBorders>
            <w:noWrap/>
            <w:hideMark/>
          </w:tcPr>
          <w:p w14:paraId="6640AC7D" w14:textId="77777777" w:rsidR="00187BF3" w:rsidRPr="001677C7" w:rsidRDefault="00187BF3" w:rsidP="00DD01EC">
            <w:pPr>
              <w:rPr>
                <w:rFonts w:eastAsia="Times New Roman" w:cstheme="majorHAnsi"/>
                <w:i w:val="0"/>
                <w:color w:val="000000"/>
                <w:sz w:val="18"/>
                <w:szCs w:val="18"/>
              </w:rPr>
            </w:pPr>
            <w:r w:rsidRPr="001677C7">
              <w:rPr>
                <w:rFonts w:eastAsia="Times New Roman" w:cstheme="majorHAnsi"/>
                <w:i w:val="0"/>
                <w:color w:val="000000"/>
                <w:sz w:val="18"/>
                <w:szCs w:val="18"/>
              </w:rPr>
              <w:t>Productivity</w:t>
            </w:r>
          </w:p>
        </w:tc>
        <w:tc>
          <w:tcPr>
            <w:tcW w:w="1352" w:type="dxa"/>
            <w:tcBorders>
              <w:top w:val="nil"/>
              <w:left w:val="nil"/>
              <w:bottom w:val="nil"/>
            </w:tcBorders>
            <w:noWrap/>
            <w:hideMark/>
          </w:tcPr>
          <w:p w14:paraId="5A261BF6"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29%</w:t>
            </w:r>
          </w:p>
        </w:tc>
        <w:tc>
          <w:tcPr>
            <w:tcW w:w="1272" w:type="dxa"/>
            <w:tcBorders>
              <w:top w:val="nil"/>
              <w:bottom w:val="nil"/>
            </w:tcBorders>
            <w:noWrap/>
            <w:hideMark/>
          </w:tcPr>
          <w:p w14:paraId="030BA36F"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50%</w:t>
            </w:r>
          </w:p>
        </w:tc>
        <w:tc>
          <w:tcPr>
            <w:tcW w:w="1260" w:type="dxa"/>
            <w:tcBorders>
              <w:top w:val="nil"/>
              <w:bottom w:val="nil"/>
            </w:tcBorders>
            <w:noWrap/>
            <w:hideMark/>
          </w:tcPr>
          <w:p w14:paraId="70897E7C"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21%</w:t>
            </w:r>
          </w:p>
        </w:tc>
        <w:tc>
          <w:tcPr>
            <w:tcW w:w="1527" w:type="dxa"/>
            <w:tcBorders>
              <w:top w:val="nil"/>
              <w:bottom w:val="nil"/>
              <w:right w:val="single" w:sz="4" w:space="0" w:color="auto"/>
            </w:tcBorders>
          </w:tcPr>
          <w:p w14:paraId="65C65ED9" w14:textId="77777777" w:rsidR="00187BF3" w:rsidRPr="000241BD" w:rsidRDefault="00187BF3" w:rsidP="00DD01EC">
            <w:pPr>
              <w:jc w:val="center"/>
              <w:rPr>
                <w:rFonts w:eastAsia="Times New Roman" w:cstheme="majorHAnsi"/>
                <w:i w:val="0"/>
                <w:iCs w:val="0"/>
                <w:sz w:val="18"/>
                <w:szCs w:val="18"/>
              </w:rPr>
            </w:pPr>
            <w:r w:rsidRPr="000241BD">
              <w:rPr>
                <w:rFonts w:eastAsia="Times New Roman" w:cstheme="majorHAnsi"/>
                <w:i w:val="0"/>
                <w:iCs w:val="0"/>
                <w:sz w:val="18"/>
                <w:szCs w:val="18"/>
              </w:rPr>
              <w:t>54</w:t>
            </w:r>
          </w:p>
        </w:tc>
      </w:tr>
      <w:tr w:rsidR="00187BF3" w:rsidRPr="001677C7" w14:paraId="76314561"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tcW w:w="5121" w:type="dxa"/>
            <w:tcBorders>
              <w:top w:val="nil"/>
              <w:left w:val="single" w:sz="4" w:space="0" w:color="auto"/>
              <w:bottom w:val="nil"/>
              <w:right w:val="nil"/>
            </w:tcBorders>
            <w:noWrap/>
            <w:hideMark/>
          </w:tcPr>
          <w:p w14:paraId="3556C52C" w14:textId="77777777" w:rsidR="00187BF3" w:rsidRPr="001677C7" w:rsidRDefault="00187BF3" w:rsidP="00DD01EC">
            <w:pPr>
              <w:rPr>
                <w:rFonts w:eastAsia="Times New Roman" w:cstheme="majorHAnsi"/>
                <w:i w:val="0"/>
                <w:color w:val="000000"/>
                <w:sz w:val="18"/>
                <w:szCs w:val="18"/>
              </w:rPr>
            </w:pPr>
            <w:r w:rsidRPr="001677C7">
              <w:rPr>
                <w:rFonts w:eastAsia="Times New Roman" w:cstheme="majorHAnsi"/>
                <w:i w:val="0"/>
                <w:color w:val="000000"/>
                <w:sz w:val="18"/>
                <w:szCs w:val="18"/>
              </w:rPr>
              <w:t>Employment level</w:t>
            </w:r>
          </w:p>
        </w:tc>
        <w:tc>
          <w:tcPr>
            <w:tcW w:w="1352" w:type="dxa"/>
            <w:tcBorders>
              <w:top w:val="nil"/>
              <w:left w:val="nil"/>
              <w:bottom w:val="nil"/>
            </w:tcBorders>
            <w:noWrap/>
            <w:hideMark/>
          </w:tcPr>
          <w:p w14:paraId="5CD70A04"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19%</w:t>
            </w:r>
          </w:p>
        </w:tc>
        <w:tc>
          <w:tcPr>
            <w:tcW w:w="1272" w:type="dxa"/>
            <w:tcBorders>
              <w:top w:val="nil"/>
              <w:bottom w:val="nil"/>
            </w:tcBorders>
            <w:noWrap/>
            <w:hideMark/>
          </w:tcPr>
          <w:p w14:paraId="40A81DE9"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60%</w:t>
            </w:r>
          </w:p>
        </w:tc>
        <w:tc>
          <w:tcPr>
            <w:tcW w:w="1260" w:type="dxa"/>
            <w:tcBorders>
              <w:top w:val="nil"/>
              <w:bottom w:val="nil"/>
            </w:tcBorders>
            <w:noWrap/>
            <w:hideMark/>
          </w:tcPr>
          <w:p w14:paraId="0C90410D"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21%</w:t>
            </w:r>
          </w:p>
        </w:tc>
        <w:tc>
          <w:tcPr>
            <w:tcW w:w="1527" w:type="dxa"/>
            <w:tcBorders>
              <w:top w:val="nil"/>
              <w:bottom w:val="nil"/>
              <w:right w:val="single" w:sz="4" w:space="0" w:color="auto"/>
            </w:tcBorders>
          </w:tcPr>
          <w:p w14:paraId="151C3531" w14:textId="77777777" w:rsidR="00187BF3" w:rsidRPr="000241BD" w:rsidRDefault="00187BF3" w:rsidP="00DD01EC">
            <w:pPr>
              <w:jc w:val="center"/>
              <w:rPr>
                <w:rFonts w:eastAsia="Times New Roman" w:cstheme="majorHAnsi"/>
                <w:i w:val="0"/>
                <w:iCs w:val="0"/>
                <w:sz w:val="18"/>
                <w:szCs w:val="18"/>
              </w:rPr>
            </w:pPr>
            <w:r w:rsidRPr="000241BD">
              <w:rPr>
                <w:rFonts w:eastAsia="Times New Roman" w:cstheme="majorHAnsi"/>
                <w:i w:val="0"/>
                <w:iCs w:val="0"/>
                <w:sz w:val="18"/>
                <w:szCs w:val="18"/>
              </w:rPr>
              <w:t>49</w:t>
            </w:r>
          </w:p>
        </w:tc>
      </w:tr>
      <w:tr w:rsidR="00187BF3" w:rsidRPr="001677C7" w14:paraId="4B4CCBB5"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tcW w:w="5121" w:type="dxa"/>
            <w:tcBorders>
              <w:top w:val="nil"/>
              <w:left w:val="single" w:sz="4" w:space="0" w:color="auto"/>
              <w:bottom w:val="nil"/>
              <w:right w:val="nil"/>
            </w:tcBorders>
            <w:noWrap/>
            <w:hideMark/>
          </w:tcPr>
          <w:p w14:paraId="5B3F9D5D" w14:textId="77777777" w:rsidR="00187BF3" w:rsidRPr="001677C7" w:rsidRDefault="00187BF3" w:rsidP="00DD01EC">
            <w:pPr>
              <w:rPr>
                <w:rFonts w:eastAsia="Times New Roman" w:cstheme="majorHAnsi"/>
                <w:i w:val="0"/>
                <w:color w:val="000000"/>
                <w:sz w:val="18"/>
                <w:szCs w:val="18"/>
              </w:rPr>
            </w:pPr>
            <w:r w:rsidRPr="001677C7">
              <w:rPr>
                <w:rFonts w:eastAsia="Times New Roman" w:cstheme="majorHAnsi"/>
                <w:i w:val="0"/>
                <w:color w:val="000000"/>
                <w:sz w:val="18"/>
                <w:szCs w:val="18"/>
              </w:rPr>
              <w:t>Labor availability</w:t>
            </w:r>
          </w:p>
        </w:tc>
        <w:tc>
          <w:tcPr>
            <w:tcW w:w="1352" w:type="dxa"/>
            <w:tcBorders>
              <w:top w:val="nil"/>
              <w:left w:val="nil"/>
              <w:bottom w:val="nil"/>
            </w:tcBorders>
            <w:noWrap/>
            <w:hideMark/>
          </w:tcPr>
          <w:p w14:paraId="3284CDD4"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12%</w:t>
            </w:r>
          </w:p>
        </w:tc>
        <w:tc>
          <w:tcPr>
            <w:tcW w:w="1272" w:type="dxa"/>
            <w:tcBorders>
              <w:top w:val="nil"/>
              <w:bottom w:val="nil"/>
            </w:tcBorders>
            <w:noWrap/>
            <w:hideMark/>
          </w:tcPr>
          <w:p w14:paraId="2BD91E13"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66%</w:t>
            </w:r>
          </w:p>
        </w:tc>
        <w:tc>
          <w:tcPr>
            <w:tcW w:w="1260" w:type="dxa"/>
            <w:tcBorders>
              <w:top w:val="nil"/>
              <w:bottom w:val="nil"/>
            </w:tcBorders>
            <w:noWrap/>
            <w:hideMark/>
          </w:tcPr>
          <w:p w14:paraId="4363937F"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22%</w:t>
            </w:r>
          </w:p>
        </w:tc>
        <w:tc>
          <w:tcPr>
            <w:tcW w:w="1527" w:type="dxa"/>
            <w:tcBorders>
              <w:top w:val="nil"/>
              <w:bottom w:val="nil"/>
              <w:right w:val="single" w:sz="4" w:space="0" w:color="auto"/>
            </w:tcBorders>
          </w:tcPr>
          <w:p w14:paraId="5E1E4BBF" w14:textId="77777777" w:rsidR="00187BF3" w:rsidRPr="000241BD" w:rsidRDefault="00187BF3" w:rsidP="00DD01EC">
            <w:pPr>
              <w:jc w:val="center"/>
              <w:rPr>
                <w:rFonts w:eastAsia="Times New Roman" w:cstheme="majorHAnsi"/>
                <w:i w:val="0"/>
                <w:iCs w:val="0"/>
                <w:sz w:val="18"/>
                <w:szCs w:val="18"/>
              </w:rPr>
            </w:pPr>
            <w:r w:rsidRPr="000241BD">
              <w:rPr>
                <w:rFonts w:eastAsia="Times New Roman" w:cstheme="majorHAnsi"/>
                <w:i w:val="0"/>
                <w:iCs w:val="0"/>
                <w:sz w:val="18"/>
                <w:szCs w:val="18"/>
              </w:rPr>
              <w:t>45</w:t>
            </w:r>
          </w:p>
        </w:tc>
      </w:tr>
      <w:tr w:rsidR="00187BF3" w:rsidRPr="001677C7" w14:paraId="4B354E11"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tcW w:w="5121" w:type="dxa"/>
            <w:tcBorders>
              <w:top w:val="nil"/>
              <w:left w:val="single" w:sz="4" w:space="0" w:color="auto"/>
              <w:bottom w:val="nil"/>
              <w:right w:val="nil"/>
            </w:tcBorders>
            <w:noWrap/>
            <w:hideMark/>
          </w:tcPr>
          <w:p w14:paraId="5C2FB91E" w14:textId="77777777" w:rsidR="00187BF3" w:rsidRPr="001677C7" w:rsidRDefault="00187BF3" w:rsidP="00DD01EC">
            <w:pPr>
              <w:rPr>
                <w:rFonts w:eastAsia="Times New Roman" w:cstheme="majorHAnsi"/>
                <w:i w:val="0"/>
                <w:color w:val="000000"/>
                <w:sz w:val="18"/>
                <w:szCs w:val="18"/>
              </w:rPr>
            </w:pPr>
            <w:r w:rsidRPr="001677C7">
              <w:rPr>
                <w:rFonts w:eastAsia="Times New Roman" w:cstheme="majorHAnsi"/>
                <w:i w:val="0"/>
                <w:color w:val="000000"/>
                <w:sz w:val="18"/>
                <w:szCs w:val="18"/>
              </w:rPr>
              <w:t>Selling prices</w:t>
            </w:r>
          </w:p>
        </w:tc>
        <w:tc>
          <w:tcPr>
            <w:tcW w:w="1352" w:type="dxa"/>
            <w:tcBorders>
              <w:top w:val="nil"/>
              <w:left w:val="nil"/>
              <w:bottom w:val="nil"/>
            </w:tcBorders>
            <w:noWrap/>
            <w:hideMark/>
          </w:tcPr>
          <w:p w14:paraId="2DDD8FFD" w14:textId="77777777" w:rsidR="00187BF3" w:rsidRPr="007242C5" w:rsidRDefault="00187BF3" w:rsidP="00DD01EC">
            <w:pPr>
              <w:jc w:val="center"/>
              <w:rPr>
                <w:rFonts w:eastAsia="Times New Roman" w:cstheme="majorHAnsi"/>
                <w:iCs w:val="0"/>
                <w:color w:val="000000"/>
                <w:sz w:val="18"/>
                <w:szCs w:val="18"/>
              </w:rPr>
            </w:pPr>
            <w:r w:rsidRPr="007242C5">
              <w:rPr>
                <w:rFonts w:eastAsia="Times New Roman" w:cstheme="majorHAnsi"/>
                <w:i w:val="0"/>
                <w:color w:val="000000"/>
                <w:sz w:val="18"/>
                <w:szCs w:val="18"/>
              </w:rPr>
              <w:t>47%</w:t>
            </w:r>
          </w:p>
        </w:tc>
        <w:tc>
          <w:tcPr>
            <w:tcW w:w="1272" w:type="dxa"/>
            <w:tcBorders>
              <w:top w:val="nil"/>
              <w:bottom w:val="nil"/>
            </w:tcBorders>
            <w:noWrap/>
            <w:hideMark/>
          </w:tcPr>
          <w:p w14:paraId="27E99974"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46%</w:t>
            </w:r>
          </w:p>
        </w:tc>
        <w:tc>
          <w:tcPr>
            <w:tcW w:w="1260" w:type="dxa"/>
            <w:tcBorders>
              <w:top w:val="nil"/>
              <w:bottom w:val="nil"/>
            </w:tcBorders>
            <w:noWrap/>
            <w:hideMark/>
          </w:tcPr>
          <w:p w14:paraId="47B0C7FD"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7%</w:t>
            </w:r>
          </w:p>
        </w:tc>
        <w:tc>
          <w:tcPr>
            <w:tcW w:w="1527" w:type="dxa"/>
            <w:tcBorders>
              <w:top w:val="nil"/>
              <w:bottom w:val="nil"/>
              <w:right w:val="single" w:sz="4" w:space="0" w:color="auto"/>
            </w:tcBorders>
          </w:tcPr>
          <w:p w14:paraId="63F50E5F" w14:textId="77777777" w:rsidR="00187BF3" w:rsidRPr="000241BD" w:rsidRDefault="00187BF3" w:rsidP="00DD01EC">
            <w:pPr>
              <w:jc w:val="center"/>
              <w:rPr>
                <w:rFonts w:eastAsia="Times New Roman" w:cstheme="majorHAnsi"/>
                <w:i w:val="0"/>
                <w:iCs w:val="0"/>
                <w:sz w:val="18"/>
                <w:szCs w:val="18"/>
              </w:rPr>
            </w:pPr>
            <w:r w:rsidRPr="000241BD">
              <w:rPr>
                <w:rFonts w:eastAsia="Times New Roman" w:cstheme="majorHAnsi"/>
                <w:i w:val="0"/>
                <w:iCs w:val="0"/>
                <w:sz w:val="18"/>
                <w:szCs w:val="18"/>
              </w:rPr>
              <w:t>70</w:t>
            </w:r>
          </w:p>
        </w:tc>
      </w:tr>
      <w:tr w:rsidR="00187BF3" w:rsidRPr="001677C7" w14:paraId="554C2269"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tcW w:w="5121" w:type="dxa"/>
            <w:tcBorders>
              <w:top w:val="nil"/>
              <w:left w:val="single" w:sz="4" w:space="0" w:color="auto"/>
              <w:bottom w:val="nil"/>
              <w:right w:val="nil"/>
            </w:tcBorders>
            <w:noWrap/>
            <w:hideMark/>
          </w:tcPr>
          <w:p w14:paraId="5700D02B" w14:textId="77777777" w:rsidR="00187BF3" w:rsidRPr="001677C7" w:rsidRDefault="00187BF3" w:rsidP="00DD01EC">
            <w:pPr>
              <w:rPr>
                <w:rFonts w:eastAsia="Times New Roman" w:cstheme="majorHAnsi"/>
                <w:i w:val="0"/>
                <w:color w:val="000000"/>
                <w:sz w:val="18"/>
                <w:szCs w:val="18"/>
              </w:rPr>
            </w:pPr>
            <w:r w:rsidRPr="001677C7">
              <w:rPr>
                <w:rFonts w:eastAsia="Times New Roman" w:cstheme="majorHAnsi"/>
                <w:i w:val="0"/>
                <w:color w:val="000000"/>
                <w:sz w:val="18"/>
                <w:szCs w:val="18"/>
              </w:rPr>
              <w:t>Input costs</w:t>
            </w:r>
          </w:p>
        </w:tc>
        <w:tc>
          <w:tcPr>
            <w:tcW w:w="1352" w:type="dxa"/>
            <w:tcBorders>
              <w:top w:val="nil"/>
              <w:left w:val="nil"/>
              <w:bottom w:val="nil"/>
            </w:tcBorders>
            <w:noWrap/>
            <w:hideMark/>
          </w:tcPr>
          <w:p w14:paraId="553EF456"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68%</w:t>
            </w:r>
          </w:p>
        </w:tc>
        <w:tc>
          <w:tcPr>
            <w:tcW w:w="1272" w:type="dxa"/>
            <w:tcBorders>
              <w:top w:val="nil"/>
              <w:bottom w:val="nil"/>
            </w:tcBorders>
            <w:noWrap/>
            <w:hideMark/>
          </w:tcPr>
          <w:p w14:paraId="6B30649A"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31%</w:t>
            </w:r>
          </w:p>
        </w:tc>
        <w:tc>
          <w:tcPr>
            <w:tcW w:w="1260" w:type="dxa"/>
            <w:tcBorders>
              <w:top w:val="nil"/>
              <w:bottom w:val="nil"/>
            </w:tcBorders>
            <w:noWrap/>
            <w:hideMark/>
          </w:tcPr>
          <w:p w14:paraId="3A904E39" w14:textId="77777777" w:rsidR="00187BF3" w:rsidRPr="007242C5"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2%</w:t>
            </w:r>
          </w:p>
        </w:tc>
        <w:tc>
          <w:tcPr>
            <w:tcW w:w="1527" w:type="dxa"/>
            <w:tcBorders>
              <w:top w:val="nil"/>
              <w:bottom w:val="nil"/>
              <w:right w:val="single" w:sz="4" w:space="0" w:color="auto"/>
            </w:tcBorders>
          </w:tcPr>
          <w:p w14:paraId="4D15B84C" w14:textId="77777777" w:rsidR="00187BF3" w:rsidRPr="000241BD" w:rsidRDefault="00187BF3" w:rsidP="00DD01EC">
            <w:pPr>
              <w:jc w:val="center"/>
              <w:rPr>
                <w:rFonts w:eastAsia="Times New Roman" w:cstheme="majorHAnsi"/>
                <w:i w:val="0"/>
                <w:iCs w:val="0"/>
                <w:sz w:val="18"/>
                <w:szCs w:val="18"/>
              </w:rPr>
            </w:pPr>
            <w:r w:rsidRPr="000241BD">
              <w:rPr>
                <w:rFonts w:eastAsia="Times New Roman" w:cstheme="majorHAnsi"/>
                <w:i w:val="0"/>
                <w:iCs w:val="0"/>
                <w:sz w:val="18"/>
                <w:szCs w:val="18"/>
              </w:rPr>
              <w:t>84</w:t>
            </w:r>
          </w:p>
        </w:tc>
      </w:tr>
      <w:tr w:rsidR="00187BF3" w:rsidRPr="001677C7" w14:paraId="47736B32" w14:textId="77777777" w:rsidTr="00E7295E">
        <w:trPr>
          <w:cnfStyle w:val="100000000000" w:firstRow="1" w:lastRow="0" w:firstColumn="0" w:lastColumn="0" w:oddVBand="0" w:evenVBand="0" w:oddHBand="0" w:evenHBand="0" w:firstRowFirstColumn="0" w:firstRowLastColumn="0" w:lastRowFirstColumn="0" w:lastRowLastColumn="0"/>
          <w:trHeight w:val="477"/>
          <w:tblHeader/>
          <w:jc w:val="center"/>
        </w:trPr>
        <w:tc>
          <w:tcPr>
            <w:tcW w:w="5121" w:type="dxa"/>
            <w:tcBorders>
              <w:top w:val="nil"/>
              <w:bottom w:val="single" w:sz="4" w:space="0" w:color="auto"/>
              <w:right w:val="nil"/>
            </w:tcBorders>
            <w:noWrap/>
            <w:hideMark/>
          </w:tcPr>
          <w:p w14:paraId="64D0F813" w14:textId="77777777" w:rsidR="00187BF3" w:rsidRPr="001677C7" w:rsidRDefault="00187BF3" w:rsidP="00DD01EC">
            <w:pPr>
              <w:rPr>
                <w:rFonts w:eastAsia="Times New Roman" w:cstheme="majorHAnsi"/>
                <w:i w:val="0"/>
                <w:color w:val="000000"/>
                <w:sz w:val="18"/>
                <w:szCs w:val="18"/>
              </w:rPr>
            </w:pPr>
            <w:r w:rsidRPr="001677C7">
              <w:rPr>
                <w:rFonts w:eastAsia="Times New Roman" w:cstheme="majorHAnsi"/>
                <w:i w:val="0"/>
                <w:color w:val="000000"/>
                <w:sz w:val="18"/>
                <w:szCs w:val="18"/>
              </w:rPr>
              <w:t>Space occupied (square footage)</w:t>
            </w:r>
            <w:r w:rsidRPr="001677C7">
              <w:rPr>
                <w:rFonts w:eastAsia="Times New Roman" w:cstheme="majorHAnsi"/>
                <w:i w:val="0"/>
                <w:color w:val="000000"/>
                <w:sz w:val="18"/>
                <w:szCs w:val="18"/>
              </w:rPr>
              <w:br/>
              <w:t>Exports (sales for foreign clients)</w:t>
            </w:r>
          </w:p>
        </w:tc>
        <w:tc>
          <w:tcPr>
            <w:tcW w:w="1352" w:type="dxa"/>
            <w:tcBorders>
              <w:top w:val="nil"/>
              <w:left w:val="nil"/>
            </w:tcBorders>
            <w:noWrap/>
            <w:hideMark/>
          </w:tcPr>
          <w:p w14:paraId="3FC9DA40" w14:textId="77777777" w:rsidR="00187BF3" w:rsidRPr="001677C7"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10%</w:t>
            </w:r>
            <w:r w:rsidRPr="001677C7">
              <w:rPr>
                <w:rFonts w:eastAsia="Times New Roman" w:cstheme="majorHAnsi"/>
                <w:i w:val="0"/>
                <w:color w:val="000000"/>
                <w:sz w:val="18"/>
                <w:szCs w:val="18"/>
              </w:rPr>
              <w:br/>
            </w:r>
            <w:r w:rsidRPr="007242C5">
              <w:rPr>
                <w:rFonts w:eastAsia="Times New Roman" w:cstheme="majorHAnsi"/>
                <w:i w:val="0"/>
                <w:color w:val="000000"/>
                <w:sz w:val="18"/>
                <w:szCs w:val="18"/>
              </w:rPr>
              <w:t>6%</w:t>
            </w:r>
          </w:p>
        </w:tc>
        <w:tc>
          <w:tcPr>
            <w:tcW w:w="1272" w:type="dxa"/>
            <w:tcBorders>
              <w:top w:val="nil"/>
            </w:tcBorders>
            <w:noWrap/>
            <w:hideMark/>
          </w:tcPr>
          <w:p w14:paraId="3DC6B1ED" w14:textId="77777777" w:rsidR="00187BF3" w:rsidRPr="001677C7"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85%</w:t>
            </w:r>
            <w:r w:rsidRPr="007242C5">
              <w:rPr>
                <w:rFonts w:eastAsia="Times New Roman" w:cstheme="majorHAnsi"/>
                <w:i w:val="0"/>
                <w:color w:val="000000"/>
                <w:sz w:val="18"/>
                <w:szCs w:val="18"/>
              </w:rPr>
              <w:br/>
              <w:t>89%</w:t>
            </w:r>
          </w:p>
        </w:tc>
        <w:tc>
          <w:tcPr>
            <w:tcW w:w="1260" w:type="dxa"/>
            <w:tcBorders>
              <w:top w:val="nil"/>
            </w:tcBorders>
            <w:noWrap/>
            <w:hideMark/>
          </w:tcPr>
          <w:p w14:paraId="0AA4A16D" w14:textId="77777777" w:rsidR="00187BF3" w:rsidRPr="001677C7" w:rsidRDefault="00187BF3" w:rsidP="00DD01EC">
            <w:pPr>
              <w:jc w:val="center"/>
              <w:rPr>
                <w:rFonts w:eastAsia="Times New Roman" w:cstheme="majorHAnsi"/>
                <w:i w:val="0"/>
                <w:color w:val="000000"/>
                <w:sz w:val="18"/>
                <w:szCs w:val="18"/>
              </w:rPr>
            </w:pPr>
            <w:r w:rsidRPr="007242C5">
              <w:rPr>
                <w:rFonts w:eastAsia="Times New Roman" w:cstheme="majorHAnsi"/>
                <w:i w:val="0"/>
                <w:color w:val="000000"/>
                <w:sz w:val="18"/>
                <w:szCs w:val="18"/>
              </w:rPr>
              <w:t>6%</w:t>
            </w:r>
            <w:r w:rsidRPr="007242C5">
              <w:rPr>
                <w:rFonts w:eastAsia="Times New Roman" w:cstheme="majorHAnsi"/>
                <w:i w:val="0"/>
                <w:color w:val="000000"/>
                <w:sz w:val="18"/>
                <w:szCs w:val="18"/>
              </w:rPr>
              <w:br/>
              <w:t>5%</w:t>
            </w:r>
          </w:p>
        </w:tc>
        <w:tc>
          <w:tcPr>
            <w:tcW w:w="1527" w:type="dxa"/>
            <w:tcBorders>
              <w:top w:val="nil"/>
            </w:tcBorders>
          </w:tcPr>
          <w:p w14:paraId="68D17B48" w14:textId="77777777" w:rsidR="00187BF3" w:rsidRPr="000241BD" w:rsidRDefault="00187BF3" w:rsidP="00DD01EC">
            <w:pPr>
              <w:jc w:val="center"/>
              <w:rPr>
                <w:rFonts w:eastAsia="Times New Roman" w:cstheme="majorHAnsi"/>
                <w:i w:val="0"/>
                <w:iCs w:val="0"/>
                <w:sz w:val="18"/>
                <w:szCs w:val="18"/>
              </w:rPr>
            </w:pPr>
            <w:r w:rsidRPr="000241BD">
              <w:rPr>
                <w:rFonts w:eastAsia="Times New Roman" w:cstheme="majorHAnsi"/>
                <w:i w:val="0"/>
                <w:iCs w:val="0"/>
                <w:sz w:val="18"/>
                <w:szCs w:val="18"/>
              </w:rPr>
              <w:t>53</w:t>
            </w:r>
            <w:r w:rsidRPr="000241BD">
              <w:rPr>
                <w:rFonts w:eastAsia="Times New Roman" w:cstheme="majorHAnsi"/>
                <w:i w:val="0"/>
                <w:iCs w:val="0"/>
                <w:sz w:val="18"/>
                <w:szCs w:val="18"/>
              </w:rPr>
              <w:br/>
              <w:t>51</w:t>
            </w:r>
          </w:p>
        </w:tc>
      </w:tr>
    </w:tbl>
    <w:p w14:paraId="31E4488A" w14:textId="77777777" w:rsidR="00187BF3" w:rsidRPr="001677C7" w:rsidRDefault="00187BF3" w:rsidP="00187BF3">
      <w:pPr>
        <w:spacing w:after="0" w:line="72" w:lineRule="auto"/>
        <w:contextualSpacing/>
        <w:rPr>
          <w:rFonts w:asciiTheme="majorHAnsi" w:hAnsiTheme="majorHAnsi" w:cstheme="majorHAnsi"/>
        </w:rPr>
      </w:pPr>
    </w:p>
    <w:tbl>
      <w:tblPr>
        <w:tblStyle w:val="PlainTable4"/>
        <w:tblW w:w="1055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10"/>
        <w:gridCol w:w="902"/>
        <w:gridCol w:w="1334"/>
        <w:gridCol w:w="1350"/>
        <w:gridCol w:w="1350"/>
        <w:gridCol w:w="1350"/>
        <w:gridCol w:w="1355"/>
      </w:tblGrid>
      <w:tr w:rsidR="00187BF3" w:rsidRPr="001677C7" w14:paraId="150F8BA0"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910" w:type="dxa"/>
            <w:tcBorders>
              <w:top w:val="single" w:sz="4" w:space="0" w:color="auto"/>
              <w:bottom w:val="single" w:sz="4" w:space="0" w:color="auto"/>
              <w:right w:val="nil"/>
            </w:tcBorders>
            <w:shd w:val="clear" w:color="auto" w:fill="BDD6EE" w:themeFill="accent1" w:themeFillTint="66"/>
            <w:noWrap/>
            <w:hideMark/>
          </w:tcPr>
          <w:p w14:paraId="1DBF94C6" w14:textId="77777777" w:rsidR="00187BF3" w:rsidRPr="001677C7" w:rsidRDefault="00187BF3" w:rsidP="00DD01EC">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 xml:space="preserve">Labor indicators </w:t>
            </w:r>
            <w:r>
              <w:rPr>
                <w:rFonts w:asciiTheme="majorHAnsi" w:eastAsia="Times New Roman" w:hAnsiTheme="majorHAnsi" w:cstheme="majorHAnsi"/>
                <w:color w:val="000000"/>
                <w:sz w:val="18"/>
                <w:szCs w:val="18"/>
              </w:rPr>
              <w:t>in the last</w:t>
            </w:r>
            <w:r w:rsidRPr="001677C7">
              <w:rPr>
                <w:rFonts w:asciiTheme="majorHAnsi" w:eastAsia="Times New Roman" w:hAnsiTheme="majorHAnsi" w:cstheme="majorHAnsi"/>
                <w:color w:val="000000"/>
                <w:sz w:val="18"/>
                <w:szCs w:val="18"/>
              </w:rPr>
              <w:t xml:space="preserve"> </w:t>
            </w:r>
            <w:r>
              <w:rPr>
                <w:rFonts w:asciiTheme="majorHAnsi" w:eastAsia="Times New Roman" w:hAnsiTheme="majorHAnsi" w:cstheme="majorHAnsi"/>
                <w:color w:val="000000"/>
                <w:sz w:val="18"/>
                <w:szCs w:val="18"/>
              </w:rPr>
              <w:t>four quarters</w:t>
            </w:r>
          </w:p>
        </w:tc>
        <w:tc>
          <w:tcPr>
            <w:tcW w:w="902" w:type="dxa"/>
            <w:tcBorders>
              <w:top w:val="single" w:sz="4" w:space="0" w:color="auto"/>
              <w:left w:val="nil"/>
              <w:bottom w:val="single" w:sz="4" w:space="0" w:color="auto"/>
            </w:tcBorders>
            <w:shd w:val="clear" w:color="auto" w:fill="BDD6EE" w:themeFill="accent1" w:themeFillTint="66"/>
            <w:noWrap/>
            <w:hideMark/>
          </w:tcPr>
          <w:p w14:paraId="59BB4413" w14:textId="77777777" w:rsidR="00187BF3" w:rsidRPr="001677C7"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14:paraId="002F6612" w14:textId="77777777" w:rsidR="00187BF3" w:rsidRPr="001677C7"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0%</w:t>
            </w:r>
          </w:p>
        </w:tc>
        <w:tc>
          <w:tcPr>
            <w:tcW w:w="1350" w:type="dxa"/>
            <w:tcBorders>
              <w:top w:val="single" w:sz="4" w:space="0" w:color="auto"/>
              <w:bottom w:val="single" w:sz="4" w:space="0" w:color="auto"/>
            </w:tcBorders>
            <w:shd w:val="clear" w:color="auto" w:fill="BDD6EE" w:themeFill="accent1" w:themeFillTint="66"/>
            <w:noWrap/>
            <w:hideMark/>
          </w:tcPr>
          <w:p w14:paraId="356B79DC" w14:textId="77777777" w:rsidR="00187BF3" w:rsidRPr="001677C7"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1-2%</w:t>
            </w:r>
          </w:p>
        </w:tc>
        <w:tc>
          <w:tcPr>
            <w:tcW w:w="1350" w:type="dxa"/>
            <w:tcBorders>
              <w:top w:val="single" w:sz="4" w:space="0" w:color="auto"/>
              <w:bottom w:val="single" w:sz="4" w:space="0" w:color="auto"/>
            </w:tcBorders>
            <w:shd w:val="clear" w:color="auto" w:fill="BDD6EE" w:themeFill="accent1" w:themeFillTint="66"/>
            <w:noWrap/>
            <w:hideMark/>
          </w:tcPr>
          <w:p w14:paraId="772EC509" w14:textId="77777777" w:rsidR="00187BF3" w:rsidRPr="001677C7"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14:paraId="5849E9DF" w14:textId="77777777" w:rsidR="00187BF3" w:rsidRPr="001677C7"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6-9%</w:t>
            </w:r>
          </w:p>
        </w:tc>
        <w:tc>
          <w:tcPr>
            <w:tcW w:w="1355" w:type="dxa"/>
            <w:tcBorders>
              <w:top w:val="single" w:sz="4" w:space="0" w:color="auto"/>
              <w:bottom w:val="single" w:sz="4" w:space="0" w:color="auto"/>
            </w:tcBorders>
            <w:shd w:val="clear" w:color="auto" w:fill="BDD6EE" w:themeFill="accent1" w:themeFillTint="66"/>
            <w:noWrap/>
            <w:hideMark/>
          </w:tcPr>
          <w:p w14:paraId="269DF6BE" w14:textId="77777777" w:rsidR="00187BF3" w:rsidRPr="001677C7"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&gt;10%</w:t>
            </w:r>
          </w:p>
        </w:tc>
      </w:tr>
      <w:tr w:rsidR="00187BF3" w:rsidRPr="001677C7" w14:paraId="5D9E55E4"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910" w:type="dxa"/>
            <w:tcBorders>
              <w:top w:val="single" w:sz="4" w:space="0" w:color="auto"/>
              <w:bottom w:val="nil"/>
              <w:right w:val="nil"/>
            </w:tcBorders>
            <w:noWrap/>
            <w:hideMark/>
          </w:tcPr>
          <w:p w14:paraId="106C403C" w14:textId="77777777" w:rsidR="00187BF3" w:rsidRPr="001677C7" w:rsidRDefault="00187BF3" w:rsidP="00DD01EC">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Wages per worker</w:t>
            </w:r>
          </w:p>
        </w:tc>
        <w:tc>
          <w:tcPr>
            <w:tcW w:w="902" w:type="dxa"/>
            <w:tcBorders>
              <w:top w:val="single" w:sz="4" w:space="0" w:color="auto"/>
              <w:left w:val="nil"/>
            </w:tcBorders>
            <w:noWrap/>
            <w:hideMark/>
          </w:tcPr>
          <w:p w14:paraId="23E8FFBC"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3%</w:t>
            </w:r>
          </w:p>
        </w:tc>
        <w:tc>
          <w:tcPr>
            <w:tcW w:w="1334" w:type="dxa"/>
            <w:tcBorders>
              <w:top w:val="single" w:sz="4" w:space="0" w:color="auto"/>
            </w:tcBorders>
            <w:noWrap/>
            <w:hideMark/>
          </w:tcPr>
          <w:p w14:paraId="3CA7A324"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20%</w:t>
            </w:r>
          </w:p>
        </w:tc>
        <w:tc>
          <w:tcPr>
            <w:tcW w:w="1350" w:type="dxa"/>
            <w:tcBorders>
              <w:top w:val="single" w:sz="4" w:space="0" w:color="auto"/>
            </w:tcBorders>
            <w:noWrap/>
            <w:hideMark/>
          </w:tcPr>
          <w:p w14:paraId="062A7FBD"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11%</w:t>
            </w:r>
          </w:p>
        </w:tc>
        <w:tc>
          <w:tcPr>
            <w:tcW w:w="1350" w:type="dxa"/>
            <w:tcBorders>
              <w:top w:val="single" w:sz="4" w:space="0" w:color="auto"/>
            </w:tcBorders>
            <w:noWrap/>
            <w:hideMark/>
          </w:tcPr>
          <w:p w14:paraId="2773191A"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49%</w:t>
            </w:r>
          </w:p>
        </w:tc>
        <w:tc>
          <w:tcPr>
            <w:tcW w:w="1350" w:type="dxa"/>
            <w:tcBorders>
              <w:top w:val="single" w:sz="4" w:space="0" w:color="auto"/>
            </w:tcBorders>
            <w:noWrap/>
            <w:hideMark/>
          </w:tcPr>
          <w:p w14:paraId="0596D111"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12%</w:t>
            </w:r>
          </w:p>
        </w:tc>
        <w:tc>
          <w:tcPr>
            <w:tcW w:w="1355" w:type="dxa"/>
            <w:tcBorders>
              <w:top w:val="single" w:sz="4" w:space="0" w:color="auto"/>
            </w:tcBorders>
            <w:noWrap/>
            <w:hideMark/>
          </w:tcPr>
          <w:p w14:paraId="05DF2BC2"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5%</w:t>
            </w:r>
          </w:p>
        </w:tc>
      </w:tr>
      <w:tr w:rsidR="00187BF3" w:rsidRPr="001677C7" w14:paraId="7E5254EA"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910" w:type="dxa"/>
            <w:tcBorders>
              <w:top w:val="nil"/>
              <w:bottom w:val="single" w:sz="4" w:space="0" w:color="auto"/>
              <w:right w:val="nil"/>
            </w:tcBorders>
            <w:noWrap/>
            <w:hideMark/>
          </w:tcPr>
          <w:p w14:paraId="1E51F04F" w14:textId="77777777" w:rsidR="00187BF3" w:rsidRPr="001677C7" w:rsidRDefault="00187BF3" w:rsidP="00DD01EC">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Benefits per worker</w:t>
            </w:r>
          </w:p>
        </w:tc>
        <w:tc>
          <w:tcPr>
            <w:tcW w:w="902" w:type="dxa"/>
            <w:tcBorders>
              <w:left w:val="nil"/>
            </w:tcBorders>
            <w:noWrap/>
            <w:hideMark/>
          </w:tcPr>
          <w:p w14:paraId="487CD06E"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2%</w:t>
            </w:r>
          </w:p>
        </w:tc>
        <w:tc>
          <w:tcPr>
            <w:tcW w:w="1334" w:type="dxa"/>
            <w:noWrap/>
            <w:hideMark/>
          </w:tcPr>
          <w:p w14:paraId="7754DB9B"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33%</w:t>
            </w:r>
          </w:p>
        </w:tc>
        <w:tc>
          <w:tcPr>
            <w:tcW w:w="1350" w:type="dxa"/>
            <w:noWrap/>
            <w:hideMark/>
          </w:tcPr>
          <w:p w14:paraId="0D79CCBC"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6%</w:t>
            </w:r>
          </w:p>
        </w:tc>
        <w:tc>
          <w:tcPr>
            <w:tcW w:w="1350" w:type="dxa"/>
            <w:noWrap/>
            <w:hideMark/>
          </w:tcPr>
          <w:p w14:paraId="14B012DA"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24%</w:t>
            </w:r>
          </w:p>
        </w:tc>
        <w:tc>
          <w:tcPr>
            <w:tcW w:w="1350" w:type="dxa"/>
            <w:noWrap/>
            <w:hideMark/>
          </w:tcPr>
          <w:p w14:paraId="41D004C5"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23%</w:t>
            </w:r>
          </w:p>
        </w:tc>
        <w:tc>
          <w:tcPr>
            <w:tcW w:w="1355" w:type="dxa"/>
            <w:noWrap/>
            <w:hideMark/>
          </w:tcPr>
          <w:p w14:paraId="6453CFA8" w14:textId="77777777" w:rsidR="00187BF3" w:rsidRPr="007242C5" w:rsidRDefault="00187BF3" w:rsidP="00DD01E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000000"/>
                <w:sz w:val="18"/>
                <w:szCs w:val="18"/>
              </w:rPr>
            </w:pPr>
            <w:r w:rsidRPr="007242C5">
              <w:rPr>
                <w:rFonts w:asciiTheme="majorHAnsi" w:eastAsia="Times New Roman" w:hAnsiTheme="majorHAnsi" w:cstheme="majorHAnsi"/>
                <w:b w:val="0"/>
                <w:color w:val="000000"/>
                <w:sz w:val="18"/>
                <w:szCs w:val="18"/>
              </w:rPr>
              <w:t>12%</w:t>
            </w:r>
          </w:p>
        </w:tc>
      </w:tr>
    </w:tbl>
    <w:p w14:paraId="15158909" w14:textId="3F062176" w:rsidR="00341B86" w:rsidRPr="00187BF3" w:rsidRDefault="00341B86" w:rsidP="00471F42">
      <w:pPr>
        <w:spacing w:after="0" w:line="72" w:lineRule="auto"/>
        <w:rPr>
          <w:rFonts w:asciiTheme="majorHAnsi" w:hAnsiTheme="majorHAnsi" w:cstheme="majorHAnsi"/>
          <w:color w:val="595959" w:themeColor="text1" w:themeTint="A6"/>
          <w:sz w:val="18"/>
          <w:szCs w:val="18"/>
        </w:rPr>
      </w:pPr>
    </w:p>
    <w:tbl>
      <w:tblPr>
        <w:tblStyle w:val="PlainTable4"/>
        <w:tblW w:w="10535" w:type="dxa"/>
        <w:jc w:val="center"/>
        <w:tblBorders>
          <w:top w:val="single" w:sz="4" w:space="0" w:color="auto"/>
          <w:left w:val="single" w:sz="4" w:space="0" w:color="auto"/>
          <w:bottom w:val="single" w:sz="4" w:space="0" w:color="auto"/>
          <w:right w:val="single" w:sz="4" w:space="0" w:color="auto"/>
        </w:tblBorders>
        <w:tblLayout w:type="fixed"/>
        <w:tblLook w:val="06A0" w:firstRow="1" w:lastRow="0" w:firstColumn="1" w:lastColumn="0" w:noHBand="1" w:noVBand="1"/>
        <w:tblDescription w:val="&#10;"/>
      </w:tblPr>
      <w:tblGrid>
        <w:gridCol w:w="3965"/>
        <w:gridCol w:w="1507"/>
        <w:gridCol w:w="1688"/>
        <w:gridCol w:w="1687"/>
        <w:gridCol w:w="1688"/>
      </w:tblGrid>
      <w:tr w:rsidR="009F4448" w:rsidRPr="001677C7" w14:paraId="2A762DD6" w14:textId="77777777" w:rsidTr="00E7295E">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3965" w:type="dxa"/>
            <w:tcBorders>
              <w:top w:val="single" w:sz="4" w:space="0" w:color="auto"/>
              <w:bottom w:val="single" w:sz="4" w:space="0" w:color="auto"/>
            </w:tcBorders>
            <w:shd w:val="clear" w:color="auto" w:fill="BDD6EE" w:themeFill="accent1" w:themeFillTint="66"/>
            <w:noWrap/>
            <w:hideMark/>
          </w:tcPr>
          <w:p w14:paraId="2C6D6D80" w14:textId="57511CB4" w:rsidR="009F4448" w:rsidRPr="00C75042" w:rsidRDefault="009F4448" w:rsidP="00C75042">
            <w:pPr>
              <w:pStyle w:val="ListParagraph"/>
              <w:numPr>
                <w:ilvl w:val="0"/>
                <w:numId w:val="14"/>
              </w:numPr>
              <w:rPr>
                <w:rFonts w:asciiTheme="majorHAnsi" w:eastAsia="Times New Roman" w:hAnsiTheme="majorHAnsi" w:cstheme="majorHAnsi"/>
                <w:color w:val="000000"/>
                <w:sz w:val="18"/>
                <w:szCs w:val="18"/>
              </w:rPr>
            </w:pPr>
            <w:r w:rsidRPr="00C75042">
              <w:rPr>
                <w:rFonts w:asciiTheme="majorHAnsi" w:eastAsia="Times New Roman" w:hAnsiTheme="majorHAnsi" w:cstheme="majorHAnsi"/>
                <w:color w:val="000000"/>
                <w:sz w:val="18"/>
                <w:szCs w:val="18"/>
              </w:rPr>
              <w:t xml:space="preserve">Expected business indicators during </w:t>
            </w:r>
            <w:r w:rsidR="0078601C">
              <w:rPr>
                <w:rFonts w:asciiTheme="majorHAnsi" w:eastAsia="Times New Roman" w:hAnsiTheme="majorHAnsi" w:cstheme="majorHAnsi"/>
                <w:color w:val="000000"/>
                <w:sz w:val="18"/>
                <w:szCs w:val="18"/>
              </w:rPr>
              <w:t xml:space="preserve">the </w:t>
            </w:r>
            <w:r w:rsidRPr="00C75042">
              <w:rPr>
                <w:rFonts w:asciiTheme="majorHAnsi" w:eastAsia="Times New Roman" w:hAnsiTheme="majorHAnsi" w:cstheme="majorHAnsi"/>
                <w:color w:val="000000"/>
                <w:sz w:val="18"/>
                <w:szCs w:val="18"/>
              </w:rPr>
              <w:t xml:space="preserve">next </w:t>
            </w:r>
            <w:r w:rsidR="0078601C">
              <w:rPr>
                <w:rFonts w:asciiTheme="majorHAnsi" w:eastAsia="Times New Roman" w:hAnsiTheme="majorHAnsi" w:cstheme="majorHAnsi"/>
                <w:color w:val="000000"/>
                <w:sz w:val="18"/>
                <w:szCs w:val="18"/>
              </w:rPr>
              <w:t>four quarters</w:t>
            </w:r>
          </w:p>
        </w:tc>
        <w:tc>
          <w:tcPr>
            <w:tcW w:w="1507" w:type="dxa"/>
            <w:tcBorders>
              <w:top w:val="single" w:sz="4" w:space="0" w:color="auto"/>
              <w:bottom w:val="single" w:sz="4" w:space="0" w:color="auto"/>
            </w:tcBorders>
            <w:shd w:val="clear" w:color="auto" w:fill="BDD6EE" w:themeFill="accent1" w:themeFillTint="66"/>
            <w:noWrap/>
            <w:hideMark/>
          </w:tcPr>
          <w:p w14:paraId="7D0E7FB1" w14:textId="77777777" w:rsidR="009F4448" w:rsidRPr="001677C7" w:rsidRDefault="009F444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Up</w:t>
            </w:r>
          </w:p>
        </w:tc>
        <w:tc>
          <w:tcPr>
            <w:tcW w:w="1688" w:type="dxa"/>
            <w:tcBorders>
              <w:top w:val="single" w:sz="4" w:space="0" w:color="auto"/>
              <w:bottom w:val="single" w:sz="4" w:space="0" w:color="auto"/>
            </w:tcBorders>
            <w:shd w:val="clear" w:color="auto" w:fill="BDD6EE" w:themeFill="accent1" w:themeFillTint="66"/>
            <w:noWrap/>
            <w:hideMark/>
          </w:tcPr>
          <w:p w14:paraId="3045B259" w14:textId="77777777" w:rsidR="009F4448" w:rsidRPr="001677C7" w:rsidRDefault="009F444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Same</w:t>
            </w:r>
          </w:p>
        </w:tc>
        <w:tc>
          <w:tcPr>
            <w:tcW w:w="1687" w:type="dxa"/>
            <w:tcBorders>
              <w:top w:val="single" w:sz="4" w:space="0" w:color="auto"/>
              <w:bottom w:val="single" w:sz="4" w:space="0" w:color="auto"/>
            </w:tcBorders>
            <w:shd w:val="clear" w:color="auto" w:fill="BDD6EE" w:themeFill="accent1" w:themeFillTint="66"/>
            <w:noWrap/>
            <w:hideMark/>
          </w:tcPr>
          <w:p w14:paraId="7CD7BC59" w14:textId="77777777" w:rsidR="009F4448" w:rsidRPr="001677C7" w:rsidRDefault="009F444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Down</w:t>
            </w:r>
          </w:p>
        </w:tc>
        <w:tc>
          <w:tcPr>
            <w:tcW w:w="1688" w:type="dxa"/>
            <w:tcBorders>
              <w:top w:val="single" w:sz="4" w:space="0" w:color="auto"/>
              <w:bottom w:val="single" w:sz="4" w:space="0" w:color="auto"/>
            </w:tcBorders>
            <w:shd w:val="clear" w:color="auto" w:fill="BDD6EE" w:themeFill="accent1" w:themeFillTint="66"/>
          </w:tcPr>
          <w:p w14:paraId="4FAFBBAE" w14:textId="1C6C8E83" w:rsidR="009F4448" w:rsidRPr="001677C7" w:rsidRDefault="009F4448"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Pr>
                <w:rFonts w:asciiTheme="majorHAnsi" w:eastAsia="Times New Roman" w:hAnsiTheme="majorHAnsi" w:cstheme="majorHAnsi"/>
                <w:sz w:val="18"/>
                <w:szCs w:val="18"/>
              </w:rPr>
              <w:t>Diffusion Index</w:t>
            </w:r>
            <w:r w:rsidR="0078601C" w:rsidRPr="009F4448">
              <w:rPr>
                <w:rFonts w:asciiTheme="majorHAnsi" w:eastAsia="Times New Roman" w:hAnsiTheme="majorHAnsi" w:cstheme="majorHAnsi"/>
                <w:sz w:val="18"/>
                <w:szCs w:val="18"/>
                <w:vertAlign w:val="superscript"/>
              </w:rPr>
              <w:t>(2)</w:t>
            </w:r>
          </w:p>
        </w:tc>
      </w:tr>
      <w:tr w:rsidR="009F4448" w:rsidRPr="001677C7" w14:paraId="4C9ED75D" w14:textId="77777777" w:rsidTr="00E7295E">
        <w:trPr>
          <w:trHeight w:val="144"/>
          <w:jc w:val="center"/>
        </w:trPr>
        <w:tc>
          <w:tcPr>
            <w:cnfStyle w:val="001000000000" w:firstRow="0" w:lastRow="0" w:firstColumn="1" w:lastColumn="0" w:oddVBand="0" w:evenVBand="0" w:oddHBand="0" w:evenHBand="0" w:firstRowFirstColumn="0" w:firstRowLastColumn="0" w:lastRowFirstColumn="0" w:lastRowLastColumn="0"/>
            <w:tcW w:w="3965" w:type="dxa"/>
            <w:tcBorders>
              <w:top w:val="single" w:sz="4" w:space="0" w:color="auto"/>
            </w:tcBorders>
            <w:noWrap/>
            <w:hideMark/>
          </w:tcPr>
          <w:p w14:paraId="12C92BA2" w14:textId="77777777" w:rsidR="009F4448" w:rsidRPr="001677C7" w:rsidRDefault="009F4448"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Sales revenue</w:t>
            </w:r>
          </w:p>
        </w:tc>
        <w:tc>
          <w:tcPr>
            <w:tcW w:w="1507" w:type="dxa"/>
            <w:tcBorders>
              <w:top w:val="single" w:sz="4" w:space="0" w:color="auto"/>
            </w:tcBorders>
            <w:noWrap/>
            <w:hideMark/>
          </w:tcPr>
          <w:p w14:paraId="4A9BA4DE" w14:textId="34A7BA42"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36%</w:t>
            </w:r>
          </w:p>
        </w:tc>
        <w:tc>
          <w:tcPr>
            <w:tcW w:w="1688" w:type="dxa"/>
            <w:tcBorders>
              <w:top w:val="single" w:sz="4" w:space="0" w:color="auto"/>
            </w:tcBorders>
            <w:noWrap/>
            <w:hideMark/>
          </w:tcPr>
          <w:p w14:paraId="5010A945" w14:textId="43A5606D"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43%</w:t>
            </w:r>
          </w:p>
        </w:tc>
        <w:tc>
          <w:tcPr>
            <w:tcW w:w="1687" w:type="dxa"/>
            <w:tcBorders>
              <w:top w:val="single" w:sz="4" w:space="0" w:color="auto"/>
            </w:tcBorders>
            <w:noWrap/>
            <w:hideMark/>
          </w:tcPr>
          <w:p w14:paraId="2A3AA6FE" w14:textId="1F4A4346"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21%</w:t>
            </w:r>
          </w:p>
        </w:tc>
        <w:tc>
          <w:tcPr>
            <w:tcW w:w="1688" w:type="dxa"/>
            <w:tcBorders>
              <w:top w:val="single" w:sz="4" w:space="0" w:color="auto"/>
            </w:tcBorders>
          </w:tcPr>
          <w:p w14:paraId="1321A81F" w14:textId="7F520CCA"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Pr>
                <w:rFonts w:asciiTheme="majorHAnsi" w:eastAsia="Times New Roman" w:hAnsiTheme="majorHAnsi" w:cstheme="majorHAnsi"/>
                <w:sz w:val="18"/>
                <w:szCs w:val="18"/>
              </w:rPr>
              <w:t>58</w:t>
            </w:r>
          </w:p>
        </w:tc>
      </w:tr>
      <w:tr w:rsidR="009F4448" w:rsidRPr="001677C7" w14:paraId="0E714465" w14:textId="77777777" w:rsidTr="00E7295E">
        <w:trPr>
          <w:trHeight w:val="144"/>
          <w:jc w:val="center"/>
        </w:trPr>
        <w:tc>
          <w:tcPr>
            <w:cnfStyle w:val="001000000000" w:firstRow="0" w:lastRow="0" w:firstColumn="1" w:lastColumn="0" w:oddVBand="0" w:evenVBand="0" w:oddHBand="0" w:evenHBand="0" w:firstRowFirstColumn="0" w:firstRowLastColumn="0" w:lastRowFirstColumn="0" w:lastRowLastColumn="0"/>
            <w:tcW w:w="3965" w:type="dxa"/>
            <w:noWrap/>
            <w:hideMark/>
          </w:tcPr>
          <w:p w14:paraId="04B8D93D" w14:textId="77777777" w:rsidR="009F4448" w:rsidRPr="001677C7" w:rsidRDefault="009F4448"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Profits</w:t>
            </w:r>
          </w:p>
        </w:tc>
        <w:tc>
          <w:tcPr>
            <w:tcW w:w="1507" w:type="dxa"/>
            <w:noWrap/>
            <w:hideMark/>
          </w:tcPr>
          <w:p w14:paraId="4272B374" w14:textId="4902789A"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30%</w:t>
            </w:r>
          </w:p>
        </w:tc>
        <w:tc>
          <w:tcPr>
            <w:tcW w:w="1688" w:type="dxa"/>
            <w:noWrap/>
            <w:hideMark/>
          </w:tcPr>
          <w:p w14:paraId="455B4F1E" w14:textId="165F11D2"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42%</w:t>
            </w:r>
          </w:p>
        </w:tc>
        <w:tc>
          <w:tcPr>
            <w:tcW w:w="1687" w:type="dxa"/>
            <w:noWrap/>
            <w:hideMark/>
          </w:tcPr>
          <w:p w14:paraId="5AF713E7" w14:textId="19EF5C51"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28%</w:t>
            </w:r>
          </w:p>
        </w:tc>
        <w:tc>
          <w:tcPr>
            <w:tcW w:w="1688" w:type="dxa"/>
          </w:tcPr>
          <w:p w14:paraId="3AA1BCD5" w14:textId="6297BDBA"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Pr>
                <w:rFonts w:asciiTheme="majorHAnsi" w:eastAsia="Times New Roman" w:hAnsiTheme="majorHAnsi" w:cstheme="majorHAnsi"/>
                <w:sz w:val="18"/>
                <w:szCs w:val="18"/>
              </w:rPr>
              <w:t>51</w:t>
            </w:r>
          </w:p>
        </w:tc>
      </w:tr>
      <w:tr w:rsidR="009F4448" w:rsidRPr="001677C7" w14:paraId="70306819" w14:textId="77777777" w:rsidTr="00E7295E">
        <w:trPr>
          <w:trHeight w:val="144"/>
          <w:jc w:val="center"/>
        </w:trPr>
        <w:tc>
          <w:tcPr>
            <w:cnfStyle w:val="001000000000" w:firstRow="0" w:lastRow="0" w:firstColumn="1" w:lastColumn="0" w:oddVBand="0" w:evenVBand="0" w:oddHBand="0" w:evenHBand="0" w:firstRowFirstColumn="0" w:firstRowLastColumn="0" w:lastRowFirstColumn="0" w:lastRowLastColumn="0"/>
            <w:tcW w:w="3965" w:type="dxa"/>
            <w:noWrap/>
            <w:hideMark/>
          </w:tcPr>
          <w:p w14:paraId="2A59A239" w14:textId="77777777" w:rsidR="009F4448" w:rsidRPr="001677C7" w:rsidRDefault="009F4448"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Productivity</w:t>
            </w:r>
          </w:p>
        </w:tc>
        <w:tc>
          <w:tcPr>
            <w:tcW w:w="1507" w:type="dxa"/>
            <w:noWrap/>
            <w:hideMark/>
          </w:tcPr>
          <w:p w14:paraId="4BB11BC7" w14:textId="5BD9FDD2"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27%</w:t>
            </w:r>
          </w:p>
        </w:tc>
        <w:tc>
          <w:tcPr>
            <w:tcW w:w="1688" w:type="dxa"/>
            <w:noWrap/>
            <w:hideMark/>
          </w:tcPr>
          <w:p w14:paraId="64838E89" w14:textId="01C87A81"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61%</w:t>
            </w:r>
          </w:p>
        </w:tc>
        <w:tc>
          <w:tcPr>
            <w:tcW w:w="1687" w:type="dxa"/>
            <w:noWrap/>
            <w:hideMark/>
          </w:tcPr>
          <w:p w14:paraId="26001788" w14:textId="60818490"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12%</w:t>
            </w:r>
          </w:p>
        </w:tc>
        <w:tc>
          <w:tcPr>
            <w:tcW w:w="1688" w:type="dxa"/>
          </w:tcPr>
          <w:p w14:paraId="52FAF30D" w14:textId="776EC349"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Pr>
                <w:rFonts w:asciiTheme="majorHAnsi" w:eastAsia="Times New Roman" w:hAnsiTheme="majorHAnsi" w:cstheme="majorHAnsi"/>
                <w:sz w:val="18"/>
                <w:szCs w:val="18"/>
              </w:rPr>
              <w:t>58</w:t>
            </w:r>
          </w:p>
        </w:tc>
      </w:tr>
      <w:tr w:rsidR="009F4448" w:rsidRPr="001677C7" w14:paraId="3D45BA6C" w14:textId="77777777" w:rsidTr="00E7295E">
        <w:trPr>
          <w:trHeight w:val="144"/>
          <w:jc w:val="center"/>
        </w:trPr>
        <w:tc>
          <w:tcPr>
            <w:cnfStyle w:val="001000000000" w:firstRow="0" w:lastRow="0" w:firstColumn="1" w:lastColumn="0" w:oddVBand="0" w:evenVBand="0" w:oddHBand="0" w:evenHBand="0" w:firstRowFirstColumn="0" w:firstRowLastColumn="0" w:lastRowFirstColumn="0" w:lastRowLastColumn="0"/>
            <w:tcW w:w="3965" w:type="dxa"/>
            <w:noWrap/>
            <w:hideMark/>
          </w:tcPr>
          <w:p w14:paraId="0C167C33" w14:textId="77777777" w:rsidR="009F4448" w:rsidRPr="001677C7" w:rsidRDefault="009F4448"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Employment level</w:t>
            </w:r>
          </w:p>
        </w:tc>
        <w:tc>
          <w:tcPr>
            <w:tcW w:w="1507" w:type="dxa"/>
            <w:noWrap/>
            <w:hideMark/>
          </w:tcPr>
          <w:p w14:paraId="55A76068" w14:textId="1F866B5C"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24%</w:t>
            </w:r>
          </w:p>
        </w:tc>
        <w:tc>
          <w:tcPr>
            <w:tcW w:w="1688" w:type="dxa"/>
            <w:noWrap/>
            <w:hideMark/>
          </w:tcPr>
          <w:p w14:paraId="112A523F" w14:textId="28469790"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66%</w:t>
            </w:r>
          </w:p>
        </w:tc>
        <w:tc>
          <w:tcPr>
            <w:tcW w:w="1687" w:type="dxa"/>
            <w:noWrap/>
            <w:hideMark/>
          </w:tcPr>
          <w:p w14:paraId="1FA1F3E9" w14:textId="7768DF01"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10%</w:t>
            </w:r>
          </w:p>
        </w:tc>
        <w:tc>
          <w:tcPr>
            <w:tcW w:w="1688" w:type="dxa"/>
          </w:tcPr>
          <w:p w14:paraId="5D00788D" w14:textId="0ABC06B2"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Pr>
                <w:rFonts w:asciiTheme="majorHAnsi" w:eastAsia="Times New Roman" w:hAnsiTheme="majorHAnsi" w:cstheme="majorHAnsi"/>
                <w:sz w:val="18"/>
                <w:szCs w:val="18"/>
              </w:rPr>
              <w:t>57</w:t>
            </w:r>
          </w:p>
        </w:tc>
      </w:tr>
      <w:tr w:rsidR="009F4448" w:rsidRPr="001677C7" w14:paraId="6260106F" w14:textId="77777777" w:rsidTr="00E7295E">
        <w:trPr>
          <w:trHeight w:val="144"/>
          <w:jc w:val="center"/>
        </w:trPr>
        <w:tc>
          <w:tcPr>
            <w:cnfStyle w:val="001000000000" w:firstRow="0" w:lastRow="0" w:firstColumn="1" w:lastColumn="0" w:oddVBand="0" w:evenVBand="0" w:oddHBand="0" w:evenHBand="0" w:firstRowFirstColumn="0" w:firstRowLastColumn="0" w:lastRowFirstColumn="0" w:lastRowLastColumn="0"/>
            <w:tcW w:w="3965" w:type="dxa"/>
            <w:noWrap/>
            <w:hideMark/>
          </w:tcPr>
          <w:p w14:paraId="370D94EE" w14:textId="77777777" w:rsidR="009F4448" w:rsidRPr="001677C7" w:rsidRDefault="009F4448"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Labor availability</w:t>
            </w:r>
          </w:p>
        </w:tc>
        <w:tc>
          <w:tcPr>
            <w:tcW w:w="1507" w:type="dxa"/>
            <w:noWrap/>
            <w:hideMark/>
          </w:tcPr>
          <w:p w14:paraId="1F17442E" w14:textId="0353BAFD"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12%</w:t>
            </w:r>
          </w:p>
        </w:tc>
        <w:tc>
          <w:tcPr>
            <w:tcW w:w="1688" w:type="dxa"/>
            <w:noWrap/>
            <w:hideMark/>
          </w:tcPr>
          <w:p w14:paraId="5A9F6AC2" w14:textId="6D48A6F4"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73%</w:t>
            </w:r>
          </w:p>
        </w:tc>
        <w:tc>
          <w:tcPr>
            <w:tcW w:w="1687" w:type="dxa"/>
            <w:noWrap/>
            <w:hideMark/>
          </w:tcPr>
          <w:p w14:paraId="30CF6A58" w14:textId="7D06DFCF"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15%</w:t>
            </w:r>
          </w:p>
        </w:tc>
        <w:tc>
          <w:tcPr>
            <w:tcW w:w="1688" w:type="dxa"/>
          </w:tcPr>
          <w:p w14:paraId="67B6ABD5" w14:textId="0B88EBE8"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Pr>
                <w:rFonts w:asciiTheme="majorHAnsi" w:eastAsia="Times New Roman" w:hAnsiTheme="majorHAnsi" w:cstheme="majorHAnsi"/>
                <w:sz w:val="18"/>
                <w:szCs w:val="18"/>
              </w:rPr>
              <w:t>49</w:t>
            </w:r>
          </w:p>
        </w:tc>
      </w:tr>
      <w:tr w:rsidR="009F4448" w:rsidRPr="001677C7" w14:paraId="10EABF7A" w14:textId="77777777" w:rsidTr="00E7295E">
        <w:trPr>
          <w:trHeight w:val="144"/>
          <w:jc w:val="center"/>
        </w:trPr>
        <w:tc>
          <w:tcPr>
            <w:cnfStyle w:val="001000000000" w:firstRow="0" w:lastRow="0" w:firstColumn="1" w:lastColumn="0" w:oddVBand="0" w:evenVBand="0" w:oddHBand="0" w:evenHBand="0" w:firstRowFirstColumn="0" w:firstRowLastColumn="0" w:lastRowFirstColumn="0" w:lastRowLastColumn="0"/>
            <w:tcW w:w="3965" w:type="dxa"/>
            <w:noWrap/>
            <w:hideMark/>
          </w:tcPr>
          <w:p w14:paraId="1A635F46" w14:textId="1D70ED70" w:rsidR="009F4448" w:rsidRPr="001677C7" w:rsidRDefault="009F4448"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Selling prices</w:t>
            </w:r>
            <w:r w:rsidRPr="001677C7">
              <w:rPr>
                <w:rFonts w:asciiTheme="majorHAnsi" w:eastAsia="Times New Roman" w:hAnsiTheme="majorHAnsi" w:cstheme="majorHAnsi"/>
                <w:b w:val="0"/>
                <w:color w:val="000000"/>
                <w:sz w:val="18"/>
                <w:szCs w:val="18"/>
              </w:rPr>
              <w:br/>
              <w:t>Input costs</w:t>
            </w:r>
          </w:p>
        </w:tc>
        <w:tc>
          <w:tcPr>
            <w:tcW w:w="1507" w:type="dxa"/>
            <w:noWrap/>
            <w:hideMark/>
          </w:tcPr>
          <w:p w14:paraId="714AB7F3" w14:textId="66418243" w:rsidR="009F4448" w:rsidRPr="001677C7"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37%</w:t>
            </w:r>
            <w:r w:rsidRPr="007242C5">
              <w:rPr>
                <w:rFonts w:asciiTheme="majorHAnsi" w:eastAsia="Times New Roman" w:hAnsiTheme="majorHAnsi" w:cstheme="majorHAnsi"/>
                <w:color w:val="000000"/>
                <w:sz w:val="18"/>
                <w:szCs w:val="18"/>
              </w:rPr>
              <w:br/>
              <w:t>52%</w:t>
            </w:r>
          </w:p>
        </w:tc>
        <w:tc>
          <w:tcPr>
            <w:tcW w:w="1688" w:type="dxa"/>
            <w:noWrap/>
            <w:hideMark/>
          </w:tcPr>
          <w:p w14:paraId="5A7FD5F8" w14:textId="60D93E55" w:rsidR="009F4448" w:rsidRPr="001677C7"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56%</w:t>
            </w:r>
            <w:r w:rsidRPr="007242C5">
              <w:rPr>
                <w:rFonts w:asciiTheme="majorHAnsi" w:eastAsia="Times New Roman" w:hAnsiTheme="majorHAnsi" w:cstheme="majorHAnsi"/>
                <w:color w:val="000000"/>
                <w:sz w:val="18"/>
                <w:szCs w:val="18"/>
              </w:rPr>
              <w:br/>
              <w:t>45%</w:t>
            </w:r>
          </w:p>
        </w:tc>
        <w:tc>
          <w:tcPr>
            <w:tcW w:w="1687" w:type="dxa"/>
            <w:noWrap/>
            <w:hideMark/>
          </w:tcPr>
          <w:p w14:paraId="75406C1F" w14:textId="7187F410" w:rsidR="009F4448" w:rsidRPr="001677C7"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7%</w:t>
            </w:r>
            <w:r w:rsidRPr="007242C5">
              <w:rPr>
                <w:rFonts w:asciiTheme="majorHAnsi" w:eastAsia="Times New Roman" w:hAnsiTheme="majorHAnsi" w:cstheme="majorHAnsi"/>
                <w:color w:val="000000"/>
                <w:sz w:val="18"/>
                <w:szCs w:val="18"/>
              </w:rPr>
              <w:br/>
              <w:t>3%</w:t>
            </w:r>
          </w:p>
        </w:tc>
        <w:tc>
          <w:tcPr>
            <w:tcW w:w="1688" w:type="dxa"/>
          </w:tcPr>
          <w:p w14:paraId="050D474A" w14:textId="5647D9FD" w:rsidR="009F4448" w:rsidRPr="001677C7"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Pr>
                <w:rFonts w:asciiTheme="majorHAnsi" w:eastAsia="Times New Roman" w:hAnsiTheme="majorHAnsi" w:cstheme="majorHAnsi"/>
                <w:sz w:val="18"/>
                <w:szCs w:val="18"/>
              </w:rPr>
              <w:t>65</w:t>
            </w:r>
            <w:r>
              <w:rPr>
                <w:rFonts w:asciiTheme="majorHAnsi" w:eastAsia="Times New Roman" w:hAnsiTheme="majorHAnsi" w:cstheme="majorHAnsi"/>
                <w:sz w:val="18"/>
                <w:szCs w:val="18"/>
              </w:rPr>
              <w:br/>
              <w:t>75</w:t>
            </w:r>
          </w:p>
        </w:tc>
      </w:tr>
      <w:tr w:rsidR="009F4448" w:rsidRPr="001677C7" w14:paraId="3EBEBA0D" w14:textId="77777777" w:rsidTr="00E7295E">
        <w:trPr>
          <w:trHeight w:val="144"/>
          <w:jc w:val="center"/>
        </w:trPr>
        <w:tc>
          <w:tcPr>
            <w:cnfStyle w:val="001000000000" w:firstRow="0" w:lastRow="0" w:firstColumn="1" w:lastColumn="0" w:oddVBand="0" w:evenVBand="0" w:oddHBand="0" w:evenHBand="0" w:firstRowFirstColumn="0" w:firstRowLastColumn="0" w:lastRowFirstColumn="0" w:lastRowLastColumn="0"/>
            <w:tcW w:w="3965" w:type="dxa"/>
            <w:noWrap/>
            <w:hideMark/>
          </w:tcPr>
          <w:p w14:paraId="18C07607" w14:textId="7E19D40D" w:rsidR="009F4448" w:rsidRPr="001677C7" w:rsidRDefault="009F4448"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Space occupied (square footage)</w:t>
            </w:r>
          </w:p>
        </w:tc>
        <w:tc>
          <w:tcPr>
            <w:tcW w:w="1507" w:type="dxa"/>
            <w:noWrap/>
            <w:hideMark/>
          </w:tcPr>
          <w:p w14:paraId="2A7CA1B1" w14:textId="07BEBDF8"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6%</w:t>
            </w:r>
          </w:p>
        </w:tc>
        <w:tc>
          <w:tcPr>
            <w:tcW w:w="1688" w:type="dxa"/>
            <w:noWrap/>
            <w:hideMark/>
          </w:tcPr>
          <w:p w14:paraId="0A53D128" w14:textId="4E75C866"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88%</w:t>
            </w:r>
          </w:p>
        </w:tc>
        <w:tc>
          <w:tcPr>
            <w:tcW w:w="1687" w:type="dxa"/>
            <w:noWrap/>
            <w:hideMark/>
          </w:tcPr>
          <w:p w14:paraId="4C8B9471" w14:textId="6764D292"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6%</w:t>
            </w:r>
          </w:p>
        </w:tc>
        <w:tc>
          <w:tcPr>
            <w:tcW w:w="1688" w:type="dxa"/>
          </w:tcPr>
          <w:p w14:paraId="36091953" w14:textId="150381F9"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Pr>
                <w:rFonts w:asciiTheme="majorHAnsi" w:eastAsia="Times New Roman" w:hAnsiTheme="majorHAnsi" w:cstheme="majorHAnsi"/>
                <w:sz w:val="18"/>
                <w:szCs w:val="18"/>
              </w:rPr>
              <w:t>50</w:t>
            </w:r>
          </w:p>
        </w:tc>
      </w:tr>
      <w:tr w:rsidR="009F4448" w:rsidRPr="001677C7" w14:paraId="7665DD09" w14:textId="77777777" w:rsidTr="00E7295E">
        <w:trPr>
          <w:trHeight w:val="144"/>
          <w:jc w:val="center"/>
        </w:trPr>
        <w:tc>
          <w:tcPr>
            <w:cnfStyle w:val="001000000000" w:firstRow="0" w:lastRow="0" w:firstColumn="1" w:lastColumn="0" w:oddVBand="0" w:evenVBand="0" w:oddHBand="0" w:evenHBand="0" w:firstRowFirstColumn="0" w:firstRowLastColumn="0" w:lastRowFirstColumn="0" w:lastRowLastColumn="0"/>
            <w:tcW w:w="3965" w:type="dxa"/>
            <w:noWrap/>
            <w:hideMark/>
          </w:tcPr>
          <w:p w14:paraId="35F44E61" w14:textId="77777777" w:rsidR="009F4448" w:rsidRPr="001677C7" w:rsidRDefault="009F4448" w:rsidP="00391C69">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Exports (sales for foreign clients)</w:t>
            </w:r>
          </w:p>
        </w:tc>
        <w:tc>
          <w:tcPr>
            <w:tcW w:w="1507" w:type="dxa"/>
            <w:noWrap/>
            <w:hideMark/>
          </w:tcPr>
          <w:p w14:paraId="786FA7EA" w14:textId="6BC2E494"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6%</w:t>
            </w:r>
          </w:p>
        </w:tc>
        <w:tc>
          <w:tcPr>
            <w:tcW w:w="1688" w:type="dxa"/>
            <w:noWrap/>
            <w:hideMark/>
          </w:tcPr>
          <w:p w14:paraId="6E89C38D" w14:textId="7C1F4D3B"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91%</w:t>
            </w:r>
          </w:p>
        </w:tc>
        <w:tc>
          <w:tcPr>
            <w:tcW w:w="1687" w:type="dxa"/>
            <w:noWrap/>
            <w:hideMark/>
          </w:tcPr>
          <w:p w14:paraId="361FE8B1" w14:textId="30EF8B9E"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3%</w:t>
            </w:r>
          </w:p>
        </w:tc>
        <w:tc>
          <w:tcPr>
            <w:tcW w:w="1688" w:type="dxa"/>
          </w:tcPr>
          <w:p w14:paraId="7B993892" w14:textId="3CF08C53" w:rsidR="009F4448" w:rsidRPr="007242C5" w:rsidRDefault="009F4448" w:rsidP="00391C69">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rPr>
            </w:pPr>
            <w:r>
              <w:rPr>
                <w:rFonts w:asciiTheme="majorHAnsi" w:eastAsia="Times New Roman" w:hAnsiTheme="majorHAnsi" w:cstheme="majorHAnsi"/>
                <w:sz w:val="18"/>
                <w:szCs w:val="18"/>
              </w:rPr>
              <w:t>52</w:t>
            </w:r>
          </w:p>
        </w:tc>
      </w:tr>
    </w:tbl>
    <w:p w14:paraId="3CDDAB04" w14:textId="77777777" w:rsidR="00A97C01" w:rsidRPr="001677C7" w:rsidRDefault="00A97C01" w:rsidP="009B3DF5">
      <w:pPr>
        <w:spacing w:after="0" w:line="72" w:lineRule="auto"/>
        <w:rPr>
          <w:rFonts w:asciiTheme="majorHAnsi" w:hAnsiTheme="majorHAnsi" w:cstheme="majorHAnsi"/>
          <w:sz w:val="18"/>
          <w:szCs w:val="18"/>
        </w:rPr>
      </w:pPr>
    </w:p>
    <w:tbl>
      <w:tblPr>
        <w:tblStyle w:val="PlainTable4"/>
        <w:tblW w:w="10526" w:type="dxa"/>
        <w:jc w:val="center"/>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Pr>
      <w:tblGrid>
        <w:gridCol w:w="2885"/>
        <w:gridCol w:w="902"/>
        <w:gridCol w:w="1334"/>
        <w:gridCol w:w="1440"/>
        <w:gridCol w:w="1170"/>
        <w:gridCol w:w="1350"/>
        <w:gridCol w:w="1445"/>
      </w:tblGrid>
      <w:tr w:rsidR="00E647F4" w:rsidRPr="001677C7" w14:paraId="04A3E3C5" w14:textId="77777777" w:rsidTr="000A28AD">
        <w:trPr>
          <w:cnfStyle w:val="100000000000" w:firstRow="1" w:lastRow="0" w:firstColumn="0" w:lastColumn="0" w:oddVBand="0" w:evenVBand="0" w:oddHBand="0" w:evenHBand="0" w:firstRowFirstColumn="0" w:firstRowLastColumn="0" w:lastRowFirstColumn="0" w:lastRowLastColumn="0"/>
          <w:trHeight w:val="144"/>
          <w:tblHeader/>
          <w:jc w:val="center"/>
        </w:trPr>
        <w:tc>
          <w:tcPr>
            <w:tcW w:w="2885" w:type="dxa"/>
            <w:tcBorders>
              <w:top w:val="single" w:sz="4" w:space="0" w:color="auto"/>
              <w:bottom w:val="single" w:sz="4" w:space="0" w:color="auto"/>
            </w:tcBorders>
            <w:shd w:val="clear" w:color="auto" w:fill="BDD6EE" w:themeFill="accent1" w:themeFillTint="66"/>
            <w:noWrap/>
            <w:hideMark/>
          </w:tcPr>
          <w:p w14:paraId="1EF67EF7" w14:textId="49493C65" w:rsidR="00A97C01" w:rsidRPr="001677C7" w:rsidRDefault="000A28AD" w:rsidP="000A28AD">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Expected l</w:t>
            </w:r>
            <w:r w:rsidR="00722892" w:rsidRPr="001677C7">
              <w:rPr>
                <w:rFonts w:asciiTheme="majorHAnsi" w:eastAsia="Times New Roman" w:hAnsiTheme="majorHAnsi" w:cstheme="majorHAnsi"/>
                <w:color w:val="000000"/>
                <w:sz w:val="18"/>
                <w:szCs w:val="18"/>
              </w:rPr>
              <w:t>abor i</w:t>
            </w:r>
            <w:r w:rsidR="0023223B" w:rsidRPr="001677C7">
              <w:rPr>
                <w:rFonts w:asciiTheme="majorHAnsi" w:eastAsia="Times New Roman" w:hAnsiTheme="majorHAnsi" w:cstheme="majorHAnsi"/>
                <w:color w:val="000000"/>
                <w:sz w:val="18"/>
                <w:szCs w:val="18"/>
              </w:rPr>
              <w:t>ndi</w:t>
            </w:r>
            <w:r w:rsidR="00391C69" w:rsidRPr="001677C7">
              <w:rPr>
                <w:rFonts w:asciiTheme="majorHAnsi" w:eastAsia="Times New Roman" w:hAnsiTheme="majorHAnsi" w:cstheme="majorHAnsi"/>
                <w:color w:val="000000"/>
                <w:sz w:val="18"/>
                <w:szCs w:val="18"/>
              </w:rPr>
              <w:t xml:space="preserve">cators during </w:t>
            </w:r>
            <w:r w:rsidR="0078601C">
              <w:rPr>
                <w:rFonts w:asciiTheme="majorHAnsi" w:eastAsia="Times New Roman" w:hAnsiTheme="majorHAnsi" w:cstheme="majorHAnsi"/>
                <w:color w:val="000000"/>
                <w:sz w:val="18"/>
                <w:szCs w:val="18"/>
              </w:rPr>
              <w:t xml:space="preserve">the </w:t>
            </w:r>
            <w:r w:rsidR="00391C69" w:rsidRPr="001677C7">
              <w:rPr>
                <w:rFonts w:asciiTheme="majorHAnsi" w:eastAsia="Times New Roman" w:hAnsiTheme="majorHAnsi" w:cstheme="majorHAnsi"/>
                <w:color w:val="000000"/>
                <w:sz w:val="18"/>
                <w:szCs w:val="18"/>
              </w:rPr>
              <w:t xml:space="preserve">next </w:t>
            </w:r>
            <w:r w:rsidR="0078601C">
              <w:rPr>
                <w:rFonts w:asciiTheme="majorHAnsi" w:eastAsia="Times New Roman" w:hAnsiTheme="majorHAnsi" w:cstheme="majorHAnsi"/>
                <w:color w:val="000000"/>
                <w:sz w:val="18"/>
                <w:szCs w:val="18"/>
              </w:rPr>
              <w:t>four quarters</w:t>
            </w:r>
          </w:p>
        </w:tc>
        <w:tc>
          <w:tcPr>
            <w:tcW w:w="902" w:type="dxa"/>
            <w:tcBorders>
              <w:top w:val="single" w:sz="4" w:space="0" w:color="auto"/>
              <w:bottom w:val="single" w:sz="4" w:space="0" w:color="auto"/>
            </w:tcBorders>
            <w:shd w:val="clear" w:color="auto" w:fill="BDD6EE" w:themeFill="accent1" w:themeFillTint="66"/>
            <w:noWrap/>
            <w:hideMark/>
          </w:tcPr>
          <w:p w14:paraId="71717A48"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Decrease</w:t>
            </w:r>
          </w:p>
        </w:tc>
        <w:tc>
          <w:tcPr>
            <w:tcW w:w="1334" w:type="dxa"/>
            <w:tcBorders>
              <w:top w:val="single" w:sz="4" w:space="0" w:color="auto"/>
              <w:bottom w:val="single" w:sz="4" w:space="0" w:color="auto"/>
            </w:tcBorders>
            <w:shd w:val="clear" w:color="auto" w:fill="BDD6EE" w:themeFill="accent1" w:themeFillTint="66"/>
            <w:noWrap/>
            <w:hideMark/>
          </w:tcPr>
          <w:p w14:paraId="296D10F9" w14:textId="2589FB8B"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0</w:t>
            </w:r>
            <w:r w:rsidR="00CF504B">
              <w:rPr>
                <w:rFonts w:asciiTheme="majorHAnsi" w:eastAsia="Times New Roman" w:hAnsiTheme="majorHAnsi" w:cstheme="majorHAnsi"/>
                <w:color w:val="000000"/>
                <w:sz w:val="18"/>
                <w:szCs w:val="18"/>
              </w:rPr>
              <w:t>%</w:t>
            </w:r>
          </w:p>
        </w:tc>
        <w:tc>
          <w:tcPr>
            <w:tcW w:w="1440" w:type="dxa"/>
            <w:tcBorders>
              <w:top w:val="single" w:sz="4" w:space="0" w:color="auto"/>
              <w:bottom w:val="single" w:sz="4" w:space="0" w:color="auto"/>
            </w:tcBorders>
            <w:shd w:val="clear" w:color="auto" w:fill="BDD6EE" w:themeFill="accent1" w:themeFillTint="66"/>
            <w:noWrap/>
            <w:hideMark/>
          </w:tcPr>
          <w:p w14:paraId="5830DAD3"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1-2%</w:t>
            </w:r>
          </w:p>
        </w:tc>
        <w:tc>
          <w:tcPr>
            <w:tcW w:w="1170" w:type="dxa"/>
            <w:tcBorders>
              <w:top w:val="single" w:sz="4" w:space="0" w:color="auto"/>
              <w:bottom w:val="single" w:sz="4" w:space="0" w:color="auto"/>
            </w:tcBorders>
            <w:shd w:val="clear" w:color="auto" w:fill="BDD6EE" w:themeFill="accent1" w:themeFillTint="66"/>
            <w:noWrap/>
            <w:hideMark/>
          </w:tcPr>
          <w:p w14:paraId="6547BD99"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3-5%</w:t>
            </w:r>
          </w:p>
        </w:tc>
        <w:tc>
          <w:tcPr>
            <w:tcW w:w="1350" w:type="dxa"/>
            <w:tcBorders>
              <w:top w:val="single" w:sz="4" w:space="0" w:color="auto"/>
              <w:bottom w:val="single" w:sz="4" w:space="0" w:color="auto"/>
            </w:tcBorders>
            <w:shd w:val="clear" w:color="auto" w:fill="BDD6EE" w:themeFill="accent1" w:themeFillTint="66"/>
            <w:noWrap/>
            <w:hideMark/>
          </w:tcPr>
          <w:p w14:paraId="0C417478"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6-9%</w:t>
            </w:r>
          </w:p>
        </w:tc>
        <w:tc>
          <w:tcPr>
            <w:tcW w:w="1445" w:type="dxa"/>
            <w:tcBorders>
              <w:top w:val="single" w:sz="4" w:space="0" w:color="auto"/>
              <w:bottom w:val="single" w:sz="4" w:space="0" w:color="auto"/>
            </w:tcBorders>
            <w:shd w:val="clear" w:color="auto" w:fill="BDD6EE" w:themeFill="accent1" w:themeFillTint="66"/>
            <w:noWrap/>
            <w:hideMark/>
          </w:tcPr>
          <w:p w14:paraId="461DE9EC" w14:textId="77777777" w:rsidR="00A97C01" w:rsidRPr="001677C7" w:rsidRDefault="00A97C01"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&gt;10%</w:t>
            </w:r>
          </w:p>
        </w:tc>
      </w:tr>
      <w:tr w:rsidR="00E647F4" w:rsidRPr="001677C7" w14:paraId="16B28540" w14:textId="77777777" w:rsidTr="000A28AD">
        <w:trPr>
          <w:trHeight w:val="144"/>
          <w:jc w:val="center"/>
        </w:trPr>
        <w:tc>
          <w:tcPr>
            <w:tcW w:w="2885" w:type="dxa"/>
            <w:tcBorders>
              <w:top w:val="single" w:sz="4" w:space="0" w:color="auto"/>
            </w:tcBorders>
            <w:noWrap/>
            <w:hideMark/>
          </w:tcPr>
          <w:p w14:paraId="1E65B8A9" w14:textId="77777777" w:rsidR="00A97C01" w:rsidRPr="001677C7" w:rsidRDefault="00A97C01" w:rsidP="001631FC">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Wages per worker</w:t>
            </w:r>
          </w:p>
        </w:tc>
        <w:tc>
          <w:tcPr>
            <w:tcW w:w="902" w:type="dxa"/>
            <w:tcBorders>
              <w:top w:val="single" w:sz="4" w:space="0" w:color="auto"/>
            </w:tcBorders>
            <w:noWrap/>
            <w:hideMark/>
          </w:tcPr>
          <w:p w14:paraId="3F69F8CC" w14:textId="046085B5" w:rsidR="00A97C01" w:rsidRPr="007242C5" w:rsidRDefault="0055275A" w:rsidP="00391C69">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2</w:t>
            </w:r>
            <w:r w:rsidR="00A97C01" w:rsidRPr="007242C5">
              <w:rPr>
                <w:rFonts w:asciiTheme="majorHAnsi" w:eastAsia="Times New Roman" w:hAnsiTheme="majorHAnsi" w:cstheme="majorHAnsi"/>
                <w:color w:val="000000"/>
                <w:sz w:val="18"/>
                <w:szCs w:val="18"/>
              </w:rPr>
              <w:t>%</w:t>
            </w:r>
          </w:p>
        </w:tc>
        <w:tc>
          <w:tcPr>
            <w:tcW w:w="1334" w:type="dxa"/>
            <w:tcBorders>
              <w:top w:val="single" w:sz="4" w:space="0" w:color="auto"/>
            </w:tcBorders>
            <w:noWrap/>
            <w:hideMark/>
          </w:tcPr>
          <w:p w14:paraId="5F7A75EF" w14:textId="066B311A" w:rsidR="00A97C01" w:rsidRPr="007242C5" w:rsidRDefault="0055275A"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26</w:t>
            </w:r>
            <w:r w:rsidR="00A97C01" w:rsidRPr="007242C5">
              <w:rPr>
                <w:rFonts w:asciiTheme="majorHAnsi" w:eastAsia="Times New Roman" w:hAnsiTheme="majorHAnsi" w:cstheme="majorHAnsi"/>
                <w:color w:val="000000"/>
                <w:sz w:val="18"/>
                <w:szCs w:val="18"/>
              </w:rPr>
              <w:t>%</w:t>
            </w:r>
          </w:p>
        </w:tc>
        <w:tc>
          <w:tcPr>
            <w:tcW w:w="1440" w:type="dxa"/>
            <w:tcBorders>
              <w:top w:val="single" w:sz="4" w:space="0" w:color="auto"/>
            </w:tcBorders>
            <w:noWrap/>
            <w:hideMark/>
          </w:tcPr>
          <w:p w14:paraId="780B4B21" w14:textId="45AB8914" w:rsidR="00A97C01" w:rsidRPr="007242C5" w:rsidRDefault="00540208"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1</w:t>
            </w:r>
            <w:r w:rsidR="0055275A" w:rsidRPr="007242C5">
              <w:rPr>
                <w:rFonts w:asciiTheme="majorHAnsi" w:eastAsia="Times New Roman" w:hAnsiTheme="majorHAnsi" w:cstheme="majorHAnsi"/>
                <w:color w:val="000000"/>
                <w:sz w:val="18"/>
                <w:szCs w:val="18"/>
              </w:rPr>
              <w:t>4</w:t>
            </w:r>
            <w:r w:rsidR="00A97C01" w:rsidRPr="007242C5">
              <w:rPr>
                <w:rFonts w:asciiTheme="majorHAnsi" w:eastAsia="Times New Roman" w:hAnsiTheme="majorHAnsi" w:cstheme="majorHAnsi"/>
                <w:color w:val="000000"/>
                <w:sz w:val="18"/>
                <w:szCs w:val="18"/>
              </w:rPr>
              <w:t>%</w:t>
            </w:r>
          </w:p>
        </w:tc>
        <w:tc>
          <w:tcPr>
            <w:tcW w:w="1170" w:type="dxa"/>
            <w:tcBorders>
              <w:top w:val="single" w:sz="4" w:space="0" w:color="auto"/>
            </w:tcBorders>
            <w:noWrap/>
            <w:hideMark/>
          </w:tcPr>
          <w:p w14:paraId="644E341C" w14:textId="236B5BDE" w:rsidR="00A97C01" w:rsidRPr="007242C5" w:rsidRDefault="0055275A"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50</w:t>
            </w:r>
            <w:r w:rsidR="00A97C01" w:rsidRPr="007242C5">
              <w:rPr>
                <w:rFonts w:asciiTheme="majorHAnsi" w:eastAsia="Times New Roman" w:hAnsiTheme="majorHAnsi" w:cstheme="majorHAnsi"/>
                <w:color w:val="000000"/>
                <w:sz w:val="18"/>
                <w:szCs w:val="18"/>
              </w:rPr>
              <w:t>%</w:t>
            </w:r>
          </w:p>
        </w:tc>
        <w:tc>
          <w:tcPr>
            <w:tcW w:w="1350" w:type="dxa"/>
            <w:tcBorders>
              <w:top w:val="single" w:sz="4" w:space="0" w:color="auto"/>
            </w:tcBorders>
            <w:noWrap/>
            <w:hideMark/>
          </w:tcPr>
          <w:p w14:paraId="27321195" w14:textId="53BABB19" w:rsidR="00A97C01" w:rsidRPr="007242C5" w:rsidRDefault="0055275A"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6</w:t>
            </w:r>
            <w:r w:rsidR="00A97C01" w:rsidRPr="007242C5">
              <w:rPr>
                <w:rFonts w:asciiTheme="majorHAnsi" w:eastAsia="Times New Roman" w:hAnsiTheme="majorHAnsi" w:cstheme="majorHAnsi"/>
                <w:color w:val="000000"/>
                <w:sz w:val="18"/>
                <w:szCs w:val="18"/>
              </w:rPr>
              <w:t>%</w:t>
            </w:r>
          </w:p>
        </w:tc>
        <w:tc>
          <w:tcPr>
            <w:tcW w:w="1445" w:type="dxa"/>
            <w:tcBorders>
              <w:top w:val="single" w:sz="4" w:space="0" w:color="auto"/>
            </w:tcBorders>
            <w:noWrap/>
            <w:hideMark/>
          </w:tcPr>
          <w:p w14:paraId="46D93AD3" w14:textId="06423119" w:rsidR="00A97C01" w:rsidRPr="007242C5" w:rsidRDefault="0055275A"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3</w:t>
            </w:r>
            <w:r w:rsidR="00A97C01" w:rsidRPr="007242C5">
              <w:rPr>
                <w:rFonts w:asciiTheme="majorHAnsi" w:eastAsia="Times New Roman" w:hAnsiTheme="majorHAnsi" w:cstheme="majorHAnsi"/>
                <w:color w:val="000000"/>
                <w:sz w:val="18"/>
                <w:szCs w:val="18"/>
              </w:rPr>
              <w:t>%</w:t>
            </w:r>
          </w:p>
        </w:tc>
      </w:tr>
      <w:tr w:rsidR="00E647F4" w:rsidRPr="001677C7" w14:paraId="1AE1A806" w14:textId="77777777" w:rsidTr="000A28AD">
        <w:trPr>
          <w:trHeight w:val="144"/>
          <w:jc w:val="center"/>
        </w:trPr>
        <w:tc>
          <w:tcPr>
            <w:tcW w:w="2885" w:type="dxa"/>
            <w:noWrap/>
            <w:hideMark/>
          </w:tcPr>
          <w:p w14:paraId="59AE9E7F" w14:textId="77777777" w:rsidR="00A97C01" w:rsidRPr="001677C7" w:rsidRDefault="00A97C01" w:rsidP="001631FC">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Benefits per worker</w:t>
            </w:r>
          </w:p>
        </w:tc>
        <w:tc>
          <w:tcPr>
            <w:tcW w:w="902" w:type="dxa"/>
            <w:noWrap/>
            <w:hideMark/>
          </w:tcPr>
          <w:p w14:paraId="1B035B76" w14:textId="4D3ACFBA" w:rsidR="00A97C01" w:rsidRPr="007242C5" w:rsidRDefault="0055275A"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0</w:t>
            </w:r>
            <w:r w:rsidR="00A97C01" w:rsidRPr="007242C5">
              <w:rPr>
                <w:rFonts w:asciiTheme="majorHAnsi" w:eastAsia="Times New Roman" w:hAnsiTheme="majorHAnsi" w:cstheme="majorHAnsi"/>
                <w:color w:val="000000"/>
                <w:sz w:val="18"/>
                <w:szCs w:val="18"/>
              </w:rPr>
              <w:t>%</w:t>
            </w:r>
          </w:p>
        </w:tc>
        <w:tc>
          <w:tcPr>
            <w:tcW w:w="1334" w:type="dxa"/>
            <w:noWrap/>
            <w:hideMark/>
          </w:tcPr>
          <w:p w14:paraId="6AD871DD" w14:textId="758FA96E" w:rsidR="00A97C01" w:rsidRPr="007242C5" w:rsidRDefault="0055275A"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36</w:t>
            </w:r>
            <w:r w:rsidR="00A97C01" w:rsidRPr="007242C5">
              <w:rPr>
                <w:rFonts w:asciiTheme="majorHAnsi" w:eastAsia="Times New Roman" w:hAnsiTheme="majorHAnsi" w:cstheme="majorHAnsi"/>
                <w:color w:val="000000"/>
                <w:sz w:val="18"/>
                <w:szCs w:val="18"/>
              </w:rPr>
              <w:t>%</w:t>
            </w:r>
          </w:p>
        </w:tc>
        <w:tc>
          <w:tcPr>
            <w:tcW w:w="1440" w:type="dxa"/>
            <w:noWrap/>
            <w:hideMark/>
          </w:tcPr>
          <w:p w14:paraId="0C952DBD" w14:textId="5A6BD181" w:rsidR="00A97C01" w:rsidRPr="007242C5" w:rsidRDefault="0081643D"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1</w:t>
            </w:r>
            <w:r w:rsidR="0055275A" w:rsidRPr="007242C5">
              <w:rPr>
                <w:rFonts w:asciiTheme="majorHAnsi" w:eastAsia="Times New Roman" w:hAnsiTheme="majorHAnsi" w:cstheme="majorHAnsi"/>
                <w:color w:val="000000"/>
                <w:sz w:val="18"/>
                <w:szCs w:val="18"/>
              </w:rPr>
              <w:t>1</w:t>
            </w:r>
            <w:r w:rsidR="00A97C01" w:rsidRPr="007242C5">
              <w:rPr>
                <w:rFonts w:asciiTheme="majorHAnsi" w:eastAsia="Times New Roman" w:hAnsiTheme="majorHAnsi" w:cstheme="majorHAnsi"/>
                <w:color w:val="000000"/>
                <w:sz w:val="18"/>
                <w:szCs w:val="18"/>
              </w:rPr>
              <w:t>%</w:t>
            </w:r>
          </w:p>
        </w:tc>
        <w:tc>
          <w:tcPr>
            <w:tcW w:w="1170" w:type="dxa"/>
            <w:noWrap/>
            <w:hideMark/>
          </w:tcPr>
          <w:p w14:paraId="52086847" w14:textId="4904BAA3" w:rsidR="00A97C01" w:rsidRPr="007242C5" w:rsidRDefault="0081643D"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2</w:t>
            </w:r>
            <w:r w:rsidR="0055275A" w:rsidRPr="007242C5">
              <w:rPr>
                <w:rFonts w:asciiTheme="majorHAnsi" w:eastAsia="Times New Roman" w:hAnsiTheme="majorHAnsi" w:cstheme="majorHAnsi"/>
                <w:color w:val="000000"/>
                <w:sz w:val="18"/>
                <w:szCs w:val="18"/>
              </w:rPr>
              <w:t>8</w:t>
            </w:r>
            <w:r w:rsidR="00A97C01" w:rsidRPr="007242C5">
              <w:rPr>
                <w:rFonts w:asciiTheme="majorHAnsi" w:eastAsia="Times New Roman" w:hAnsiTheme="majorHAnsi" w:cstheme="majorHAnsi"/>
                <w:color w:val="000000"/>
                <w:sz w:val="18"/>
                <w:szCs w:val="18"/>
              </w:rPr>
              <w:t>%</w:t>
            </w:r>
          </w:p>
        </w:tc>
        <w:tc>
          <w:tcPr>
            <w:tcW w:w="1350" w:type="dxa"/>
            <w:noWrap/>
            <w:hideMark/>
          </w:tcPr>
          <w:p w14:paraId="2795439C" w14:textId="369F1EC1" w:rsidR="00A97C01" w:rsidRPr="007242C5" w:rsidRDefault="00540208"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17</w:t>
            </w:r>
            <w:r w:rsidR="00A97C01" w:rsidRPr="007242C5">
              <w:rPr>
                <w:rFonts w:asciiTheme="majorHAnsi" w:eastAsia="Times New Roman" w:hAnsiTheme="majorHAnsi" w:cstheme="majorHAnsi"/>
                <w:color w:val="000000"/>
                <w:sz w:val="18"/>
                <w:szCs w:val="18"/>
              </w:rPr>
              <w:t>%</w:t>
            </w:r>
          </w:p>
        </w:tc>
        <w:tc>
          <w:tcPr>
            <w:tcW w:w="1445" w:type="dxa"/>
            <w:noWrap/>
            <w:hideMark/>
          </w:tcPr>
          <w:p w14:paraId="244F8D04" w14:textId="669470A5" w:rsidR="00A97C01" w:rsidRPr="007242C5" w:rsidRDefault="00540208" w:rsidP="001631FC">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8</w:t>
            </w:r>
            <w:r w:rsidR="00A97C01" w:rsidRPr="007242C5">
              <w:rPr>
                <w:rFonts w:asciiTheme="majorHAnsi" w:eastAsia="Times New Roman" w:hAnsiTheme="majorHAnsi" w:cstheme="majorHAnsi"/>
                <w:color w:val="000000"/>
                <w:sz w:val="18"/>
                <w:szCs w:val="18"/>
              </w:rPr>
              <w:t>%</w:t>
            </w:r>
          </w:p>
        </w:tc>
      </w:tr>
    </w:tbl>
    <w:p w14:paraId="5DF7B24A" w14:textId="77777777" w:rsidR="00A97C01" w:rsidRPr="001677C7" w:rsidRDefault="00A97C01" w:rsidP="009B3DF5">
      <w:pPr>
        <w:spacing w:after="0" w:line="72" w:lineRule="auto"/>
        <w:rPr>
          <w:rFonts w:asciiTheme="majorHAnsi" w:hAnsiTheme="majorHAnsi" w:cstheme="majorHAnsi"/>
        </w:rPr>
      </w:pPr>
    </w:p>
    <w:tbl>
      <w:tblPr>
        <w:tblStyle w:val="PlainTable4"/>
        <w:tblW w:w="10525" w:type="dxa"/>
        <w:jc w:val="center"/>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Description w:val="&#10;"/>
      </w:tblPr>
      <w:tblGrid>
        <w:gridCol w:w="3855"/>
        <w:gridCol w:w="1667"/>
        <w:gridCol w:w="1668"/>
        <w:gridCol w:w="1667"/>
        <w:gridCol w:w="1668"/>
      </w:tblGrid>
      <w:tr w:rsidR="00312007" w:rsidRPr="001677C7" w14:paraId="458BD290" w14:textId="77777777" w:rsidTr="00312007">
        <w:trPr>
          <w:cnfStyle w:val="100000000000" w:firstRow="1" w:lastRow="0" w:firstColumn="0" w:lastColumn="0" w:oddVBand="0" w:evenVBand="0" w:oddHBand="0" w:evenHBand="0" w:firstRowFirstColumn="0" w:firstRowLastColumn="0" w:lastRowFirstColumn="0" w:lastRowLastColumn="0"/>
          <w:trHeight w:val="144"/>
          <w:tblHeader/>
          <w:jc w:val="center"/>
        </w:trPr>
        <w:tc>
          <w:tcPr>
            <w:tcW w:w="3855" w:type="dxa"/>
            <w:tcBorders>
              <w:top w:val="single" w:sz="4" w:space="0" w:color="auto"/>
              <w:bottom w:val="single" w:sz="4" w:space="0" w:color="auto"/>
            </w:tcBorders>
            <w:shd w:val="clear" w:color="auto" w:fill="BDD6EE" w:themeFill="accent1" w:themeFillTint="66"/>
            <w:noWrap/>
            <w:hideMark/>
          </w:tcPr>
          <w:p w14:paraId="027F9EFF" w14:textId="53AAE6CF" w:rsidR="00312007" w:rsidRPr="00C75042" w:rsidRDefault="00312007" w:rsidP="00C75042">
            <w:pPr>
              <w:pStyle w:val="ListParagraph"/>
              <w:numPr>
                <w:ilvl w:val="0"/>
                <w:numId w:val="14"/>
              </w:numPr>
              <w:rPr>
                <w:rFonts w:asciiTheme="majorHAnsi" w:eastAsia="Times New Roman" w:hAnsiTheme="majorHAnsi" w:cstheme="majorHAnsi"/>
                <w:color w:val="000000"/>
                <w:sz w:val="18"/>
                <w:szCs w:val="18"/>
              </w:rPr>
            </w:pPr>
            <w:r w:rsidRPr="00C75042">
              <w:rPr>
                <w:rFonts w:asciiTheme="majorHAnsi" w:eastAsia="Times New Roman" w:hAnsiTheme="majorHAnsi" w:cstheme="majorHAnsi"/>
                <w:color w:val="000000"/>
                <w:sz w:val="18"/>
                <w:szCs w:val="18"/>
              </w:rPr>
              <w:t xml:space="preserve">Outlook on the following state economic indicators during the next </w:t>
            </w:r>
            <w:r w:rsidR="0078601C">
              <w:rPr>
                <w:rFonts w:asciiTheme="majorHAnsi" w:eastAsia="Times New Roman" w:hAnsiTheme="majorHAnsi" w:cstheme="majorHAnsi"/>
                <w:color w:val="000000"/>
                <w:sz w:val="18"/>
                <w:szCs w:val="18"/>
              </w:rPr>
              <w:t>four quarters</w:t>
            </w:r>
            <w:r w:rsidRPr="00C75042">
              <w:rPr>
                <w:rFonts w:asciiTheme="majorHAnsi" w:eastAsia="Times New Roman" w:hAnsiTheme="majorHAnsi" w:cstheme="majorHAnsi"/>
                <w:color w:val="000000"/>
                <w:sz w:val="18"/>
                <w:szCs w:val="18"/>
              </w:rPr>
              <w:t xml:space="preserve"> </w:t>
            </w:r>
          </w:p>
        </w:tc>
        <w:tc>
          <w:tcPr>
            <w:tcW w:w="1667" w:type="dxa"/>
            <w:tcBorders>
              <w:top w:val="single" w:sz="4" w:space="0" w:color="auto"/>
              <w:bottom w:val="single" w:sz="4" w:space="0" w:color="auto"/>
            </w:tcBorders>
            <w:shd w:val="clear" w:color="auto" w:fill="BDD6EE" w:themeFill="accent1" w:themeFillTint="66"/>
            <w:noWrap/>
            <w:hideMark/>
          </w:tcPr>
          <w:p w14:paraId="75035581" w14:textId="77777777" w:rsidR="00312007" w:rsidRPr="001677C7" w:rsidRDefault="00312007"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Up</w:t>
            </w:r>
          </w:p>
        </w:tc>
        <w:tc>
          <w:tcPr>
            <w:tcW w:w="1668" w:type="dxa"/>
            <w:tcBorders>
              <w:top w:val="single" w:sz="4" w:space="0" w:color="auto"/>
              <w:bottom w:val="single" w:sz="4" w:space="0" w:color="auto"/>
            </w:tcBorders>
            <w:shd w:val="clear" w:color="auto" w:fill="BDD6EE" w:themeFill="accent1" w:themeFillTint="66"/>
            <w:noWrap/>
            <w:hideMark/>
          </w:tcPr>
          <w:p w14:paraId="1BF430E7" w14:textId="77777777" w:rsidR="00312007" w:rsidRPr="001677C7" w:rsidRDefault="00312007"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Same</w:t>
            </w:r>
          </w:p>
        </w:tc>
        <w:tc>
          <w:tcPr>
            <w:tcW w:w="1667" w:type="dxa"/>
            <w:tcBorders>
              <w:top w:val="single" w:sz="4" w:space="0" w:color="auto"/>
              <w:bottom w:val="single" w:sz="4" w:space="0" w:color="auto"/>
            </w:tcBorders>
            <w:shd w:val="clear" w:color="auto" w:fill="BDD6EE" w:themeFill="accent1" w:themeFillTint="66"/>
            <w:noWrap/>
            <w:hideMark/>
          </w:tcPr>
          <w:p w14:paraId="0204BBDA" w14:textId="77777777" w:rsidR="00312007" w:rsidRPr="001677C7" w:rsidRDefault="00312007" w:rsidP="001631FC">
            <w:pPr>
              <w:jc w:val="cente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Down</w:t>
            </w:r>
          </w:p>
        </w:tc>
        <w:tc>
          <w:tcPr>
            <w:tcW w:w="1668" w:type="dxa"/>
            <w:tcBorders>
              <w:top w:val="single" w:sz="4" w:space="0" w:color="auto"/>
              <w:bottom w:val="single" w:sz="4" w:space="0" w:color="auto"/>
            </w:tcBorders>
            <w:shd w:val="clear" w:color="auto" w:fill="BDD6EE" w:themeFill="accent1" w:themeFillTint="66"/>
          </w:tcPr>
          <w:p w14:paraId="718B2715" w14:textId="6985F4FA" w:rsidR="00312007" w:rsidRPr="001677C7" w:rsidRDefault="00312007" w:rsidP="001631FC">
            <w:pPr>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Diffusion Index</w:t>
            </w:r>
            <w:r w:rsidR="0078601C" w:rsidRPr="0078601C">
              <w:rPr>
                <w:rFonts w:asciiTheme="majorHAnsi" w:eastAsia="Times New Roman" w:hAnsiTheme="majorHAnsi" w:cstheme="majorHAnsi"/>
                <w:sz w:val="18"/>
                <w:szCs w:val="18"/>
                <w:vertAlign w:val="superscript"/>
              </w:rPr>
              <w:t>(2)</w:t>
            </w:r>
          </w:p>
        </w:tc>
      </w:tr>
      <w:tr w:rsidR="00312007" w:rsidRPr="001677C7" w14:paraId="028C6388" w14:textId="77777777" w:rsidTr="00312007">
        <w:trPr>
          <w:trHeight w:val="144"/>
          <w:jc w:val="center"/>
        </w:trPr>
        <w:tc>
          <w:tcPr>
            <w:tcW w:w="3855" w:type="dxa"/>
            <w:tcBorders>
              <w:top w:val="single" w:sz="4" w:space="0" w:color="auto"/>
            </w:tcBorders>
            <w:noWrap/>
            <w:hideMark/>
          </w:tcPr>
          <w:p w14:paraId="2019B023" w14:textId="77777777" w:rsidR="00312007" w:rsidRPr="001677C7" w:rsidRDefault="00312007"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Employment</w:t>
            </w:r>
          </w:p>
        </w:tc>
        <w:tc>
          <w:tcPr>
            <w:tcW w:w="1667" w:type="dxa"/>
            <w:tcBorders>
              <w:top w:val="single" w:sz="4" w:space="0" w:color="auto"/>
            </w:tcBorders>
            <w:noWrap/>
            <w:hideMark/>
          </w:tcPr>
          <w:p w14:paraId="1486EFAE" w14:textId="0AD71B4F" w:rsidR="00312007" w:rsidRPr="007242C5" w:rsidRDefault="00312007" w:rsidP="00391C69">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15%</w:t>
            </w:r>
          </w:p>
        </w:tc>
        <w:tc>
          <w:tcPr>
            <w:tcW w:w="1668" w:type="dxa"/>
            <w:tcBorders>
              <w:top w:val="single" w:sz="4" w:space="0" w:color="auto"/>
            </w:tcBorders>
            <w:noWrap/>
            <w:hideMark/>
          </w:tcPr>
          <w:p w14:paraId="17A5AC32" w14:textId="16EBFE59" w:rsidR="00312007" w:rsidRPr="007242C5" w:rsidRDefault="00312007" w:rsidP="00391C69">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62%</w:t>
            </w:r>
          </w:p>
        </w:tc>
        <w:tc>
          <w:tcPr>
            <w:tcW w:w="1667" w:type="dxa"/>
            <w:tcBorders>
              <w:top w:val="single" w:sz="4" w:space="0" w:color="auto"/>
            </w:tcBorders>
            <w:noWrap/>
            <w:hideMark/>
          </w:tcPr>
          <w:p w14:paraId="49CBC6AA" w14:textId="39208FBA" w:rsidR="00312007" w:rsidRPr="007242C5" w:rsidRDefault="00312007" w:rsidP="00391C69">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24%</w:t>
            </w:r>
          </w:p>
        </w:tc>
        <w:tc>
          <w:tcPr>
            <w:tcW w:w="1668" w:type="dxa"/>
            <w:tcBorders>
              <w:top w:val="single" w:sz="4" w:space="0" w:color="auto"/>
            </w:tcBorders>
          </w:tcPr>
          <w:p w14:paraId="50866DD9" w14:textId="042D6324" w:rsidR="00312007" w:rsidRPr="007242C5" w:rsidRDefault="00312007" w:rsidP="00391C69">
            <w:pPr>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46</w:t>
            </w:r>
          </w:p>
        </w:tc>
      </w:tr>
      <w:tr w:rsidR="00312007" w:rsidRPr="001677C7" w14:paraId="64409582" w14:textId="77777777" w:rsidTr="00312007">
        <w:trPr>
          <w:trHeight w:val="144"/>
          <w:jc w:val="center"/>
        </w:trPr>
        <w:tc>
          <w:tcPr>
            <w:tcW w:w="3855" w:type="dxa"/>
            <w:noWrap/>
            <w:hideMark/>
          </w:tcPr>
          <w:p w14:paraId="5ED30AD5" w14:textId="77777777" w:rsidR="00312007" w:rsidRPr="001677C7" w:rsidRDefault="00312007"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Consumer spending</w:t>
            </w:r>
          </w:p>
        </w:tc>
        <w:tc>
          <w:tcPr>
            <w:tcW w:w="1667" w:type="dxa"/>
            <w:noWrap/>
            <w:hideMark/>
          </w:tcPr>
          <w:p w14:paraId="61537096" w14:textId="3F6C5A91" w:rsidR="00312007" w:rsidRPr="007242C5" w:rsidRDefault="00312007" w:rsidP="00391C69">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14%</w:t>
            </w:r>
          </w:p>
        </w:tc>
        <w:tc>
          <w:tcPr>
            <w:tcW w:w="1668" w:type="dxa"/>
            <w:noWrap/>
            <w:hideMark/>
          </w:tcPr>
          <w:p w14:paraId="591307DA" w14:textId="5C0C12A2" w:rsidR="00312007" w:rsidRPr="007242C5" w:rsidRDefault="00312007" w:rsidP="00391C69">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36%</w:t>
            </w:r>
          </w:p>
        </w:tc>
        <w:tc>
          <w:tcPr>
            <w:tcW w:w="1667" w:type="dxa"/>
            <w:noWrap/>
            <w:hideMark/>
          </w:tcPr>
          <w:p w14:paraId="4A211C79" w14:textId="17619764" w:rsidR="00312007" w:rsidRPr="007242C5" w:rsidRDefault="00312007" w:rsidP="00391C69">
            <w:pPr>
              <w:jc w:val="center"/>
              <w:rPr>
                <w:rFonts w:asciiTheme="majorHAnsi" w:eastAsia="Times New Roman" w:hAnsiTheme="majorHAnsi" w:cstheme="majorHAnsi"/>
                <w:color w:val="000000"/>
                <w:sz w:val="18"/>
                <w:szCs w:val="18"/>
              </w:rPr>
            </w:pPr>
            <w:r w:rsidRPr="007242C5">
              <w:rPr>
                <w:rFonts w:asciiTheme="majorHAnsi" w:eastAsia="Times New Roman" w:hAnsiTheme="majorHAnsi" w:cstheme="majorHAnsi"/>
                <w:color w:val="000000"/>
                <w:sz w:val="18"/>
                <w:szCs w:val="18"/>
              </w:rPr>
              <w:t>50%</w:t>
            </w:r>
          </w:p>
        </w:tc>
        <w:tc>
          <w:tcPr>
            <w:tcW w:w="1668" w:type="dxa"/>
          </w:tcPr>
          <w:p w14:paraId="00F69189" w14:textId="4901151C" w:rsidR="00312007" w:rsidRPr="00837FC5" w:rsidRDefault="00312007" w:rsidP="00391C69">
            <w:pPr>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32</w:t>
            </w:r>
          </w:p>
        </w:tc>
      </w:tr>
      <w:tr w:rsidR="00312007" w:rsidRPr="001677C7" w14:paraId="511ECD78" w14:textId="77777777" w:rsidTr="00312007">
        <w:trPr>
          <w:trHeight w:val="144"/>
          <w:jc w:val="center"/>
        </w:trPr>
        <w:tc>
          <w:tcPr>
            <w:tcW w:w="3855" w:type="dxa"/>
            <w:noWrap/>
            <w:hideMark/>
          </w:tcPr>
          <w:p w14:paraId="1CB48C2C" w14:textId="77777777" w:rsidR="00312007" w:rsidRPr="001677C7" w:rsidRDefault="00312007"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Inflation</w:t>
            </w:r>
          </w:p>
        </w:tc>
        <w:tc>
          <w:tcPr>
            <w:tcW w:w="1667" w:type="dxa"/>
            <w:noWrap/>
            <w:hideMark/>
          </w:tcPr>
          <w:p w14:paraId="557235B2" w14:textId="749A562B" w:rsidR="00312007" w:rsidRPr="00254E20" w:rsidRDefault="00312007" w:rsidP="00391C69">
            <w:pPr>
              <w:jc w:val="center"/>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63%</w:t>
            </w:r>
          </w:p>
        </w:tc>
        <w:tc>
          <w:tcPr>
            <w:tcW w:w="1668" w:type="dxa"/>
            <w:noWrap/>
            <w:hideMark/>
          </w:tcPr>
          <w:p w14:paraId="1982D2F8" w14:textId="654457AC" w:rsidR="00312007" w:rsidRPr="00254E20" w:rsidRDefault="00312007" w:rsidP="00391C69">
            <w:pPr>
              <w:jc w:val="center"/>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27%</w:t>
            </w:r>
          </w:p>
        </w:tc>
        <w:tc>
          <w:tcPr>
            <w:tcW w:w="1667" w:type="dxa"/>
            <w:noWrap/>
            <w:hideMark/>
          </w:tcPr>
          <w:p w14:paraId="4AE43DBF" w14:textId="573E5871" w:rsidR="00312007" w:rsidRPr="00254E20" w:rsidRDefault="00312007" w:rsidP="00391C69">
            <w:pPr>
              <w:jc w:val="center"/>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10%</w:t>
            </w:r>
          </w:p>
        </w:tc>
        <w:tc>
          <w:tcPr>
            <w:tcW w:w="1668" w:type="dxa"/>
          </w:tcPr>
          <w:p w14:paraId="5DD792D6" w14:textId="3FFF8DAB" w:rsidR="00312007" w:rsidRPr="00837FC5" w:rsidRDefault="00312007" w:rsidP="00391C69">
            <w:pPr>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77</w:t>
            </w:r>
          </w:p>
        </w:tc>
      </w:tr>
      <w:tr w:rsidR="00312007" w:rsidRPr="001677C7" w14:paraId="592255BD" w14:textId="77777777" w:rsidTr="00312007">
        <w:trPr>
          <w:trHeight w:val="144"/>
          <w:jc w:val="center"/>
        </w:trPr>
        <w:tc>
          <w:tcPr>
            <w:tcW w:w="3855" w:type="dxa"/>
            <w:noWrap/>
            <w:hideMark/>
          </w:tcPr>
          <w:p w14:paraId="25BD601E" w14:textId="77777777" w:rsidR="00312007" w:rsidRPr="001677C7" w:rsidRDefault="00312007"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Corporate profits</w:t>
            </w:r>
          </w:p>
        </w:tc>
        <w:tc>
          <w:tcPr>
            <w:tcW w:w="1667" w:type="dxa"/>
            <w:noWrap/>
            <w:hideMark/>
          </w:tcPr>
          <w:p w14:paraId="6D1D2B79" w14:textId="480D35CF" w:rsidR="00312007" w:rsidRPr="00254E20" w:rsidRDefault="00312007" w:rsidP="00391C69">
            <w:pPr>
              <w:jc w:val="center"/>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18%</w:t>
            </w:r>
          </w:p>
        </w:tc>
        <w:tc>
          <w:tcPr>
            <w:tcW w:w="1668" w:type="dxa"/>
            <w:noWrap/>
            <w:hideMark/>
          </w:tcPr>
          <w:p w14:paraId="1319B33A" w14:textId="51DB7E60" w:rsidR="00312007" w:rsidRPr="00254E20" w:rsidRDefault="00312007" w:rsidP="00391C69">
            <w:pPr>
              <w:jc w:val="center"/>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41%</w:t>
            </w:r>
          </w:p>
        </w:tc>
        <w:tc>
          <w:tcPr>
            <w:tcW w:w="1667" w:type="dxa"/>
            <w:noWrap/>
            <w:hideMark/>
          </w:tcPr>
          <w:p w14:paraId="5BFD6BB2" w14:textId="04EAA795" w:rsidR="00312007" w:rsidRPr="00A56C78" w:rsidRDefault="00312007" w:rsidP="00391C69">
            <w:pPr>
              <w:jc w:val="center"/>
              <w:rPr>
                <w:rFonts w:asciiTheme="majorHAnsi" w:eastAsia="Times New Roman" w:hAnsiTheme="majorHAnsi" w:cstheme="majorHAnsi"/>
                <w:color w:val="000000"/>
                <w:sz w:val="18"/>
                <w:szCs w:val="18"/>
              </w:rPr>
            </w:pPr>
            <w:r w:rsidRPr="00A56C78">
              <w:rPr>
                <w:rFonts w:asciiTheme="majorHAnsi" w:eastAsia="Times New Roman" w:hAnsiTheme="majorHAnsi" w:cstheme="majorHAnsi"/>
                <w:color w:val="000000"/>
                <w:sz w:val="18"/>
                <w:szCs w:val="18"/>
              </w:rPr>
              <w:t>41%</w:t>
            </w:r>
          </w:p>
        </w:tc>
        <w:tc>
          <w:tcPr>
            <w:tcW w:w="1668" w:type="dxa"/>
          </w:tcPr>
          <w:p w14:paraId="69522C0A" w14:textId="4D086BB8" w:rsidR="00312007" w:rsidRPr="00837FC5" w:rsidRDefault="00312007" w:rsidP="00391C69">
            <w:pPr>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39</w:t>
            </w:r>
          </w:p>
        </w:tc>
      </w:tr>
      <w:tr w:rsidR="00312007" w:rsidRPr="001677C7" w14:paraId="585A7D94" w14:textId="77777777" w:rsidTr="00312007">
        <w:trPr>
          <w:trHeight w:val="144"/>
          <w:jc w:val="center"/>
        </w:trPr>
        <w:tc>
          <w:tcPr>
            <w:tcW w:w="3855" w:type="dxa"/>
            <w:noWrap/>
            <w:hideMark/>
          </w:tcPr>
          <w:p w14:paraId="15401EE3" w14:textId="6738F523" w:rsidR="00312007" w:rsidRPr="001677C7" w:rsidRDefault="00312007" w:rsidP="00391C69">
            <w:pPr>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Mergers and acquisitions</w:t>
            </w:r>
          </w:p>
        </w:tc>
        <w:tc>
          <w:tcPr>
            <w:tcW w:w="1667" w:type="dxa"/>
            <w:noWrap/>
            <w:hideMark/>
          </w:tcPr>
          <w:p w14:paraId="57ED9B2B" w14:textId="53706B38" w:rsidR="00312007" w:rsidRPr="00254E20" w:rsidRDefault="00312007" w:rsidP="00391C69">
            <w:pPr>
              <w:jc w:val="center"/>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32%</w:t>
            </w:r>
          </w:p>
        </w:tc>
        <w:tc>
          <w:tcPr>
            <w:tcW w:w="1668" w:type="dxa"/>
            <w:noWrap/>
            <w:hideMark/>
          </w:tcPr>
          <w:p w14:paraId="51669D02" w14:textId="3BC37415" w:rsidR="00312007" w:rsidRPr="00254E20" w:rsidRDefault="00312007" w:rsidP="00391C69">
            <w:pPr>
              <w:jc w:val="center"/>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54%</w:t>
            </w:r>
          </w:p>
        </w:tc>
        <w:tc>
          <w:tcPr>
            <w:tcW w:w="1667" w:type="dxa"/>
            <w:noWrap/>
            <w:hideMark/>
          </w:tcPr>
          <w:p w14:paraId="68A22E24" w14:textId="71B25531" w:rsidR="00312007" w:rsidRPr="00A56C78" w:rsidRDefault="00312007" w:rsidP="00391C69">
            <w:pPr>
              <w:jc w:val="center"/>
              <w:rPr>
                <w:rFonts w:asciiTheme="majorHAnsi" w:eastAsia="Times New Roman" w:hAnsiTheme="majorHAnsi" w:cstheme="majorHAnsi"/>
                <w:color w:val="000000"/>
                <w:sz w:val="18"/>
                <w:szCs w:val="18"/>
              </w:rPr>
            </w:pPr>
            <w:r w:rsidRPr="00A56C78">
              <w:rPr>
                <w:rFonts w:asciiTheme="majorHAnsi" w:eastAsia="Times New Roman" w:hAnsiTheme="majorHAnsi" w:cstheme="majorHAnsi"/>
                <w:color w:val="000000"/>
                <w:sz w:val="18"/>
                <w:szCs w:val="18"/>
              </w:rPr>
              <w:t>14%</w:t>
            </w:r>
          </w:p>
        </w:tc>
        <w:tc>
          <w:tcPr>
            <w:tcW w:w="1668" w:type="dxa"/>
          </w:tcPr>
          <w:p w14:paraId="412CCD63" w14:textId="6169361C" w:rsidR="00312007" w:rsidRPr="00837FC5" w:rsidRDefault="00312007" w:rsidP="00391C69">
            <w:pPr>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59</w:t>
            </w:r>
          </w:p>
        </w:tc>
      </w:tr>
    </w:tbl>
    <w:p w14:paraId="22907F11" w14:textId="77777777" w:rsidR="00C2607A" w:rsidRPr="001677C7" w:rsidRDefault="00C2607A" w:rsidP="009B3DF5">
      <w:pPr>
        <w:spacing w:after="0" w:line="72" w:lineRule="auto"/>
        <w:rPr>
          <w:rFonts w:asciiTheme="majorHAnsi" w:hAnsiTheme="majorHAnsi" w:cstheme="majorHAnsi"/>
        </w:rPr>
      </w:pPr>
    </w:p>
    <w:tbl>
      <w:tblPr>
        <w:tblStyle w:val="PlainTable4"/>
        <w:tblW w:w="10530" w:type="dxa"/>
        <w:jc w:val="center"/>
        <w:tblBorders>
          <w:top w:val="single" w:sz="4" w:space="0" w:color="auto"/>
          <w:left w:val="single" w:sz="4" w:space="0" w:color="auto"/>
          <w:bottom w:val="single" w:sz="4" w:space="0" w:color="auto"/>
          <w:right w:val="single" w:sz="4" w:space="0" w:color="auto"/>
        </w:tblBorders>
        <w:tblLayout w:type="fixed"/>
        <w:tblLook w:val="06A0" w:firstRow="1" w:lastRow="0" w:firstColumn="1" w:lastColumn="0" w:noHBand="1" w:noVBand="1"/>
      </w:tblPr>
      <w:tblGrid>
        <w:gridCol w:w="2241"/>
        <w:gridCol w:w="848"/>
        <w:gridCol w:w="848"/>
        <w:gridCol w:w="974"/>
        <w:gridCol w:w="1275"/>
        <w:gridCol w:w="1023"/>
        <w:gridCol w:w="1107"/>
        <w:gridCol w:w="1016"/>
        <w:gridCol w:w="1198"/>
      </w:tblGrid>
      <w:tr w:rsidR="00AF157E" w:rsidRPr="001677C7" w14:paraId="52D09CE3" w14:textId="4C86D685" w:rsidTr="00531B4E">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000" w:firstRow="0" w:lastRow="0" w:firstColumn="1" w:lastColumn="0" w:oddVBand="0" w:evenVBand="0" w:oddHBand="0" w:evenHBand="0" w:firstRowFirstColumn="0" w:firstRowLastColumn="0" w:lastRowFirstColumn="0" w:lastRowLastColumn="0"/>
            <w:tcW w:w="2241" w:type="dxa"/>
            <w:tcBorders>
              <w:top w:val="single" w:sz="4" w:space="0" w:color="auto"/>
              <w:bottom w:val="single" w:sz="4" w:space="0" w:color="auto"/>
            </w:tcBorders>
            <w:shd w:val="clear" w:color="auto" w:fill="BDD6EE" w:themeFill="accent1" w:themeFillTint="66"/>
            <w:noWrap/>
            <w:hideMark/>
          </w:tcPr>
          <w:p w14:paraId="74DE0154" w14:textId="2BA7DF42" w:rsidR="00AF157E" w:rsidRPr="002D79EA" w:rsidRDefault="002D79EA" w:rsidP="001631FC">
            <w:pPr>
              <w:pStyle w:val="ListParagraph"/>
              <w:numPr>
                <w:ilvl w:val="0"/>
                <w:numId w:val="14"/>
              </w:numPr>
              <w:tabs>
                <w:tab w:val="left" w:pos="1791"/>
              </w:tabs>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C</w:t>
            </w:r>
            <w:r w:rsidR="00AF157E" w:rsidRPr="002D79EA">
              <w:rPr>
                <w:rFonts w:asciiTheme="majorHAnsi" w:eastAsia="Times New Roman" w:hAnsiTheme="majorHAnsi" w:cstheme="majorHAnsi"/>
                <w:color w:val="000000"/>
                <w:sz w:val="18"/>
                <w:szCs w:val="18"/>
              </w:rPr>
              <w:t>redit conditions</w:t>
            </w:r>
            <w:r w:rsidR="00AF157E" w:rsidRPr="002D79EA">
              <w:rPr>
                <w:rFonts w:asciiTheme="majorHAnsi" w:eastAsia="Times New Roman" w:hAnsiTheme="majorHAnsi" w:cstheme="majorHAnsi"/>
                <w:color w:val="000000"/>
                <w:sz w:val="18"/>
                <w:szCs w:val="18"/>
              </w:rPr>
              <w:br/>
              <w:t xml:space="preserve">in the last </w:t>
            </w:r>
            <w:r w:rsidR="0078601C" w:rsidRPr="002D79EA">
              <w:rPr>
                <w:rFonts w:asciiTheme="majorHAnsi" w:eastAsia="Times New Roman" w:hAnsiTheme="majorHAnsi" w:cstheme="majorHAnsi"/>
                <w:color w:val="000000"/>
                <w:sz w:val="18"/>
                <w:szCs w:val="18"/>
              </w:rPr>
              <w:t>four</w:t>
            </w:r>
            <w:r w:rsidR="00AF157E" w:rsidRPr="002D79EA">
              <w:rPr>
                <w:rFonts w:asciiTheme="majorHAnsi" w:eastAsia="Times New Roman" w:hAnsiTheme="majorHAnsi" w:cstheme="majorHAnsi"/>
                <w:color w:val="000000"/>
                <w:sz w:val="18"/>
                <w:szCs w:val="18"/>
              </w:rPr>
              <w:t xml:space="preserve"> quarters</w:t>
            </w:r>
          </w:p>
          <w:p w14:paraId="1C678306" w14:textId="4B9A7AC6" w:rsidR="00AF157E" w:rsidRPr="001677C7" w:rsidRDefault="00AF157E" w:rsidP="001631FC">
            <w:pPr>
              <w:rPr>
                <w:rFonts w:asciiTheme="majorHAnsi" w:eastAsia="Times New Roman" w:hAnsiTheme="majorHAnsi" w:cstheme="majorHAnsi"/>
                <w:color w:val="000000"/>
                <w:sz w:val="18"/>
                <w:szCs w:val="18"/>
              </w:rPr>
            </w:pPr>
          </w:p>
        </w:tc>
        <w:tc>
          <w:tcPr>
            <w:tcW w:w="848" w:type="dxa"/>
            <w:tcBorders>
              <w:top w:val="single" w:sz="4" w:space="0" w:color="auto"/>
              <w:bottom w:val="single" w:sz="4" w:space="0" w:color="auto"/>
            </w:tcBorders>
            <w:shd w:val="clear" w:color="auto" w:fill="BDD6EE" w:themeFill="accent1" w:themeFillTint="66"/>
          </w:tcPr>
          <w:p w14:paraId="70119573" w14:textId="77777777"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000000"/>
                <w:sz w:val="18"/>
                <w:szCs w:val="18"/>
              </w:rPr>
            </w:pPr>
            <w:r w:rsidRPr="001677C7">
              <w:rPr>
                <w:rFonts w:asciiTheme="majorHAnsi" w:eastAsia="Times New Roman" w:hAnsiTheme="majorHAnsi" w:cstheme="majorHAnsi"/>
                <w:color w:val="000000"/>
                <w:sz w:val="18"/>
                <w:szCs w:val="18"/>
              </w:rPr>
              <w:t xml:space="preserve">Higher </w:t>
            </w:r>
          </w:p>
          <w:p w14:paraId="2D7D57A1" w14:textId="77777777"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000000"/>
                <w:sz w:val="18"/>
                <w:szCs w:val="18"/>
              </w:rPr>
            </w:pPr>
            <w:r w:rsidRPr="001677C7">
              <w:rPr>
                <w:rFonts w:asciiTheme="majorHAnsi" w:eastAsia="Times New Roman" w:hAnsiTheme="majorHAnsi" w:cstheme="majorHAnsi"/>
                <w:color w:val="000000"/>
                <w:sz w:val="18"/>
                <w:szCs w:val="18"/>
              </w:rPr>
              <w:t xml:space="preserve">Interest </w:t>
            </w:r>
          </w:p>
          <w:p w14:paraId="3C2B90CC" w14:textId="6D9BDEE4"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rates</w:t>
            </w:r>
          </w:p>
        </w:tc>
        <w:tc>
          <w:tcPr>
            <w:tcW w:w="848" w:type="dxa"/>
            <w:tcBorders>
              <w:top w:val="single" w:sz="4" w:space="0" w:color="auto"/>
              <w:bottom w:val="single" w:sz="4" w:space="0" w:color="auto"/>
            </w:tcBorders>
            <w:shd w:val="clear" w:color="auto" w:fill="BDD6EE" w:themeFill="accent1" w:themeFillTint="66"/>
            <w:noWrap/>
            <w:hideMark/>
          </w:tcPr>
          <w:p w14:paraId="4A1A3A79" w14:textId="12C21EFD"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 xml:space="preserve">No  </w:t>
            </w:r>
            <w:r w:rsidRPr="001677C7">
              <w:rPr>
                <w:rFonts w:asciiTheme="majorHAnsi" w:eastAsia="Times New Roman" w:hAnsiTheme="majorHAnsi" w:cstheme="majorHAnsi"/>
                <w:color w:val="000000"/>
                <w:sz w:val="18"/>
                <w:szCs w:val="18"/>
              </w:rPr>
              <w:br/>
              <w:t>Changes</w:t>
            </w:r>
          </w:p>
        </w:tc>
        <w:tc>
          <w:tcPr>
            <w:tcW w:w="974" w:type="dxa"/>
            <w:tcBorders>
              <w:top w:val="single" w:sz="4" w:space="0" w:color="auto"/>
              <w:bottom w:val="single" w:sz="4" w:space="0" w:color="auto"/>
            </w:tcBorders>
            <w:shd w:val="clear" w:color="auto" w:fill="BDD6EE" w:themeFill="accent1" w:themeFillTint="66"/>
            <w:noWrap/>
            <w:hideMark/>
          </w:tcPr>
          <w:p w14:paraId="6B41FDC2" w14:textId="589D9A40" w:rsidR="00AF157E" w:rsidRPr="001677C7" w:rsidRDefault="00AF157E" w:rsidP="007B678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Increased Hiring</w:t>
            </w:r>
          </w:p>
        </w:tc>
        <w:tc>
          <w:tcPr>
            <w:tcW w:w="1275" w:type="dxa"/>
            <w:tcBorders>
              <w:top w:val="single" w:sz="4" w:space="0" w:color="auto"/>
              <w:bottom w:val="single" w:sz="4" w:space="0" w:color="auto"/>
            </w:tcBorders>
            <w:shd w:val="clear" w:color="auto" w:fill="BDD6EE" w:themeFill="accent1" w:themeFillTint="66"/>
            <w:noWrap/>
            <w:hideMark/>
          </w:tcPr>
          <w:p w14:paraId="5DB0F875" w14:textId="77777777"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Increased</w:t>
            </w:r>
          </w:p>
          <w:p w14:paraId="69387971" w14:textId="77777777"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Capital Expenditures</w:t>
            </w:r>
          </w:p>
        </w:tc>
        <w:tc>
          <w:tcPr>
            <w:tcW w:w="1023" w:type="dxa"/>
            <w:tcBorders>
              <w:top w:val="single" w:sz="4" w:space="0" w:color="auto"/>
              <w:bottom w:val="single" w:sz="4" w:space="0" w:color="auto"/>
            </w:tcBorders>
            <w:shd w:val="clear" w:color="auto" w:fill="BDD6EE" w:themeFill="accent1" w:themeFillTint="66"/>
            <w:noWrap/>
            <w:hideMark/>
          </w:tcPr>
          <w:p w14:paraId="3697D532" w14:textId="313377D8"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Decreased</w:t>
            </w:r>
            <w:r w:rsidRPr="001677C7">
              <w:rPr>
                <w:rFonts w:asciiTheme="majorHAnsi" w:eastAsia="Times New Roman" w:hAnsiTheme="majorHAnsi" w:cstheme="majorHAnsi"/>
                <w:color w:val="000000"/>
                <w:sz w:val="18"/>
                <w:szCs w:val="18"/>
              </w:rPr>
              <w:br/>
              <w:t>Hiring</w:t>
            </w:r>
          </w:p>
        </w:tc>
        <w:tc>
          <w:tcPr>
            <w:tcW w:w="1107" w:type="dxa"/>
            <w:tcBorders>
              <w:top w:val="single" w:sz="4" w:space="0" w:color="auto"/>
              <w:bottom w:val="single" w:sz="4" w:space="0" w:color="auto"/>
            </w:tcBorders>
            <w:shd w:val="clear" w:color="auto" w:fill="BDD6EE" w:themeFill="accent1" w:themeFillTint="66"/>
            <w:noWrap/>
            <w:hideMark/>
          </w:tcPr>
          <w:p w14:paraId="79DA9D47" w14:textId="238A2564"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 xml:space="preserve">Decreased </w:t>
            </w:r>
            <w:r w:rsidRPr="001677C7">
              <w:rPr>
                <w:rFonts w:asciiTheme="majorHAnsi" w:eastAsia="Times New Roman" w:hAnsiTheme="majorHAnsi" w:cstheme="majorHAnsi"/>
                <w:color w:val="000000"/>
                <w:sz w:val="18"/>
                <w:szCs w:val="18"/>
              </w:rPr>
              <w:br/>
              <w:t>Capital Expend.</w:t>
            </w:r>
          </w:p>
        </w:tc>
        <w:tc>
          <w:tcPr>
            <w:tcW w:w="1016" w:type="dxa"/>
            <w:tcBorders>
              <w:top w:val="single" w:sz="4" w:space="0" w:color="auto"/>
              <w:bottom w:val="single" w:sz="4" w:space="0" w:color="auto"/>
            </w:tcBorders>
            <w:shd w:val="clear" w:color="auto" w:fill="BDD6EE" w:themeFill="accent1" w:themeFillTint="66"/>
          </w:tcPr>
          <w:p w14:paraId="6BE091D8" w14:textId="1636236B" w:rsidR="00AF157E" w:rsidRPr="001677C7" w:rsidRDefault="00AF157E" w:rsidP="001631F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No</w:t>
            </w:r>
            <w:r w:rsidRPr="001677C7">
              <w:rPr>
                <w:rFonts w:asciiTheme="majorHAnsi" w:eastAsia="Times New Roman" w:hAnsiTheme="majorHAnsi" w:cstheme="majorHAnsi"/>
                <w:color w:val="000000"/>
                <w:sz w:val="18"/>
                <w:szCs w:val="18"/>
              </w:rPr>
              <w:br/>
              <w:t>Diff.</w:t>
            </w:r>
            <w:r w:rsidRPr="001677C7">
              <w:rPr>
                <w:rFonts w:asciiTheme="majorHAnsi" w:eastAsia="Times New Roman" w:hAnsiTheme="majorHAnsi" w:cstheme="majorHAnsi"/>
                <w:color w:val="000000"/>
                <w:sz w:val="18"/>
                <w:szCs w:val="18"/>
              </w:rPr>
              <w:br/>
              <w:t>accessing credit</w:t>
            </w:r>
          </w:p>
        </w:tc>
        <w:tc>
          <w:tcPr>
            <w:tcW w:w="1198" w:type="dxa"/>
            <w:tcBorders>
              <w:top w:val="single" w:sz="4" w:space="0" w:color="auto"/>
              <w:bottom w:val="single" w:sz="4" w:space="0" w:color="auto"/>
            </w:tcBorders>
            <w:shd w:val="clear" w:color="auto" w:fill="BDD6EE" w:themeFill="accent1" w:themeFillTint="66"/>
          </w:tcPr>
          <w:p w14:paraId="4FDDB9C1" w14:textId="10ADEE86" w:rsidR="00AF157E" w:rsidRPr="001677C7" w:rsidRDefault="00AF157E" w:rsidP="0063228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1677C7">
              <w:rPr>
                <w:rFonts w:asciiTheme="majorHAnsi" w:eastAsia="Times New Roman" w:hAnsiTheme="majorHAnsi" w:cstheme="majorHAnsi"/>
                <w:color w:val="000000"/>
                <w:sz w:val="18"/>
                <w:szCs w:val="18"/>
              </w:rPr>
              <w:t>Difficulties</w:t>
            </w:r>
            <w:r w:rsidRPr="001677C7">
              <w:rPr>
                <w:rFonts w:asciiTheme="majorHAnsi" w:eastAsia="Times New Roman" w:hAnsiTheme="majorHAnsi" w:cstheme="majorHAnsi"/>
                <w:color w:val="000000"/>
                <w:sz w:val="18"/>
                <w:szCs w:val="18"/>
              </w:rPr>
              <w:br/>
              <w:t xml:space="preserve">accessing </w:t>
            </w:r>
            <w:r w:rsidRPr="001677C7">
              <w:rPr>
                <w:rFonts w:asciiTheme="majorHAnsi" w:eastAsia="Times New Roman" w:hAnsiTheme="majorHAnsi" w:cstheme="majorHAnsi"/>
                <w:color w:val="000000"/>
                <w:sz w:val="18"/>
                <w:szCs w:val="18"/>
              </w:rPr>
              <w:br/>
              <w:t>credit</w:t>
            </w:r>
          </w:p>
        </w:tc>
      </w:tr>
      <w:tr w:rsidR="00AF157E" w:rsidRPr="001677C7" w14:paraId="56C6D4DB" w14:textId="1AD6EDD9" w:rsidTr="00531B4E">
        <w:trPr>
          <w:trHeight w:val="144"/>
          <w:jc w:val="center"/>
        </w:trPr>
        <w:tc>
          <w:tcPr>
            <w:cnfStyle w:val="001000000000" w:firstRow="0" w:lastRow="0" w:firstColumn="1" w:lastColumn="0" w:oddVBand="0" w:evenVBand="0" w:oddHBand="0" w:evenHBand="0" w:firstRowFirstColumn="0" w:firstRowLastColumn="0" w:lastRowFirstColumn="0" w:lastRowLastColumn="0"/>
            <w:tcW w:w="2241" w:type="dxa"/>
            <w:tcBorders>
              <w:top w:val="single" w:sz="4" w:space="0" w:color="auto"/>
            </w:tcBorders>
            <w:noWrap/>
            <w:hideMark/>
          </w:tcPr>
          <w:p w14:paraId="281F801E" w14:textId="1E6E4B6E" w:rsidR="00AF157E" w:rsidRPr="001677C7" w:rsidRDefault="006F6BE5" w:rsidP="001631FC">
            <w:pPr>
              <w:rPr>
                <w:rFonts w:asciiTheme="majorHAnsi" w:eastAsia="Times New Roman" w:hAnsiTheme="majorHAnsi" w:cstheme="majorHAnsi"/>
                <w:b w:val="0"/>
                <w:color w:val="000000"/>
                <w:sz w:val="18"/>
                <w:szCs w:val="18"/>
              </w:rPr>
            </w:pPr>
            <w:r w:rsidRPr="001677C7">
              <w:rPr>
                <w:rFonts w:asciiTheme="majorHAnsi" w:eastAsia="Times New Roman" w:hAnsiTheme="majorHAnsi" w:cstheme="majorHAnsi"/>
                <w:b w:val="0"/>
                <w:color w:val="000000"/>
                <w:sz w:val="18"/>
                <w:szCs w:val="18"/>
              </w:rPr>
              <w:t>Percent</w:t>
            </w:r>
          </w:p>
        </w:tc>
        <w:tc>
          <w:tcPr>
            <w:tcW w:w="848" w:type="dxa"/>
            <w:tcBorders>
              <w:top w:val="single" w:sz="4" w:space="0" w:color="auto"/>
            </w:tcBorders>
          </w:tcPr>
          <w:p w14:paraId="4517D708" w14:textId="4AE59F8C" w:rsidR="00AF157E" w:rsidRPr="00254E20"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3</w:t>
            </w:r>
            <w:r w:rsidR="00216C92" w:rsidRPr="00254E20">
              <w:rPr>
                <w:rFonts w:asciiTheme="majorHAnsi" w:eastAsia="Times New Roman" w:hAnsiTheme="majorHAnsi" w:cstheme="majorHAnsi"/>
                <w:color w:val="000000"/>
                <w:sz w:val="18"/>
                <w:szCs w:val="18"/>
              </w:rPr>
              <w:t>5</w:t>
            </w:r>
            <w:r w:rsidRPr="00254E20">
              <w:rPr>
                <w:rFonts w:asciiTheme="majorHAnsi" w:eastAsia="Times New Roman" w:hAnsiTheme="majorHAnsi" w:cstheme="majorHAnsi"/>
                <w:color w:val="000000"/>
                <w:sz w:val="18"/>
                <w:szCs w:val="18"/>
              </w:rPr>
              <w:t>%</w:t>
            </w:r>
          </w:p>
        </w:tc>
        <w:tc>
          <w:tcPr>
            <w:tcW w:w="848" w:type="dxa"/>
            <w:tcBorders>
              <w:top w:val="single" w:sz="4" w:space="0" w:color="auto"/>
            </w:tcBorders>
            <w:noWrap/>
            <w:hideMark/>
          </w:tcPr>
          <w:p w14:paraId="5B82B598" w14:textId="71F55B6E" w:rsidR="00AF157E" w:rsidRPr="00254E20" w:rsidRDefault="00540208"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4</w:t>
            </w:r>
            <w:r w:rsidR="00216C92" w:rsidRPr="00254E20">
              <w:rPr>
                <w:rFonts w:asciiTheme="majorHAnsi" w:eastAsia="Times New Roman" w:hAnsiTheme="majorHAnsi" w:cstheme="majorHAnsi"/>
                <w:color w:val="000000"/>
                <w:sz w:val="18"/>
                <w:szCs w:val="18"/>
              </w:rPr>
              <w:t>9</w:t>
            </w:r>
            <w:r w:rsidR="00AF157E" w:rsidRPr="00254E20">
              <w:rPr>
                <w:rFonts w:asciiTheme="majorHAnsi" w:eastAsia="Times New Roman" w:hAnsiTheme="majorHAnsi" w:cstheme="majorHAnsi"/>
                <w:color w:val="000000"/>
                <w:sz w:val="18"/>
                <w:szCs w:val="18"/>
              </w:rPr>
              <w:t>%</w:t>
            </w:r>
          </w:p>
        </w:tc>
        <w:tc>
          <w:tcPr>
            <w:tcW w:w="974" w:type="dxa"/>
            <w:tcBorders>
              <w:top w:val="single" w:sz="4" w:space="0" w:color="auto"/>
            </w:tcBorders>
            <w:noWrap/>
            <w:hideMark/>
          </w:tcPr>
          <w:p w14:paraId="407D78FC" w14:textId="54D160F0" w:rsidR="00AF157E" w:rsidRPr="00254E20" w:rsidRDefault="00216C92"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5</w:t>
            </w:r>
            <w:r w:rsidR="00AF157E" w:rsidRPr="00254E20">
              <w:rPr>
                <w:rFonts w:asciiTheme="majorHAnsi" w:eastAsia="Times New Roman" w:hAnsiTheme="majorHAnsi" w:cstheme="majorHAnsi"/>
                <w:color w:val="000000"/>
                <w:sz w:val="18"/>
                <w:szCs w:val="18"/>
              </w:rPr>
              <w:t>%</w:t>
            </w:r>
          </w:p>
        </w:tc>
        <w:tc>
          <w:tcPr>
            <w:tcW w:w="1275" w:type="dxa"/>
            <w:tcBorders>
              <w:top w:val="single" w:sz="4" w:space="0" w:color="auto"/>
            </w:tcBorders>
            <w:noWrap/>
            <w:hideMark/>
          </w:tcPr>
          <w:p w14:paraId="2897438D" w14:textId="06E62D4A" w:rsidR="00AF157E" w:rsidRPr="00254E20" w:rsidRDefault="00216C92"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7</w:t>
            </w:r>
            <w:r w:rsidR="00AF157E" w:rsidRPr="00254E20">
              <w:rPr>
                <w:rFonts w:asciiTheme="majorHAnsi" w:eastAsia="Times New Roman" w:hAnsiTheme="majorHAnsi" w:cstheme="majorHAnsi"/>
                <w:color w:val="000000"/>
                <w:sz w:val="18"/>
                <w:szCs w:val="18"/>
              </w:rPr>
              <w:t>%</w:t>
            </w:r>
          </w:p>
        </w:tc>
        <w:tc>
          <w:tcPr>
            <w:tcW w:w="1023" w:type="dxa"/>
            <w:tcBorders>
              <w:top w:val="single" w:sz="4" w:space="0" w:color="auto"/>
            </w:tcBorders>
            <w:noWrap/>
            <w:hideMark/>
          </w:tcPr>
          <w:p w14:paraId="4E073032" w14:textId="6603E53B" w:rsidR="00AF157E" w:rsidRPr="00254E20" w:rsidRDefault="00AF157E"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1</w:t>
            </w:r>
            <w:r w:rsidR="00216C92" w:rsidRPr="00254E20">
              <w:rPr>
                <w:rFonts w:asciiTheme="majorHAnsi" w:eastAsia="Times New Roman" w:hAnsiTheme="majorHAnsi" w:cstheme="majorHAnsi"/>
                <w:color w:val="000000"/>
                <w:sz w:val="18"/>
                <w:szCs w:val="18"/>
              </w:rPr>
              <w:t>3</w:t>
            </w:r>
            <w:r w:rsidRPr="00254E20">
              <w:rPr>
                <w:rFonts w:asciiTheme="majorHAnsi" w:eastAsia="Times New Roman" w:hAnsiTheme="majorHAnsi" w:cstheme="majorHAnsi"/>
                <w:color w:val="000000"/>
                <w:sz w:val="18"/>
                <w:szCs w:val="18"/>
              </w:rPr>
              <w:t>%</w:t>
            </w:r>
          </w:p>
        </w:tc>
        <w:tc>
          <w:tcPr>
            <w:tcW w:w="1107" w:type="dxa"/>
            <w:tcBorders>
              <w:top w:val="single" w:sz="4" w:space="0" w:color="auto"/>
            </w:tcBorders>
            <w:noWrap/>
            <w:hideMark/>
          </w:tcPr>
          <w:p w14:paraId="04D0BBF2" w14:textId="08222560" w:rsidR="00AF157E" w:rsidRPr="00254E20" w:rsidRDefault="00E54DD8"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1</w:t>
            </w:r>
            <w:r w:rsidR="00216C92" w:rsidRPr="00254E20">
              <w:rPr>
                <w:rFonts w:asciiTheme="majorHAnsi" w:eastAsia="Times New Roman" w:hAnsiTheme="majorHAnsi" w:cstheme="majorHAnsi"/>
                <w:color w:val="000000"/>
                <w:sz w:val="18"/>
                <w:szCs w:val="18"/>
              </w:rPr>
              <w:t>5</w:t>
            </w:r>
            <w:r w:rsidR="00AF157E" w:rsidRPr="00254E20">
              <w:rPr>
                <w:rFonts w:asciiTheme="majorHAnsi" w:eastAsia="Times New Roman" w:hAnsiTheme="majorHAnsi" w:cstheme="majorHAnsi"/>
                <w:color w:val="000000"/>
                <w:sz w:val="18"/>
                <w:szCs w:val="18"/>
              </w:rPr>
              <w:t>%</w:t>
            </w:r>
          </w:p>
        </w:tc>
        <w:tc>
          <w:tcPr>
            <w:tcW w:w="1016" w:type="dxa"/>
            <w:tcBorders>
              <w:top w:val="single" w:sz="4" w:space="0" w:color="auto"/>
            </w:tcBorders>
          </w:tcPr>
          <w:p w14:paraId="426F68FC" w14:textId="278B671C" w:rsidR="00AF157E" w:rsidRPr="00254E20" w:rsidRDefault="00E54DD8"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19</w:t>
            </w:r>
            <w:r w:rsidR="00AF157E" w:rsidRPr="00254E20">
              <w:rPr>
                <w:rFonts w:asciiTheme="majorHAnsi" w:eastAsia="Times New Roman" w:hAnsiTheme="majorHAnsi" w:cstheme="majorHAnsi"/>
                <w:color w:val="000000"/>
                <w:sz w:val="18"/>
                <w:szCs w:val="18"/>
              </w:rPr>
              <w:t>%</w:t>
            </w:r>
          </w:p>
        </w:tc>
        <w:tc>
          <w:tcPr>
            <w:tcW w:w="1198" w:type="dxa"/>
            <w:tcBorders>
              <w:top w:val="single" w:sz="4" w:space="0" w:color="auto"/>
            </w:tcBorders>
          </w:tcPr>
          <w:p w14:paraId="471B6C81" w14:textId="17D2AE33" w:rsidR="00AF157E" w:rsidRPr="00254E20" w:rsidRDefault="00216C92" w:rsidP="001631F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rPr>
            </w:pPr>
            <w:r w:rsidRPr="00254E20">
              <w:rPr>
                <w:rFonts w:asciiTheme="majorHAnsi" w:eastAsia="Times New Roman" w:hAnsiTheme="majorHAnsi" w:cstheme="majorHAnsi"/>
                <w:color w:val="000000"/>
                <w:sz w:val="18"/>
                <w:szCs w:val="18"/>
              </w:rPr>
              <w:t>6</w:t>
            </w:r>
            <w:r w:rsidR="00AF157E" w:rsidRPr="00254E20">
              <w:rPr>
                <w:rFonts w:asciiTheme="majorHAnsi" w:eastAsia="Times New Roman" w:hAnsiTheme="majorHAnsi" w:cstheme="majorHAnsi"/>
                <w:color w:val="000000"/>
                <w:sz w:val="18"/>
                <w:szCs w:val="18"/>
              </w:rPr>
              <w:t>%</w:t>
            </w:r>
          </w:p>
        </w:tc>
      </w:tr>
    </w:tbl>
    <w:bookmarkEnd w:id="1"/>
    <w:p w14:paraId="5D43D13E" w14:textId="2F65B072" w:rsidR="00E96ED8" w:rsidRPr="00E96ED8" w:rsidRDefault="00E96ED8" w:rsidP="00E96ED8">
      <w:pPr>
        <w:spacing w:after="0" w:line="240" w:lineRule="auto"/>
        <w:ind w:left="180"/>
        <w:rPr>
          <w:rFonts w:cstheme="majorHAnsi"/>
        </w:rPr>
      </w:pPr>
      <w:r>
        <w:rPr>
          <w:rFonts w:asciiTheme="majorHAnsi" w:hAnsiTheme="majorHAnsi" w:cstheme="majorHAnsi"/>
          <w:sz w:val="18"/>
          <w:szCs w:val="18"/>
        </w:rPr>
        <w:t>(1)</w:t>
      </w:r>
      <w:r w:rsidR="008A5EF8" w:rsidRPr="00E96ED8">
        <w:rPr>
          <w:rFonts w:asciiTheme="majorHAnsi" w:hAnsiTheme="majorHAnsi" w:cstheme="majorHAnsi"/>
          <w:sz w:val="18"/>
          <w:szCs w:val="18"/>
        </w:rPr>
        <w:t xml:space="preserve">Based on responses from </w:t>
      </w:r>
      <w:r w:rsidR="003D64AC" w:rsidRPr="00E96ED8">
        <w:rPr>
          <w:rFonts w:asciiTheme="majorHAnsi" w:hAnsiTheme="majorHAnsi" w:cstheme="majorHAnsi"/>
          <w:sz w:val="18"/>
          <w:szCs w:val="18"/>
        </w:rPr>
        <w:t>222</w:t>
      </w:r>
      <w:r w:rsidR="008A5EF8" w:rsidRPr="00E96ED8">
        <w:rPr>
          <w:rFonts w:asciiTheme="majorHAnsi" w:hAnsiTheme="majorHAnsi" w:cstheme="majorHAnsi"/>
          <w:sz w:val="18"/>
          <w:szCs w:val="18"/>
        </w:rPr>
        <w:t xml:space="preserve"> Minnesota business service firms.  </w:t>
      </w:r>
      <w:r w:rsidR="00397E22" w:rsidRPr="00E96ED8">
        <w:rPr>
          <w:rFonts w:asciiTheme="majorHAnsi" w:hAnsiTheme="majorHAnsi" w:cstheme="majorHAnsi"/>
          <w:sz w:val="18"/>
          <w:szCs w:val="18"/>
        </w:rPr>
        <w:t>From those, 1</w:t>
      </w:r>
      <w:r w:rsidR="003D64AC" w:rsidRPr="00E96ED8">
        <w:rPr>
          <w:rFonts w:asciiTheme="majorHAnsi" w:hAnsiTheme="majorHAnsi" w:cstheme="majorHAnsi"/>
          <w:sz w:val="18"/>
          <w:szCs w:val="18"/>
        </w:rPr>
        <w:t>60</w:t>
      </w:r>
      <w:r w:rsidR="00397E22" w:rsidRPr="00E96ED8">
        <w:rPr>
          <w:rFonts w:asciiTheme="majorHAnsi" w:hAnsiTheme="majorHAnsi" w:cstheme="majorHAnsi"/>
          <w:sz w:val="18"/>
          <w:szCs w:val="18"/>
        </w:rPr>
        <w:t xml:space="preserve"> were usable</w:t>
      </w:r>
      <w:r w:rsidR="00600575" w:rsidRPr="00E96ED8">
        <w:rPr>
          <w:rFonts w:asciiTheme="majorHAnsi" w:hAnsiTheme="majorHAnsi" w:cstheme="majorHAnsi"/>
          <w:sz w:val="18"/>
          <w:szCs w:val="18"/>
        </w:rPr>
        <w:t xml:space="preserve"> </w:t>
      </w:r>
      <w:r w:rsidR="00C94448" w:rsidRPr="00E96ED8">
        <w:rPr>
          <w:rFonts w:asciiTheme="majorHAnsi" w:hAnsiTheme="majorHAnsi" w:cstheme="majorHAnsi"/>
          <w:sz w:val="18"/>
          <w:szCs w:val="18"/>
        </w:rPr>
        <w:t xml:space="preserve">surveys </w:t>
      </w:r>
      <w:r w:rsidR="00600575" w:rsidRPr="00E96ED8">
        <w:rPr>
          <w:rFonts w:asciiTheme="majorHAnsi" w:hAnsiTheme="majorHAnsi" w:cstheme="majorHAnsi"/>
          <w:sz w:val="18"/>
          <w:szCs w:val="18"/>
        </w:rPr>
        <w:t>for an adjusted response rate of 1</w:t>
      </w:r>
      <w:r w:rsidR="003D64AC" w:rsidRPr="00E96ED8">
        <w:rPr>
          <w:rFonts w:asciiTheme="majorHAnsi" w:hAnsiTheme="majorHAnsi" w:cstheme="majorHAnsi"/>
          <w:sz w:val="18"/>
          <w:szCs w:val="18"/>
        </w:rPr>
        <w:t>3</w:t>
      </w:r>
      <w:r w:rsidR="00600575" w:rsidRPr="00E96ED8">
        <w:rPr>
          <w:rFonts w:asciiTheme="majorHAnsi" w:hAnsiTheme="majorHAnsi" w:cstheme="majorHAnsi"/>
          <w:sz w:val="18"/>
          <w:szCs w:val="18"/>
        </w:rPr>
        <w:t>%</w:t>
      </w:r>
      <w:r w:rsidR="00397E22" w:rsidRPr="00E96ED8">
        <w:rPr>
          <w:rFonts w:asciiTheme="majorHAnsi" w:hAnsiTheme="majorHAnsi" w:cstheme="majorHAnsi"/>
          <w:sz w:val="18"/>
          <w:szCs w:val="18"/>
        </w:rPr>
        <w:t>.</w:t>
      </w:r>
      <w:r w:rsidR="00397E22" w:rsidRPr="00E96ED8">
        <w:rPr>
          <w:rFonts w:asciiTheme="majorHAnsi" w:hAnsiTheme="majorHAnsi" w:cstheme="majorHAnsi"/>
          <w:sz w:val="18"/>
          <w:szCs w:val="18"/>
        </w:rPr>
        <w:br/>
      </w:r>
      <w:r w:rsidR="008A5EF8" w:rsidRPr="00E96ED8">
        <w:rPr>
          <w:rFonts w:asciiTheme="majorHAnsi" w:hAnsiTheme="majorHAnsi" w:cstheme="majorHAnsi"/>
          <w:sz w:val="18"/>
          <w:szCs w:val="18"/>
        </w:rPr>
        <w:t xml:space="preserve">Percentages might not add to 100% due to rounding. </w:t>
      </w:r>
      <w:r w:rsidR="008A5EF8" w:rsidRPr="00E96ED8">
        <w:rPr>
          <w:rFonts w:asciiTheme="majorHAnsi" w:hAnsiTheme="majorHAnsi" w:cstheme="majorHAnsi"/>
          <w:sz w:val="18"/>
          <w:szCs w:val="18"/>
        </w:rPr>
        <w:br/>
        <w:t xml:space="preserve">(2) A diffusion index greater than 50 indicates expansion, lower than 50 indicates contraction. </w:t>
      </w:r>
      <w:r w:rsidR="008A5EF8" w:rsidRPr="00E96ED8">
        <w:rPr>
          <w:rFonts w:asciiTheme="majorHAnsi" w:hAnsiTheme="majorHAnsi" w:cstheme="majorHAnsi"/>
          <w:sz w:val="18"/>
          <w:szCs w:val="18"/>
        </w:rPr>
        <w:br/>
      </w:r>
    </w:p>
    <w:p w14:paraId="692555CE" w14:textId="77777777" w:rsidR="00BF2843" w:rsidRDefault="00BF2843" w:rsidP="003D16DE">
      <w:pPr>
        <w:pStyle w:val="Title"/>
        <w:ind w:left="180"/>
        <w:rPr>
          <w:rFonts w:cstheme="majorHAnsi"/>
          <w:b/>
          <w:bCs/>
          <w:sz w:val="26"/>
          <w:szCs w:val="26"/>
        </w:rPr>
      </w:pPr>
    </w:p>
    <w:p w14:paraId="3D492FE7" w14:textId="2F6E5BEC" w:rsidR="003D16DE" w:rsidRPr="00C00295" w:rsidRDefault="003D16DE" w:rsidP="003D16DE">
      <w:pPr>
        <w:pStyle w:val="Title"/>
        <w:ind w:left="180"/>
        <w:rPr>
          <w:rFonts w:cstheme="majorHAnsi"/>
          <w:b/>
          <w:bCs/>
          <w:sz w:val="26"/>
          <w:szCs w:val="26"/>
        </w:rPr>
      </w:pPr>
      <w:r w:rsidRPr="003D16DE">
        <w:rPr>
          <w:rFonts w:cstheme="majorHAnsi"/>
          <w:b/>
          <w:bCs/>
          <w:sz w:val="26"/>
          <w:szCs w:val="26"/>
        </w:rPr>
        <w:t>Special Question</w:t>
      </w:r>
      <w:r w:rsidR="00C00295">
        <w:rPr>
          <w:rFonts w:cstheme="majorHAnsi"/>
          <w:b/>
          <w:bCs/>
          <w:sz w:val="26"/>
          <w:szCs w:val="26"/>
        </w:rPr>
        <w:t xml:space="preserve"> - </w:t>
      </w:r>
      <w:r w:rsidR="00C75BD2" w:rsidRPr="00C75BD2">
        <w:rPr>
          <w:rFonts w:cstheme="majorHAnsi"/>
          <w:b/>
          <w:bCs/>
          <w:sz w:val="26"/>
          <w:szCs w:val="26"/>
        </w:rPr>
        <w:t>Workforce Dynamics Since the Start of 2025</w:t>
      </w:r>
    </w:p>
    <w:p w14:paraId="57F2F344" w14:textId="5B15C559" w:rsidR="002E5113" w:rsidRPr="003D16DE" w:rsidRDefault="006C4619" w:rsidP="003D16DE">
      <w:pPr>
        <w:pStyle w:val="Title"/>
        <w:ind w:left="180"/>
        <w:rPr>
          <w:rFonts w:cstheme="majorHAnsi"/>
          <w:b/>
          <w:bCs/>
          <w:sz w:val="26"/>
          <w:szCs w:val="26"/>
        </w:rPr>
      </w:pPr>
      <w:r>
        <w:rPr>
          <w:rFonts w:cstheme="majorHAnsi"/>
          <w:sz w:val="22"/>
          <w:szCs w:val="22"/>
        </w:rPr>
        <w:t>This year t</w:t>
      </w:r>
      <w:r w:rsidR="002E5113" w:rsidRPr="002E5113">
        <w:rPr>
          <w:rFonts w:cstheme="majorHAnsi"/>
          <w:sz w:val="22"/>
          <w:szCs w:val="22"/>
        </w:rPr>
        <w:t xml:space="preserve">he survey also explored changes in workforce dynamics since the start of 2025. More than 40% of respondents reported a decline in the supply of qualified applicants, reflecting ongoing labor shortages. </w:t>
      </w:r>
      <w:r w:rsidR="002E5113">
        <w:rPr>
          <w:rFonts w:cstheme="majorHAnsi"/>
          <w:sz w:val="22"/>
          <w:szCs w:val="22"/>
        </w:rPr>
        <w:t>Accordingly,</w:t>
      </w:r>
      <w:r w:rsidR="002E5113" w:rsidRPr="002E5113">
        <w:rPr>
          <w:rFonts w:cstheme="majorHAnsi"/>
          <w:sz w:val="22"/>
          <w:szCs w:val="22"/>
        </w:rPr>
        <w:t xml:space="preserve"> 58% noted increased wage demands, and 60% indicated they are expanding the use of automation and AI</w:t>
      </w:r>
      <w:r w:rsidR="002E5113">
        <w:rPr>
          <w:rFonts w:cstheme="majorHAnsi"/>
          <w:sz w:val="22"/>
          <w:szCs w:val="22"/>
        </w:rPr>
        <w:t>.</w:t>
      </w:r>
      <w:r w:rsidR="003D16DE">
        <w:rPr>
          <w:rFonts w:cstheme="majorHAnsi"/>
          <w:sz w:val="22"/>
          <w:szCs w:val="22"/>
        </w:rPr>
        <w:t xml:space="preserve"> (Table 2)</w:t>
      </w:r>
    </w:p>
    <w:p w14:paraId="197CACA2" w14:textId="77777777" w:rsidR="002E5113" w:rsidRDefault="002E5113" w:rsidP="00E96ED8">
      <w:pPr>
        <w:pStyle w:val="Title"/>
        <w:ind w:left="180"/>
        <w:rPr>
          <w:rFonts w:cstheme="majorHAnsi"/>
          <w:b/>
          <w:bCs/>
          <w:color w:val="1F4E79" w:themeColor="accent1" w:themeShade="80"/>
          <w:sz w:val="22"/>
          <w:szCs w:val="22"/>
        </w:rPr>
      </w:pPr>
    </w:p>
    <w:p w14:paraId="3C51F250" w14:textId="79620C0C" w:rsidR="00AF157E" w:rsidRPr="001677C7" w:rsidRDefault="003D16DE" w:rsidP="00C00295">
      <w:pPr>
        <w:pStyle w:val="Title"/>
        <w:ind w:left="180"/>
        <w:rPr>
          <w:rFonts w:cstheme="majorHAnsi"/>
          <w:b/>
          <w:bCs/>
          <w:color w:val="1F4E79" w:themeColor="accent1" w:themeShade="80"/>
          <w:sz w:val="22"/>
          <w:szCs w:val="22"/>
        </w:rPr>
      </w:pPr>
      <w:r>
        <w:rPr>
          <w:rFonts w:cstheme="majorHAnsi"/>
          <w:b/>
          <w:bCs/>
          <w:color w:val="1F4E79" w:themeColor="accent1" w:themeShade="80"/>
          <w:sz w:val="22"/>
          <w:szCs w:val="22"/>
        </w:rPr>
        <w:br w:type="page"/>
      </w:r>
    </w:p>
    <w:tbl>
      <w:tblPr>
        <w:tblStyle w:val="TableGrid"/>
        <w:tblW w:w="5670" w:type="dxa"/>
        <w:tblInd w:w="175" w:type="dxa"/>
        <w:tblLook w:val="04A0" w:firstRow="1" w:lastRow="0" w:firstColumn="1" w:lastColumn="0" w:noHBand="0" w:noVBand="1"/>
      </w:tblPr>
      <w:tblGrid>
        <w:gridCol w:w="2979"/>
        <w:gridCol w:w="897"/>
        <w:gridCol w:w="897"/>
        <w:gridCol w:w="897"/>
      </w:tblGrid>
      <w:tr w:rsidR="00837FC5" w:rsidRPr="001677C7" w14:paraId="2931BDAF" w14:textId="01E179EC" w:rsidTr="00355A95">
        <w:trPr>
          <w:trHeight w:val="220"/>
        </w:trPr>
        <w:tc>
          <w:tcPr>
            <w:tcW w:w="2979" w:type="dxa"/>
            <w:shd w:val="clear" w:color="auto" w:fill="9CC2E5" w:themeFill="accent1" w:themeFillTint="99"/>
          </w:tcPr>
          <w:p w14:paraId="6727DE49" w14:textId="2AE3B12C" w:rsidR="00837FC5" w:rsidRPr="00355A95" w:rsidRDefault="00837FC5" w:rsidP="00531B4E">
            <w:pPr>
              <w:rPr>
                <w:rFonts w:asciiTheme="majorHAnsi" w:hAnsiTheme="majorHAnsi" w:cstheme="majorHAnsi"/>
                <w:b/>
                <w:bCs/>
                <w:sz w:val="18"/>
                <w:szCs w:val="18"/>
              </w:rPr>
            </w:pPr>
            <w:r w:rsidRPr="00355A95">
              <w:rPr>
                <w:rFonts w:asciiTheme="majorHAnsi" w:hAnsiTheme="majorHAnsi" w:cstheme="majorHAnsi"/>
                <w:b/>
                <w:bCs/>
                <w:sz w:val="18"/>
                <w:szCs w:val="18"/>
              </w:rPr>
              <w:lastRenderedPageBreak/>
              <w:t>Expected impact</w:t>
            </w:r>
          </w:p>
        </w:tc>
        <w:tc>
          <w:tcPr>
            <w:tcW w:w="897" w:type="dxa"/>
            <w:shd w:val="clear" w:color="auto" w:fill="9CC2E5" w:themeFill="accent1" w:themeFillTint="99"/>
          </w:tcPr>
          <w:p w14:paraId="7F878363" w14:textId="582C7B72" w:rsidR="00837FC5" w:rsidRPr="00355A95" w:rsidRDefault="00837FC5" w:rsidP="00531B4E">
            <w:pPr>
              <w:jc w:val="center"/>
              <w:rPr>
                <w:rFonts w:asciiTheme="majorHAnsi" w:hAnsiTheme="majorHAnsi" w:cstheme="majorHAnsi"/>
                <w:b/>
                <w:bCs/>
                <w:sz w:val="18"/>
                <w:szCs w:val="18"/>
              </w:rPr>
            </w:pPr>
            <w:r w:rsidRPr="00355A95">
              <w:rPr>
                <w:rFonts w:asciiTheme="majorHAnsi" w:hAnsiTheme="majorHAnsi" w:cstheme="majorHAnsi"/>
                <w:b/>
                <w:bCs/>
                <w:sz w:val="18"/>
                <w:szCs w:val="18"/>
              </w:rPr>
              <w:t>Up</w:t>
            </w:r>
          </w:p>
        </w:tc>
        <w:tc>
          <w:tcPr>
            <w:tcW w:w="897" w:type="dxa"/>
            <w:shd w:val="clear" w:color="auto" w:fill="9CC2E5" w:themeFill="accent1" w:themeFillTint="99"/>
          </w:tcPr>
          <w:p w14:paraId="52827C87" w14:textId="6BFF681B" w:rsidR="00837FC5" w:rsidRPr="00355A95" w:rsidRDefault="00837FC5" w:rsidP="00531B4E">
            <w:pPr>
              <w:jc w:val="center"/>
              <w:rPr>
                <w:rFonts w:asciiTheme="majorHAnsi" w:hAnsiTheme="majorHAnsi" w:cstheme="majorHAnsi"/>
                <w:b/>
                <w:bCs/>
                <w:sz w:val="18"/>
                <w:szCs w:val="18"/>
              </w:rPr>
            </w:pPr>
            <w:r w:rsidRPr="00355A95">
              <w:rPr>
                <w:rFonts w:asciiTheme="majorHAnsi" w:hAnsiTheme="majorHAnsi" w:cstheme="majorHAnsi"/>
                <w:b/>
                <w:bCs/>
                <w:sz w:val="18"/>
                <w:szCs w:val="18"/>
              </w:rPr>
              <w:t>Same</w:t>
            </w:r>
          </w:p>
        </w:tc>
        <w:tc>
          <w:tcPr>
            <w:tcW w:w="897" w:type="dxa"/>
            <w:shd w:val="clear" w:color="auto" w:fill="9CC2E5" w:themeFill="accent1" w:themeFillTint="99"/>
          </w:tcPr>
          <w:p w14:paraId="420F0E27" w14:textId="26D599A0" w:rsidR="00837FC5" w:rsidRPr="00355A95" w:rsidRDefault="00837FC5" w:rsidP="00531B4E">
            <w:pPr>
              <w:jc w:val="center"/>
              <w:rPr>
                <w:rFonts w:asciiTheme="majorHAnsi" w:hAnsiTheme="majorHAnsi" w:cstheme="majorHAnsi"/>
                <w:b/>
                <w:bCs/>
                <w:sz w:val="18"/>
                <w:szCs w:val="18"/>
              </w:rPr>
            </w:pPr>
            <w:r w:rsidRPr="00355A95">
              <w:rPr>
                <w:rFonts w:asciiTheme="majorHAnsi" w:hAnsiTheme="majorHAnsi" w:cstheme="majorHAnsi"/>
                <w:b/>
                <w:bCs/>
                <w:sz w:val="18"/>
                <w:szCs w:val="18"/>
              </w:rPr>
              <w:t>Down</w:t>
            </w:r>
          </w:p>
        </w:tc>
      </w:tr>
      <w:tr w:rsidR="00837FC5" w:rsidRPr="001677C7" w14:paraId="2AD01A10" w14:textId="569EC995" w:rsidTr="00355A95">
        <w:trPr>
          <w:trHeight w:val="258"/>
        </w:trPr>
        <w:tc>
          <w:tcPr>
            <w:tcW w:w="2979" w:type="dxa"/>
          </w:tcPr>
          <w:p w14:paraId="2B7C4CE9" w14:textId="0D981489" w:rsidR="00837FC5" w:rsidRPr="00355A95" w:rsidRDefault="006A35A3" w:rsidP="007A0B75">
            <w:pPr>
              <w:rPr>
                <w:rFonts w:asciiTheme="majorHAnsi" w:hAnsiTheme="majorHAnsi" w:cstheme="majorHAnsi"/>
                <w:sz w:val="18"/>
                <w:szCs w:val="18"/>
              </w:rPr>
            </w:pPr>
            <w:r w:rsidRPr="00355A95">
              <w:rPr>
                <w:rFonts w:asciiTheme="majorHAnsi" w:hAnsiTheme="majorHAnsi" w:cstheme="majorHAnsi"/>
                <w:sz w:val="18"/>
                <w:szCs w:val="18"/>
              </w:rPr>
              <w:t>Number</w:t>
            </w:r>
            <w:r w:rsidR="00837FC5" w:rsidRPr="00355A95">
              <w:rPr>
                <w:rFonts w:asciiTheme="majorHAnsi" w:hAnsiTheme="majorHAnsi" w:cstheme="majorHAnsi"/>
                <w:sz w:val="18"/>
                <w:szCs w:val="18"/>
              </w:rPr>
              <w:t xml:space="preserve"> of </w:t>
            </w:r>
            <w:r w:rsidRPr="00355A95">
              <w:rPr>
                <w:rFonts w:asciiTheme="majorHAnsi" w:hAnsiTheme="majorHAnsi" w:cstheme="majorHAnsi"/>
                <w:sz w:val="18"/>
                <w:szCs w:val="18"/>
              </w:rPr>
              <w:t>o</w:t>
            </w:r>
            <w:r w:rsidR="00837FC5" w:rsidRPr="00355A95">
              <w:rPr>
                <w:rFonts w:asciiTheme="majorHAnsi" w:hAnsiTheme="majorHAnsi" w:cstheme="majorHAnsi"/>
                <w:sz w:val="18"/>
                <w:szCs w:val="18"/>
              </w:rPr>
              <w:t xml:space="preserve">pen </w:t>
            </w:r>
            <w:r w:rsidRPr="00355A95">
              <w:rPr>
                <w:rFonts w:asciiTheme="majorHAnsi" w:hAnsiTheme="majorHAnsi" w:cstheme="majorHAnsi"/>
                <w:sz w:val="18"/>
                <w:szCs w:val="18"/>
              </w:rPr>
              <w:t>p</w:t>
            </w:r>
            <w:r w:rsidR="00837FC5" w:rsidRPr="00355A95">
              <w:rPr>
                <w:rFonts w:asciiTheme="majorHAnsi" w:hAnsiTheme="majorHAnsi" w:cstheme="majorHAnsi"/>
                <w:sz w:val="18"/>
                <w:szCs w:val="18"/>
              </w:rPr>
              <w:t>ositions</w:t>
            </w:r>
          </w:p>
        </w:tc>
        <w:tc>
          <w:tcPr>
            <w:tcW w:w="897" w:type="dxa"/>
          </w:tcPr>
          <w:p w14:paraId="5A9F42BC" w14:textId="299D76AA"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29%</w:t>
            </w:r>
          </w:p>
        </w:tc>
        <w:tc>
          <w:tcPr>
            <w:tcW w:w="897" w:type="dxa"/>
          </w:tcPr>
          <w:p w14:paraId="02554254" w14:textId="1C9E8DD3"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58%</w:t>
            </w:r>
          </w:p>
        </w:tc>
        <w:tc>
          <w:tcPr>
            <w:tcW w:w="897" w:type="dxa"/>
          </w:tcPr>
          <w:p w14:paraId="24A83AB0" w14:textId="6BCCE7E3"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13%</w:t>
            </w:r>
          </w:p>
        </w:tc>
      </w:tr>
      <w:tr w:rsidR="00837FC5" w:rsidRPr="001677C7" w14:paraId="13DFD4A5" w14:textId="64E03871" w:rsidTr="00355A95">
        <w:trPr>
          <w:trHeight w:val="245"/>
        </w:trPr>
        <w:tc>
          <w:tcPr>
            <w:tcW w:w="2979" w:type="dxa"/>
          </w:tcPr>
          <w:p w14:paraId="7446AC27" w14:textId="5A1F397A" w:rsidR="00837FC5" w:rsidRPr="00355A95" w:rsidRDefault="006A35A3" w:rsidP="007A0B75">
            <w:pPr>
              <w:rPr>
                <w:rFonts w:asciiTheme="majorHAnsi" w:hAnsiTheme="majorHAnsi" w:cstheme="majorHAnsi"/>
                <w:sz w:val="18"/>
                <w:szCs w:val="18"/>
              </w:rPr>
            </w:pPr>
            <w:r w:rsidRPr="00355A95">
              <w:rPr>
                <w:rFonts w:asciiTheme="majorHAnsi" w:hAnsiTheme="majorHAnsi" w:cstheme="majorHAnsi"/>
                <w:sz w:val="18"/>
                <w:szCs w:val="18"/>
              </w:rPr>
              <w:t>Number of qualified applicants</w:t>
            </w:r>
          </w:p>
        </w:tc>
        <w:tc>
          <w:tcPr>
            <w:tcW w:w="897" w:type="dxa"/>
          </w:tcPr>
          <w:p w14:paraId="56473C3E" w14:textId="36780948"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15%</w:t>
            </w:r>
          </w:p>
        </w:tc>
        <w:tc>
          <w:tcPr>
            <w:tcW w:w="897" w:type="dxa"/>
          </w:tcPr>
          <w:p w14:paraId="37DAC4D9" w14:textId="59589D2E"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44%</w:t>
            </w:r>
          </w:p>
        </w:tc>
        <w:tc>
          <w:tcPr>
            <w:tcW w:w="897" w:type="dxa"/>
          </w:tcPr>
          <w:p w14:paraId="08E24456" w14:textId="370A5004"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41%</w:t>
            </w:r>
          </w:p>
        </w:tc>
      </w:tr>
      <w:tr w:rsidR="00837FC5" w:rsidRPr="001677C7" w14:paraId="4BA8EB4C" w14:textId="6B643F54" w:rsidTr="00355A95">
        <w:trPr>
          <w:trHeight w:val="245"/>
        </w:trPr>
        <w:tc>
          <w:tcPr>
            <w:tcW w:w="2979" w:type="dxa"/>
          </w:tcPr>
          <w:p w14:paraId="0CED8474" w14:textId="5BC7F467" w:rsidR="00837FC5" w:rsidRPr="00355A95" w:rsidRDefault="006A35A3" w:rsidP="007A0B75">
            <w:pPr>
              <w:rPr>
                <w:rFonts w:asciiTheme="majorHAnsi" w:hAnsiTheme="majorHAnsi" w:cstheme="majorHAnsi"/>
                <w:sz w:val="18"/>
                <w:szCs w:val="18"/>
              </w:rPr>
            </w:pPr>
            <w:r w:rsidRPr="00355A95">
              <w:rPr>
                <w:rFonts w:asciiTheme="majorHAnsi" w:hAnsiTheme="majorHAnsi" w:cstheme="majorHAnsi"/>
                <w:sz w:val="18"/>
                <w:szCs w:val="18"/>
              </w:rPr>
              <w:t>Wage demands</w:t>
            </w:r>
          </w:p>
        </w:tc>
        <w:tc>
          <w:tcPr>
            <w:tcW w:w="897" w:type="dxa"/>
          </w:tcPr>
          <w:p w14:paraId="0EFF06B3" w14:textId="5C427AD1"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58%</w:t>
            </w:r>
          </w:p>
        </w:tc>
        <w:tc>
          <w:tcPr>
            <w:tcW w:w="897" w:type="dxa"/>
          </w:tcPr>
          <w:p w14:paraId="4D02A534" w14:textId="526C39EC"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38%</w:t>
            </w:r>
          </w:p>
        </w:tc>
        <w:tc>
          <w:tcPr>
            <w:tcW w:w="897" w:type="dxa"/>
          </w:tcPr>
          <w:p w14:paraId="7FDE5A2B" w14:textId="4B2E8EEC"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3%</w:t>
            </w:r>
          </w:p>
        </w:tc>
      </w:tr>
      <w:tr w:rsidR="00837FC5" w:rsidRPr="001677C7" w14:paraId="4A17537C" w14:textId="1036301D" w:rsidTr="00355A95">
        <w:trPr>
          <w:trHeight w:val="258"/>
        </w:trPr>
        <w:tc>
          <w:tcPr>
            <w:tcW w:w="2979" w:type="dxa"/>
          </w:tcPr>
          <w:p w14:paraId="2A57B2EE" w14:textId="51F7A198" w:rsidR="00837FC5" w:rsidRPr="00355A95" w:rsidRDefault="006A35A3" w:rsidP="007A0B75">
            <w:pPr>
              <w:rPr>
                <w:rFonts w:asciiTheme="majorHAnsi" w:hAnsiTheme="majorHAnsi" w:cstheme="majorHAnsi"/>
                <w:sz w:val="18"/>
                <w:szCs w:val="18"/>
              </w:rPr>
            </w:pPr>
            <w:r w:rsidRPr="00355A95">
              <w:rPr>
                <w:rFonts w:asciiTheme="majorHAnsi" w:hAnsiTheme="majorHAnsi" w:cstheme="majorHAnsi"/>
                <w:sz w:val="18"/>
                <w:szCs w:val="18"/>
              </w:rPr>
              <w:t>Remote work demands</w:t>
            </w:r>
          </w:p>
        </w:tc>
        <w:tc>
          <w:tcPr>
            <w:tcW w:w="897" w:type="dxa"/>
          </w:tcPr>
          <w:p w14:paraId="017812A8" w14:textId="6652C590"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40%</w:t>
            </w:r>
          </w:p>
        </w:tc>
        <w:tc>
          <w:tcPr>
            <w:tcW w:w="897" w:type="dxa"/>
          </w:tcPr>
          <w:p w14:paraId="08779203" w14:textId="62AA5D81"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5</w:t>
            </w:r>
            <w:r w:rsidR="00DB702D" w:rsidRPr="00355A95">
              <w:rPr>
                <w:rFonts w:asciiTheme="majorHAnsi" w:hAnsiTheme="majorHAnsi" w:cstheme="majorHAnsi"/>
                <w:sz w:val="18"/>
                <w:szCs w:val="18"/>
              </w:rPr>
              <w:t>3</w:t>
            </w:r>
            <w:r w:rsidRPr="00355A95">
              <w:rPr>
                <w:rFonts w:asciiTheme="majorHAnsi" w:hAnsiTheme="majorHAnsi" w:cstheme="majorHAnsi"/>
                <w:sz w:val="18"/>
                <w:szCs w:val="18"/>
              </w:rPr>
              <w:t>%</w:t>
            </w:r>
          </w:p>
        </w:tc>
        <w:tc>
          <w:tcPr>
            <w:tcW w:w="897" w:type="dxa"/>
          </w:tcPr>
          <w:p w14:paraId="09E09231" w14:textId="6A5C0E4F" w:rsidR="00837FC5" w:rsidRPr="00355A95" w:rsidRDefault="00DB702D" w:rsidP="00DB702D">
            <w:pPr>
              <w:jc w:val="center"/>
              <w:rPr>
                <w:rFonts w:asciiTheme="majorHAnsi" w:hAnsiTheme="majorHAnsi" w:cstheme="majorHAnsi"/>
                <w:sz w:val="18"/>
                <w:szCs w:val="18"/>
              </w:rPr>
            </w:pPr>
            <w:r w:rsidRPr="00355A95">
              <w:rPr>
                <w:rFonts w:asciiTheme="majorHAnsi" w:hAnsiTheme="majorHAnsi" w:cstheme="majorHAnsi"/>
                <w:sz w:val="18"/>
                <w:szCs w:val="18"/>
              </w:rPr>
              <w:t>8</w:t>
            </w:r>
            <w:r w:rsidR="00A56C78" w:rsidRPr="00355A95">
              <w:rPr>
                <w:rFonts w:asciiTheme="majorHAnsi" w:hAnsiTheme="majorHAnsi" w:cstheme="majorHAnsi"/>
                <w:sz w:val="18"/>
                <w:szCs w:val="18"/>
              </w:rPr>
              <w:t>%</w:t>
            </w:r>
          </w:p>
        </w:tc>
      </w:tr>
      <w:tr w:rsidR="00837FC5" w:rsidRPr="001677C7" w14:paraId="2EE3249C" w14:textId="07552A7C" w:rsidTr="00355A95">
        <w:trPr>
          <w:trHeight w:val="245"/>
        </w:trPr>
        <w:tc>
          <w:tcPr>
            <w:tcW w:w="2979" w:type="dxa"/>
          </w:tcPr>
          <w:p w14:paraId="7BEAA0F9" w14:textId="4E281640" w:rsidR="00837FC5" w:rsidRPr="00355A95" w:rsidRDefault="006A35A3" w:rsidP="007A0B75">
            <w:pPr>
              <w:rPr>
                <w:rFonts w:asciiTheme="majorHAnsi" w:hAnsiTheme="majorHAnsi" w:cstheme="majorHAnsi"/>
                <w:sz w:val="18"/>
                <w:szCs w:val="18"/>
              </w:rPr>
            </w:pPr>
            <w:r w:rsidRPr="00355A95">
              <w:rPr>
                <w:rFonts w:asciiTheme="majorHAnsi" w:hAnsiTheme="majorHAnsi" w:cstheme="majorHAnsi"/>
                <w:sz w:val="18"/>
                <w:szCs w:val="18"/>
              </w:rPr>
              <w:t>Benefit demands</w:t>
            </w:r>
          </w:p>
        </w:tc>
        <w:tc>
          <w:tcPr>
            <w:tcW w:w="897" w:type="dxa"/>
          </w:tcPr>
          <w:p w14:paraId="732E63FE" w14:textId="3FE8C827"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40%</w:t>
            </w:r>
          </w:p>
        </w:tc>
        <w:tc>
          <w:tcPr>
            <w:tcW w:w="897" w:type="dxa"/>
          </w:tcPr>
          <w:p w14:paraId="402A1A77" w14:textId="12B16B77"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59%</w:t>
            </w:r>
          </w:p>
        </w:tc>
        <w:tc>
          <w:tcPr>
            <w:tcW w:w="897" w:type="dxa"/>
          </w:tcPr>
          <w:p w14:paraId="694B91DD" w14:textId="7A84EA64"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1%</w:t>
            </w:r>
          </w:p>
        </w:tc>
      </w:tr>
      <w:tr w:rsidR="00837FC5" w:rsidRPr="001677C7" w14:paraId="6226A7DD" w14:textId="1327BBAE" w:rsidTr="00355A95">
        <w:trPr>
          <w:trHeight w:val="245"/>
        </w:trPr>
        <w:tc>
          <w:tcPr>
            <w:tcW w:w="2979" w:type="dxa"/>
          </w:tcPr>
          <w:p w14:paraId="5B003136" w14:textId="623603D7" w:rsidR="00837FC5" w:rsidRPr="00355A95" w:rsidRDefault="006A35A3" w:rsidP="007A0B75">
            <w:pPr>
              <w:rPr>
                <w:rFonts w:asciiTheme="majorHAnsi" w:hAnsiTheme="majorHAnsi" w:cstheme="majorHAnsi"/>
                <w:sz w:val="18"/>
                <w:szCs w:val="18"/>
              </w:rPr>
            </w:pPr>
            <w:r w:rsidRPr="00355A95">
              <w:rPr>
                <w:rFonts w:asciiTheme="majorHAnsi" w:hAnsiTheme="majorHAnsi" w:cstheme="majorHAnsi"/>
                <w:sz w:val="18"/>
                <w:szCs w:val="18"/>
              </w:rPr>
              <w:t>Employees turnover</w:t>
            </w:r>
          </w:p>
        </w:tc>
        <w:tc>
          <w:tcPr>
            <w:tcW w:w="897" w:type="dxa"/>
          </w:tcPr>
          <w:p w14:paraId="316CDBD4" w14:textId="7D5ED07C"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22%</w:t>
            </w:r>
          </w:p>
        </w:tc>
        <w:tc>
          <w:tcPr>
            <w:tcW w:w="897" w:type="dxa"/>
          </w:tcPr>
          <w:p w14:paraId="5E898B8E" w14:textId="5D73E639"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63%</w:t>
            </w:r>
          </w:p>
        </w:tc>
        <w:tc>
          <w:tcPr>
            <w:tcW w:w="897" w:type="dxa"/>
          </w:tcPr>
          <w:p w14:paraId="7657C75E" w14:textId="6893099D"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16%</w:t>
            </w:r>
          </w:p>
        </w:tc>
      </w:tr>
      <w:tr w:rsidR="00837FC5" w:rsidRPr="001677C7" w14:paraId="16E8402A" w14:textId="20885417" w:rsidTr="00355A95">
        <w:trPr>
          <w:trHeight w:val="245"/>
        </w:trPr>
        <w:tc>
          <w:tcPr>
            <w:tcW w:w="2979" w:type="dxa"/>
          </w:tcPr>
          <w:p w14:paraId="62903ABB" w14:textId="400A3E1E" w:rsidR="00837FC5" w:rsidRPr="00355A95" w:rsidRDefault="006A35A3" w:rsidP="007A0B75">
            <w:pPr>
              <w:rPr>
                <w:rFonts w:asciiTheme="majorHAnsi" w:hAnsiTheme="majorHAnsi" w:cstheme="majorHAnsi"/>
                <w:sz w:val="18"/>
                <w:szCs w:val="18"/>
              </w:rPr>
            </w:pPr>
            <w:r w:rsidRPr="00355A95">
              <w:rPr>
                <w:rFonts w:asciiTheme="majorHAnsi" w:hAnsiTheme="majorHAnsi" w:cstheme="majorHAnsi"/>
                <w:sz w:val="18"/>
                <w:szCs w:val="18"/>
              </w:rPr>
              <w:t>Automation/AI usage</w:t>
            </w:r>
          </w:p>
        </w:tc>
        <w:tc>
          <w:tcPr>
            <w:tcW w:w="897" w:type="dxa"/>
          </w:tcPr>
          <w:p w14:paraId="522A09E6" w14:textId="4709B8DB"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60%</w:t>
            </w:r>
          </w:p>
        </w:tc>
        <w:tc>
          <w:tcPr>
            <w:tcW w:w="897" w:type="dxa"/>
          </w:tcPr>
          <w:p w14:paraId="055EE0BC" w14:textId="70630BD0"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37%</w:t>
            </w:r>
          </w:p>
        </w:tc>
        <w:tc>
          <w:tcPr>
            <w:tcW w:w="897" w:type="dxa"/>
          </w:tcPr>
          <w:p w14:paraId="290EC269" w14:textId="1658A28B" w:rsidR="00837FC5" w:rsidRPr="00355A95" w:rsidRDefault="00A56C78" w:rsidP="007A0B75">
            <w:pPr>
              <w:jc w:val="center"/>
              <w:rPr>
                <w:rFonts w:asciiTheme="majorHAnsi" w:hAnsiTheme="majorHAnsi" w:cstheme="majorHAnsi"/>
                <w:sz w:val="18"/>
                <w:szCs w:val="18"/>
              </w:rPr>
            </w:pPr>
            <w:r w:rsidRPr="00355A95">
              <w:rPr>
                <w:rFonts w:asciiTheme="majorHAnsi" w:hAnsiTheme="majorHAnsi" w:cstheme="majorHAnsi"/>
                <w:sz w:val="18"/>
                <w:szCs w:val="18"/>
              </w:rPr>
              <w:t>3%</w:t>
            </w:r>
          </w:p>
        </w:tc>
      </w:tr>
    </w:tbl>
    <w:p w14:paraId="3DD40E79" w14:textId="6D9E74B2" w:rsidR="00B20EAA" w:rsidRPr="001677C7" w:rsidRDefault="00B90F9D" w:rsidP="00E96ED8">
      <w:pPr>
        <w:ind w:left="180"/>
        <w:rPr>
          <w:rFonts w:asciiTheme="majorHAnsi" w:hAnsiTheme="majorHAnsi" w:cstheme="majorHAnsi"/>
          <w:sz w:val="18"/>
          <w:szCs w:val="18"/>
        </w:rPr>
      </w:pPr>
      <w:r>
        <w:rPr>
          <w:rFonts w:asciiTheme="majorHAnsi" w:hAnsiTheme="majorHAnsi" w:cstheme="majorHAnsi"/>
          <w:sz w:val="18"/>
          <w:szCs w:val="18"/>
        </w:rPr>
        <w:t xml:space="preserve">Note: </w:t>
      </w:r>
      <w:r w:rsidR="00691B89">
        <w:rPr>
          <w:rFonts w:asciiTheme="majorHAnsi" w:hAnsiTheme="majorHAnsi" w:cstheme="majorHAnsi"/>
          <w:sz w:val="18"/>
          <w:szCs w:val="18"/>
        </w:rPr>
        <w:t>Percentages</w:t>
      </w:r>
      <w:r w:rsidR="004C358F">
        <w:rPr>
          <w:rFonts w:asciiTheme="majorHAnsi" w:hAnsiTheme="majorHAnsi" w:cstheme="majorHAnsi"/>
          <w:sz w:val="18"/>
          <w:szCs w:val="18"/>
        </w:rPr>
        <w:t xml:space="preserve"> exclude respondents that indicated N/A.</w:t>
      </w:r>
    </w:p>
    <w:p w14:paraId="6DB1E4A3" w14:textId="77777777" w:rsidR="00CD0F13" w:rsidRDefault="00CD0F13" w:rsidP="00FA5554">
      <w:pPr>
        <w:spacing w:after="0" w:line="240" w:lineRule="auto"/>
        <w:rPr>
          <w:rStyle w:val="Heading2Char"/>
          <w:rFonts w:cstheme="majorHAnsi"/>
          <w:b/>
          <w:bCs/>
        </w:rPr>
      </w:pPr>
    </w:p>
    <w:p w14:paraId="090C9F64" w14:textId="66A45489" w:rsidR="00125E73" w:rsidRPr="00355A95" w:rsidRDefault="00AF5CB2" w:rsidP="00355A95">
      <w:pPr>
        <w:spacing w:after="0" w:line="240" w:lineRule="auto"/>
        <w:ind w:left="180"/>
        <w:rPr>
          <w:rFonts w:asciiTheme="majorHAnsi" w:eastAsiaTheme="majorEastAsia" w:hAnsiTheme="majorHAnsi" w:cstheme="majorHAnsi"/>
        </w:rPr>
      </w:pPr>
      <w:r w:rsidRPr="00184C69">
        <w:rPr>
          <w:rStyle w:val="Heading2Char"/>
          <w:rFonts w:cstheme="majorHAnsi"/>
          <w:b/>
          <w:bCs/>
          <w:color w:val="auto"/>
        </w:rPr>
        <w:t>Business Ownership</w:t>
      </w:r>
      <w:r w:rsidRPr="001677C7">
        <w:rPr>
          <w:rStyle w:val="Heading2Char"/>
          <w:rFonts w:cstheme="majorHAnsi"/>
          <w:b/>
          <w:bCs/>
        </w:rPr>
        <w:br/>
      </w:r>
      <w:r w:rsidR="00471F42" w:rsidRPr="002E662F">
        <w:rPr>
          <w:rFonts w:asciiTheme="majorHAnsi" w:eastAsiaTheme="majorEastAsia" w:hAnsiTheme="majorHAnsi" w:cstheme="majorHAnsi"/>
        </w:rPr>
        <w:t>Only 5% of respondents identified the ownership of their business as veterans, with 6% as minorities and 30% as women.</w:t>
      </w:r>
    </w:p>
    <w:tbl>
      <w:tblPr>
        <w:tblW w:w="4860" w:type="dxa"/>
        <w:tblInd w:w="175" w:type="dxa"/>
        <w:tblLook w:val="04A0" w:firstRow="1" w:lastRow="0" w:firstColumn="1" w:lastColumn="0" w:noHBand="0" w:noVBand="1"/>
      </w:tblPr>
      <w:tblGrid>
        <w:gridCol w:w="2160"/>
        <w:gridCol w:w="2700"/>
      </w:tblGrid>
      <w:tr w:rsidR="00125E73" w:rsidRPr="00125E73" w14:paraId="598A0A56" w14:textId="77777777" w:rsidTr="00773568">
        <w:trPr>
          <w:trHeight w:val="240"/>
        </w:trPr>
        <w:tc>
          <w:tcPr>
            <w:tcW w:w="2160" w:type="dxa"/>
            <w:tcBorders>
              <w:top w:val="single" w:sz="4" w:space="0" w:color="auto"/>
              <w:left w:val="single" w:sz="4" w:space="0" w:color="auto"/>
              <w:bottom w:val="single" w:sz="4" w:space="0" w:color="auto"/>
              <w:right w:val="single" w:sz="4" w:space="0" w:color="auto"/>
            </w:tcBorders>
            <w:shd w:val="clear" w:color="000000" w:fill="9CC2E5" w:themeFill="accent1" w:themeFillTint="99"/>
            <w:noWrap/>
            <w:vAlign w:val="bottom"/>
            <w:hideMark/>
          </w:tcPr>
          <w:p w14:paraId="46D0195F" w14:textId="77777777" w:rsidR="00125E73" w:rsidRPr="00125E73" w:rsidRDefault="00125E73" w:rsidP="00125E73">
            <w:pPr>
              <w:spacing w:after="0" w:line="240" w:lineRule="auto"/>
              <w:jc w:val="center"/>
              <w:rPr>
                <w:rFonts w:ascii="Calibri" w:eastAsia="Times New Roman" w:hAnsi="Calibri" w:cs="Calibri"/>
                <w:b/>
                <w:bCs/>
                <w:sz w:val="18"/>
                <w:szCs w:val="18"/>
              </w:rPr>
            </w:pPr>
            <w:r w:rsidRPr="00125E73">
              <w:rPr>
                <w:rFonts w:ascii="Calibri" w:eastAsia="Times New Roman" w:hAnsi="Calibri" w:cs="Calibri"/>
                <w:b/>
                <w:bCs/>
                <w:sz w:val="18"/>
                <w:szCs w:val="18"/>
              </w:rPr>
              <w:t>Ownership</w:t>
            </w:r>
          </w:p>
        </w:tc>
        <w:tc>
          <w:tcPr>
            <w:tcW w:w="2700" w:type="dxa"/>
            <w:tcBorders>
              <w:top w:val="single" w:sz="4" w:space="0" w:color="auto"/>
              <w:left w:val="nil"/>
              <w:bottom w:val="single" w:sz="4" w:space="0" w:color="auto"/>
              <w:right w:val="single" w:sz="4" w:space="0" w:color="auto"/>
            </w:tcBorders>
            <w:shd w:val="clear" w:color="000000" w:fill="9CC2E5" w:themeFill="accent1" w:themeFillTint="99"/>
            <w:noWrap/>
            <w:vAlign w:val="bottom"/>
            <w:hideMark/>
          </w:tcPr>
          <w:p w14:paraId="386A1A91" w14:textId="77777777" w:rsidR="00125E73" w:rsidRPr="00125E73" w:rsidRDefault="00125E73" w:rsidP="00125E73">
            <w:pPr>
              <w:spacing w:after="0" w:line="240" w:lineRule="auto"/>
              <w:jc w:val="center"/>
              <w:rPr>
                <w:rFonts w:ascii="Calibri" w:eastAsia="Times New Roman" w:hAnsi="Calibri" w:cs="Calibri"/>
                <w:b/>
                <w:bCs/>
                <w:sz w:val="18"/>
                <w:szCs w:val="18"/>
              </w:rPr>
            </w:pPr>
            <w:r w:rsidRPr="00125E73">
              <w:rPr>
                <w:rFonts w:ascii="Calibri" w:eastAsia="Times New Roman" w:hAnsi="Calibri" w:cs="Calibri"/>
                <w:b/>
                <w:bCs/>
                <w:sz w:val="18"/>
                <w:szCs w:val="18"/>
              </w:rPr>
              <w:t>Percent</w:t>
            </w:r>
          </w:p>
        </w:tc>
      </w:tr>
      <w:tr w:rsidR="00125E73" w:rsidRPr="00125E73" w14:paraId="21F67686" w14:textId="77777777" w:rsidTr="00773568">
        <w:trPr>
          <w:trHeight w:val="28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BB6108" w14:textId="77777777" w:rsidR="00125E73" w:rsidRPr="00125E73" w:rsidRDefault="00125E73" w:rsidP="00125E73">
            <w:pPr>
              <w:spacing w:after="0" w:line="240" w:lineRule="auto"/>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None of the above</w:t>
            </w:r>
          </w:p>
        </w:tc>
        <w:tc>
          <w:tcPr>
            <w:tcW w:w="2700" w:type="dxa"/>
            <w:tcBorders>
              <w:top w:val="nil"/>
              <w:left w:val="nil"/>
              <w:bottom w:val="single" w:sz="4" w:space="0" w:color="auto"/>
              <w:right w:val="single" w:sz="4" w:space="0" w:color="auto"/>
            </w:tcBorders>
            <w:shd w:val="clear" w:color="auto" w:fill="auto"/>
            <w:noWrap/>
            <w:vAlign w:val="bottom"/>
            <w:hideMark/>
          </w:tcPr>
          <w:p w14:paraId="728636EF" w14:textId="77777777" w:rsidR="00125E73" w:rsidRPr="00125E73" w:rsidRDefault="00125E73" w:rsidP="00125E73">
            <w:pPr>
              <w:spacing w:after="0" w:line="240" w:lineRule="auto"/>
              <w:jc w:val="center"/>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55%</w:t>
            </w:r>
          </w:p>
        </w:tc>
      </w:tr>
      <w:tr w:rsidR="00125E73" w:rsidRPr="00125E73" w14:paraId="15959CE8" w14:textId="77777777" w:rsidTr="00773568">
        <w:trPr>
          <w:trHeight w:val="28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72DA45C" w14:textId="77777777" w:rsidR="00125E73" w:rsidRPr="00125E73" w:rsidRDefault="00125E73" w:rsidP="00125E73">
            <w:pPr>
              <w:spacing w:after="0" w:line="240" w:lineRule="auto"/>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Woman-owned</w:t>
            </w:r>
          </w:p>
        </w:tc>
        <w:tc>
          <w:tcPr>
            <w:tcW w:w="2700" w:type="dxa"/>
            <w:tcBorders>
              <w:top w:val="nil"/>
              <w:left w:val="nil"/>
              <w:bottom w:val="single" w:sz="4" w:space="0" w:color="auto"/>
              <w:right w:val="single" w:sz="4" w:space="0" w:color="auto"/>
            </w:tcBorders>
            <w:shd w:val="clear" w:color="auto" w:fill="auto"/>
            <w:noWrap/>
            <w:vAlign w:val="bottom"/>
            <w:hideMark/>
          </w:tcPr>
          <w:p w14:paraId="7D07214E" w14:textId="77777777" w:rsidR="00125E73" w:rsidRPr="00125E73" w:rsidRDefault="00125E73" w:rsidP="00125E73">
            <w:pPr>
              <w:spacing w:after="0" w:line="240" w:lineRule="auto"/>
              <w:jc w:val="center"/>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30%</w:t>
            </w:r>
          </w:p>
        </w:tc>
      </w:tr>
      <w:tr w:rsidR="00125E73" w:rsidRPr="00125E73" w14:paraId="44844C2C" w14:textId="77777777" w:rsidTr="00773568">
        <w:trPr>
          <w:trHeight w:val="28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7B13597" w14:textId="49F84A0C" w:rsidR="00125E73" w:rsidRPr="00125E73" w:rsidRDefault="00125E73" w:rsidP="00125E73">
            <w:pPr>
              <w:spacing w:after="0" w:line="240" w:lineRule="auto"/>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 xml:space="preserve">Prefer not to </w:t>
            </w:r>
            <w:r w:rsidRPr="00355A95">
              <w:rPr>
                <w:rFonts w:asciiTheme="majorHAnsi" w:eastAsia="Times New Roman" w:hAnsiTheme="majorHAnsi" w:cstheme="majorHAnsi"/>
                <w:color w:val="000000"/>
                <w:sz w:val="18"/>
                <w:szCs w:val="18"/>
              </w:rPr>
              <w:t>answer</w:t>
            </w:r>
          </w:p>
        </w:tc>
        <w:tc>
          <w:tcPr>
            <w:tcW w:w="2700" w:type="dxa"/>
            <w:tcBorders>
              <w:top w:val="nil"/>
              <w:left w:val="nil"/>
              <w:bottom w:val="single" w:sz="4" w:space="0" w:color="auto"/>
              <w:right w:val="single" w:sz="4" w:space="0" w:color="auto"/>
            </w:tcBorders>
            <w:shd w:val="clear" w:color="auto" w:fill="auto"/>
            <w:noWrap/>
            <w:vAlign w:val="bottom"/>
            <w:hideMark/>
          </w:tcPr>
          <w:p w14:paraId="5461BC5E" w14:textId="77777777" w:rsidR="00125E73" w:rsidRPr="00125E73" w:rsidRDefault="00125E73" w:rsidP="00125E73">
            <w:pPr>
              <w:spacing w:after="0" w:line="240" w:lineRule="auto"/>
              <w:jc w:val="center"/>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9%</w:t>
            </w:r>
          </w:p>
        </w:tc>
      </w:tr>
      <w:tr w:rsidR="00125E73" w:rsidRPr="00125E73" w14:paraId="118ABB58" w14:textId="77777777" w:rsidTr="00773568">
        <w:trPr>
          <w:trHeight w:val="28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26B0EA6" w14:textId="342BE360" w:rsidR="00125E73" w:rsidRPr="00125E73" w:rsidRDefault="00125E73" w:rsidP="00125E73">
            <w:pPr>
              <w:spacing w:after="0" w:line="240" w:lineRule="auto"/>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Minority-</w:t>
            </w:r>
            <w:r w:rsidRPr="00355A95">
              <w:rPr>
                <w:rFonts w:asciiTheme="majorHAnsi" w:eastAsia="Times New Roman" w:hAnsiTheme="majorHAnsi" w:cstheme="majorHAnsi"/>
                <w:color w:val="000000"/>
                <w:sz w:val="18"/>
                <w:szCs w:val="18"/>
              </w:rPr>
              <w:t>owned</w:t>
            </w:r>
          </w:p>
        </w:tc>
        <w:tc>
          <w:tcPr>
            <w:tcW w:w="2700" w:type="dxa"/>
            <w:tcBorders>
              <w:top w:val="nil"/>
              <w:left w:val="nil"/>
              <w:bottom w:val="single" w:sz="4" w:space="0" w:color="auto"/>
              <w:right w:val="single" w:sz="4" w:space="0" w:color="auto"/>
            </w:tcBorders>
            <w:shd w:val="clear" w:color="auto" w:fill="auto"/>
            <w:noWrap/>
            <w:vAlign w:val="bottom"/>
            <w:hideMark/>
          </w:tcPr>
          <w:p w14:paraId="001DC7E8" w14:textId="77777777" w:rsidR="00125E73" w:rsidRPr="00125E73" w:rsidRDefault="00125E73" w:rsidP="00125E73">
            <w:pPr>
              <w:spacing w:after="0" w:line="240" w:lineRule="auto"/>
              <w:jc w:val="center"/>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6%</w:t>
            </w:r>
          </w:p>
        </w:tc>
      </w:tr>
      <w:tr w:rsidR="00125E73" w:rsidRPr="00125E73" w14:paraId="6F94C484" w14:textId="77777777" w:rsidTr="00773568">
        <w:trPr>
          <w:trHeight w:val="28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241CAF5" w14:textId="77777777" w:rsidR="00125E73" w:rsidRPr="00125E73" w:rsidRDefault="00125E73" w:rsidP="00125E73">
            <w:pPr>
              <w:spacing w:after="0" w:line="240" w:lineRule="auto"/>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Veteran-owned</w:t>
            </w:r>
          </w:p>
        </w:tc>
        <w:tc>
          <w:tcPr>
            <w:tcW w:w="2700" w:type="dxa"/>
            <w:tcBorders>
              <w:top w:val="nil"/>
              <w:left w:val="nil"/>
              <w:bottom w:val="single" w:sz="4" w:space="0" w:color="auto"/>
              <w:right w:val="single" w:sz="4" w:space="0" w:color="auto"/>
            </w:tcBorders>
            <w:shd w:val="clear" w:color="auto" w:fill="auto"/>
            <w:noWrap/>
            <w:vAlign w:val="bottom"/>
            <w:hideMark/>
          </w:tcPr>
          <w:p w14:paraId="0113CC64" w14:textId="77777777" w:rsidR="00125E73" w:rsidRPr="00125E73" w:rsidRDefault="00125E73" w:rsidP="00125E73">
            <w:pPr>
              <w:spacing w:after="0" w:line="240" w:lineRule="auto"/>
              <w:jc w:val="center"/>
              <w:rPr>
                <w:rFonts w:asciiTheme="majorHAnsi" w:eastAsia="Times New Roman" w:hAnsiTheme="majorHAnsi" w:cstheme="majorHAnsi"/>
                <w:color w:val="000000"/>
                <w:sz w:val="18"/>
                <w:szCs w:val="18"/>
              </w:rPr>
            </w:pPr>
            <w:r w:rsidRPr="00125E73">
              <w:rPr>
                <w:rFonts w:asciiTheme="majorHAnsi" w:eastAsia="Times New Roman" w:hAnsiTheme="majorHAnsi" w:cstheme="majorHAnsi"/>
                <w:color w:val="000000"/>
                <w:sz w:val="18"/>
                <w:szCs w:val="18"/>
              </w:rPr>
              <w:t>5%</w:t>
            </w:r>
          </w:p>
        </w:tc>
      </w:tr>
    </w:tbl>
    <w:p w14:paraId="70523C39" w14:textId="191D3136" w:rsidR="00276903" w:rsidRDefault="00E81206" w:rsidP="00355A95">
      <w:pPr>
        <w:spacing w:after="0" w:line="240" w:lineRule="auto"/>
        <w:ind w:left="180"/>
        <w:rPr>
          <w:rFonts w:asciiTheme="majorHAnsi" w:hAnsiTheme="majorHAnsi" w:cstheme="majorHAnsi"/>
          <w:sz w:val="18"/>
          <w:szCs w:val="18"/>
        </w:rPr>
      </w:pPr>
      <w:r>
        <w:rPr>
          <w:rFonts w:asciiTheme="majorHAnsi" w:hAnsiTheme="majorHAnsi" w:cstheme="majorHAnsi"/>
          <w:sz w:val="18"/>
          <w:szCs w:val="18"/>
        </w:rPr>
        <w:t>*</w:t>
      </w:r>
      <w:r w:rsidR="00B06F44" w:rsidRPr="001677C7">
        <w:rPr>
          <w:rFonts w:asciiTheme="majorHAnsi" w:hAnsiTheme="majorHAnsi" w:cstheme="majorHAnsi"/>
          <w:sz w:val="18"/>
          <w:szCs w:val="18"/>
        </w:rPr>
        <w:t>P</w:t>
      </w:r>
      <w:r w:rsidR="00990882" w:rsidRPr="001677C7">
        <w:rPr>
          <w:rFonts w:asciiTheme="majorHAnsi" w:hAnsiTheme="majorHAnsi" w:cstheme="majorHAnsi"/>
          <w:sz w:val="18"/>
          <w:szCs w:val="18"/>
        </w:rPr>
        <w:t>ercentages do not add to 100% due to multiple choice selecti</w:t>
      </w:r>
      <w:r w:rsidR="006721EC">
        <w:rPr>
          <w:rFonts w:asciiTheme="majorHAnsi" w:hAnsiTheme="majorHAnsi" w:cstheme="majorHAnsi"/>
          <w:sz w:val="18"/>
          <w:szCs w:val="18"/>
        </w:rPr>
        <w:t>on.</w:t>
      </w:r>
    </w:p>
    <w:p w14:paraId="2B87062C" w14:textId="425307FF" w:rsidR="004A0929" w:rsidRPr="001677C7" w:rsidRDefault="004A0929" w:rsidP="00937B6C">
      <w:pPr>
        <w:spacing w:after="0" w:line="240" w:lineRule="auto"/>
        <w:rPr>
          <w:rFonts w:asciiTheme="majorHAnsi" w:hAnsiTheme="majorHAnsi" w:cstheme="majorHAnsi"/>
          <w:sz w:val="18"/>
          <w:szCs w:val="18"/>
        </w:rPr>
        <w:sectPr w:rsidR="004A0929" w:rsidRPr="001677C7" w:rsidSect="00F81DF8">
          <w:type w:val="continuous"/>
          <w:pgSz w:w="12240" w:h="15840"/>
          <w:pgMar w:top="720" w:right="720" w:bottom="720" w:left="720" w:header="720" w:footer="720" w:gutter="0"/>
          <w:cols w:space="720"/>
          <w:docGrid w:linePitch="360"/>
        </w:sectPr>
      </w:pPr>
    </w:p>
    <w:p w14:paraId="3EEDDDDD" w14:textId="77777777" w:rsidR="00E92FEF" w:rsidRDefault="00E92FEF" w:rsidP="00276903">
      <w:pPr>
        <w:rPr>
          <w:rFonts w:asciiTheme="majorHAnsi" w:hAnsiTheme="majorHAnsi" w:cstheme="majorHAnsi"/>
        </w:rPr>
      </w:pPr>
    </w:p>
    <w:p w14:paraId="3BDF94E4" w14:textId="129CA169" w:rsidR="00990882" w:rsidRPr="00F01C86" w:rsidRDefault="00E92FEF" w:rsidP="00355A95">
      <w:pPr>
        <w:ind w:left="180"/>
        <w:rPr>
          <w:rStyle w:val="Heading3Char"/>
          <w:rFonts w:eastAsiaTheme="minorHAnsi" w:cstheme="majorHAnsi"/>
          <w:b/>
          <w:bCs/>
          <w:color w:val="auto"/>
          <w:sz w:val="26"/>
          <w:szCs w:val="26"/>
        </w:rPr>
        <w:sectPr w:rsidR="00990882" w:rsidRPr="00F01C86" w:rsidSect="00BE1B88">
          <w:type w:val="continuous"/>
          <w:pgSz w:w="12240" w:h="15840"/>
          <w:pgMar w:top="720" w:right="720" w:bottom="720" w:left="720" w:header="720" w:footer="720" w:gutter="0"/>
          <w:cols w:space="720"/>
          <w:docGrid w:linePitch="360"/>
        </w:sectPr>
      </w:pPr>
      <w:r w:rsidRPr="00E92FEF">
        <w:rPr>
          <w:rFonts w:asciiTheme="majorHAnsi" w:hAnsiTheme="majorHAnsi" w:cstheme="majorHAnsi"/>
          <w:b/>
          <w:bCs/>
          <w:sz w:val="26"/>
          <w:szCs w:val="26"/>
        </w:rPr>
        <w:t>Comments</w:t>
      </w:r>
      <w:r w:rsidR="00F01C86">
        <w:rPr>
          <w:rFonts w:asciiTheme="majorHAnsi" w:hAnsiTheme="majorHAnsi" w:cstheme="majorHAnsi"/>
          <w:b/>
          <w:bCs/>
          <w:sz w:val="26"/>
          <w:szCs w:val="26"/>
        </w:rPr>
        <w:br/>
      </w:r>
      <w:r w:rsidR="008A7855" w:rsidRPr="001677C7">
        <w:rPr>
          <w:rFonts w:asciiTheme="majorHAnsi" w:hAnsiTheme="majorHAnsi" w:cstheme="majorHAnsi"/>
        </w:rPr>
        <w:t xml:space="preserve">Respondents were asked to provide </w:t>
      </w:r>
      <w:r w:rsidR="00DE2B27" w:rsidRPr="001677C7">
        <w:rPr>
          <w:rFonts w:asciiTheme="majorHAnsi" w:hAnsiTheme="majorHAnsi" w:cstheme="majorHAnsi"/>
        </w:rPr>
        <w:t xml:space="preserve">additional </w:t>
      </w:r>
      <w:r w:rsidR="008A7855" w:rsidRPr="001677C7">
        <w:rPr>
          <w:rFonts w:asciiTheme="majorHAnsi" w:hAnsiTheme="majorHAnsi" w:cstheme="majorHAnsi"/>
        </w:rPr>
        <w:t>commen</w:t>
      </w:r>
      <w:r w:rsidR="00DE2B27" w:rsidRPr="001677C7">
        <w:rPr>
          <w:rFonts w:asciiTheme="majorHAnsi" w:hAnsiTheme="majorHAnsi" w:cstheme="majorHAnsi"/>
        </w:rPr>
        <w:t xml:space="preserve">ts. </w:t>
      </w:r>
      <w:r w:rsidR="005A548A">
        <w:rPr>
          <w:rFonts w:asciiTheme="majorHAnsi" w:hAnsiTheme="majorHAnsi" w:cstheme="majorHAnsi"/>
        </w:rPr>
        <w:t>They</w:t>
      </w:r>
      <w:r w:rsidR="00DE2B27" w:rsidRPr="001677C7">
        <w:rPr>
          <w:rFonts w:asciiTheme="majorHAnsi" w:hAnsiTheme="majorHAnsi" w:cstheme="majorHAnsi"/>
        </w:rPr>
        <w:t xml:space="preserve"> indicated </w:t>
      </w:r>
      <w:r w:rsidR="00AD09F0">
        <w:rPr>
          <w:rFonts w:asciiTheme="majorHAnsi" w:hAnsiTheme="majorHAnsi" w:cstheme="majorHAnsi"/>
        </w:rPr>
        <w:t xml:space="preserve">an </w:t>
      </w:r>
      <w:r w:rsidR="00E640DF">
        <w:rPr>
          <w:rFonts w:asciiTheme="majorHAnsi" w:hAnsiTheme="majorHAnsi" w:cstheme="majorHAnsi"/>
        </w:rPr>
        <w:t>increase</w:t>
      </w:r>
      <w:r w:rsidR="00AD09F0">
        <w:rPr>
          <w:rFonts w:asciiTheme="majorHAnsi" w:hAnsiTheme="majorHAnsi" w:cstheme="majorHAnsi"/>
        </w:rPr>
        <w:t xml:space="preserve"> in</w:t>
      </w:r>
      <w:r w:rsidR="00E640DF">
        <w:rPr>
          <w:rFonts w:asciiTheme="majorHAnsi" w:hAnsiTheme="majorHAnsi" w:cstheme="majorHAnsi"/>
        </w:rPr>
        <w:t xml:space="preserve"> AI</w:t>
      </w:r>
      <w:r w:rsidR="00AD09F0">
        <w:rPr>
          <w:rFonts w:asciiTheme="majorHAnsi" w:hAnsiTheme="majorHAnsi" w:cstheme="majorHAnsi"/>
        </w:rPr>
        <w:t xml:space="preserve"> in the near future</w:t>
      </w:r>
      <w:r w:rsidR="00E640DF">
        <w:rPr>
          <w:rFonts w:asciiTheme="majorHAnsi" w:hAnsiTheme="majorHAnsi" w:cstheme="majorHAnsi"/>
        </w:rPr>
        <w:t>, concerns about tariffs</w:t>
      </w:r>
      <w:r w:rsidR="00824A46">
        <w:rPr>
          <w:rFonts w:asciiTheme="majorHAnsi" w:hAnsiTheme="majorHAnsi" w:cstheme="majorHAnsi"/>
        </w:rPr>
        <w:t xml:space="preserve">, </w:t>
      </w:r>
      <w:r w:rsidR="00E640DF">
        <w:rPr>
          <w:rFonts w:asciiTheme="majorHAnsi" w:hAnsiTheme="majorHAnsi" w:cstheme="majorHAnsi"/>
        </w:rPr>
        <w:t>lower consumer spending</w:t>
      </w:r>
      <w:r w:rsidR="00AD09F0">
        <w:rPr>
          <w:rFonts w:asciiTheme="majorHAnsi" w:hAnsiTheme="majorHAnsi" w:cstheme="majorHAnsi"/>
        </w:rPr>
        <w:t>,</w:t>
      </w:r>
      <w:r w:rsidR="00E640DF">
        <w:rPr>
          <w:rFonts w:asciiTheme="majorHAnsi" w:hAnsiTheme="majorHAnsi" w:cstheme="majorHAnsi"/>
        </w:rPr>
        <w:t xml:space="preserve"> and the need for apprentice programs</w:t>
      </w:r>
      <w:r w:rsidR="00F01C86">
        <w:rPr>
          <w:rFonts w:asciiTheme="majorHAnsi" w:hAnsiTheme="majorHAnsi" w:cstheme="majorHAnsi"/>
        </w:rPr>
        <w:t xml:space="preserve"> and qualified workers willing to work in-person</w:t>
      </w:r>
      <w:r w:rsidR="00557345" w:rsidRPr="001677C7">
        <w:rPr>
          <w:rFonts w:asciiTheme="majorHAnsi" w:hAnsiTheme="majorHAnsi" w:cstheme="majorHAnsi"/>
        </w:rPr>
        <w:t>.</w:t>
      </w:r>
      <w:r w:rsidR="002530CA" w:rsidRPr="001677C7">
        <w:rPr>
          <w:rFonts w:asciiTheme="majorHAnsi" w:hAnsiTheme="majorHAnsi" w:cstheme="majorHAnsi"/>
        </w:rPr>
        <w:t xml:space="preserve"> </w:t>
      </w:r>
      <w:r w:rsidR="00D26CCA" w:rsidRPr="001677C7">
        <w:rPr>
          <w:rFonts w:asciiTheme="majorHAnsi" w:hAnsiTheme="majorHAnsi" w:cstheme="majorHAnsi"/>
        </w:rPr>
        <w:t>Examples of comments are provided</w:t>
      </w:r>
      <w:r w:rsidR="002530CA" w:rsidRPr="001677C7">
        <w:rPr>
          <w:rFonts w:asciiTheme="majorHAnsi" w:hAnsiTheme="majorHAnsi" w:cstheme="majorHAnsi"/>
        </w:rPr>
        <w:t xml:space="preserve"> below:</w:t>
      </w:r>
    </w:p>
    <w:p w14:paraId="43EE9A42" w14:textId="36838FD5" w:rsidR="001677C7" w:rsidRPr="001677C7" w:rsidRDefault="00E640DF" w:rsidP="00355A95">
      <w:pPr>
        <w:spacing w:after="120" w:line="240" w:lineRule="auto"/>
        <w:ind w:left="180"/>
        <w:rPr>
          <w:rFonts w:asciiTheme="majorHAnsi" w:hAnsiTheme="majorHAnsi" w:cstheme="majorHAnsi"/>
          <w:sz w:val="24"/>
          <w:szCs w:val="24"/>
        </w:rPr>
      </w:pPr>
      <w:r>
        <w:rPr>
          <w:rFonts w:asciiTheme="majorHAnsi" w:hAnsiTheme="majorHAnsi" w:cstheme="majorHAnsi"/>
          <w:sz w:val="24"/>
          <w:szCs w:val="24"/>
        </w:rPr>
        <w:t>Increased use of AI:</w:t>
      </w:r>
    </w:p>
    <w:p w14:paraId="0408D10A" w14:textId="77777777" w:rsidR="003D16DE" w:rsidRPr="003D16DE" w:rsidRDefault="00FC3B48" w:rsidP="00F059F7">
      <w:pPr>
        <w:pStyle w:val="ListParagraph"/>
        <w:numPr>
          <w:ilvl w:val="0"/>
          <w:numId w:val="15"/>
        </w:numPr>
        <w:spacing w:after="120" w:line="240" w:lineRule="auto"/>
        <w:contextualSpacing w:val="0"/>
        <w:rPr>
          <w:rStyle w:val="Heading3Char"/>
          <w:rFonts w:eastAsiaTheme="minorHAnsi" w:cstheme="majorHAnsi"/>
          <w:i/>
          <w:iCs/>
          <w:color w:val="auto"/>
          <w:sz w:val="22"/>
          <w:szCs w:val="22"/>
        </w:rPr>
      </w:pPr>
      <w:r w:rsidRPr="00B12461">
        <w:rPr>
          <w:rFonts w:asciiTheme="majorHAnsi" w:hAnsiTheme="majorHAnsi" w:cstheme="majorHAnsi"/>
          <w:i/>
          <w:iCs/>
        </w:rPr>
        <w:t>“</w:t>
      </w:r>
      <w:r w:rsidR="00757328" w:rsidRPr="00757328">
        <w:rPr>
          <w:rFonts w:asciiTheme="majorHAnsi" w:hAnsiTheme="majorHAnsi" w:cstheme="majorHAnsi"/>
          <w:i/>
          <w:iCs/>
        </w:rPr>
        <w:t>Labor is easier to find. AI will replace a lot of labor in the next 3-5 years.</w:t>
      </w:r>
      <w:r w:rsidRPr="00B12461">
        <w:rPr>
          <w:rFonts w:asciiTheme="majorHAnsi" w:hAnsiTheme="majorHAnsi" w:cstheme="majorHAnsi"/>
          <w:i/>
          <w:iCs/>
        </w:rPr>
        <w:t>”</w:t>
      </w:r>
    </w:p>
    <w:p w14:paraId="78360100" w14:textId="1DE90187" w:rsidR="00F059F7" w:rsidRPr="003D16DE" w:rsidRDefault="003D16DE" w:rsidP="00355A95">
      <w:pPr>
        <w:spacing w:after="120" w:line="240" w:lineRule="auto"/>
        <w:ind w:left="180"/>
        <w:rPr>
          <w:rStyle w:val="Heading3Char"/>
          <w:rFonts w:eastAsiaTheme="minorHAnsi" w:cstheme="majorHAnsi"/>
          <w:i/>
          <w:iCs/>
          <w:color w:val="auto"/>
          <w:sz w:val="22"/>
          <w:szCs w:val="22"/>
        </w:rPr>
      </w:pPr>
      <w:r>
        <w:rPr>
          <w:rStyle w:val="Heading3Char"/>
          <w:rFonts w:cstheme="majorHAnsi"/>
          <w:color w:val="auto"/>
        </w:rPr>
        <w:br/>
      </w:r>
      <w:r w:rsidR="00E640DF" w:rsidRPr="003D16DE">
        <w:rPr>
          <w:rStyle w:val="Heading3Char"/>
          <w:rFonts w:cstheme="majorHAnsi"/>
          <w:color w:val="auto"/>
        </w:rPr>
        <w:t>Concern about tariffs:</w:t>
      </w:r>
      <w:r w:rsidR="00F059F7" w:rsidRPr="003D16DE">
        <w:rPr>
          <w:rStyle w:val="Heading3Char"/>
          <w:rFonts w:cstheme="majorHAnsi"/>
          <w:color w:val="auto"/>
        </w:rPr>
        <w:t xml:space="preserve"> </w:t>
      </w:r>
    </w:p>
    <w:p w14:paraId="0AB0197E" w14:textId="38CC6C3B" w:rsidR="00757328" w:rsidRPr="00757328" w:rsidRDefault="008C23B8" w:rsidP="00757328">
      <w:pPr>
        <w:pStyle w:val="ListParagraph"/>
        <w:numPr>
          <w:ilvl w:val="0"/>
          <w:numId w:val="15"/>
        </w:numPr>
        <w:spacing w:after="120"/>
        <w:rPr>
          <w:rFonts w:asciiTheme="majorHAnsi" w:hAnsiTheme="majorHAnsi" w:cstheme="majorHAnsi"/>
          <w:i/>
          <w:iCs/>
        </w:rPr>
      </w:pPr>
      <w:r>
        <w:rPr>
          <w:rFonts w:asciiTheme="majorHAnsi" w:hAnsiTheme="majorHAnsi" w:cstheme="majorHAnsi"/>
          <w:i/>
          <w:iCs/>
        </w:rPr>
        <w:t>“</w:t>
      </w:r>
      <w:r w:rsidR="00757328" w:rsidRPr="00757328">
        <w:rPr>
          <w:rFonts w:asciiTheme="majorHAnsi" w:hAnsiTheme="majorHAnsi" w:cstheme="majorHAnsi"/>
          <w:i/>
          <w:iCs/>
        </w:rPr>
        <w:t>Tariffs affect my input costs while reducing my export of higher value goods. Uncertainty about tariffs is</w:t>
      </w:r>
      <w:r w:rsidR="00757328">
        <w:rPr>
          <w:rFonts w:asciiTheme="majorHAnsi" w:hAnsiTheme="majorHAnsi" w:cstheme="majorHAnsi"/>
          <w:i/>
          <w:iCs/>
        </w:rPr>
        <w:t xml:space="preserve"> </w:t>
      </w:r>
      <w:r w:rsidR="00757328" w:rsidRPr="00757328">
        <w:rPr>
          <w:rFonts w:asciiTheme="majorHAnsi" w:hAnsiTheme="majorHAnsi" w:cstheme="majorHAnsi"/>
          <w:i/>
          <w:iCs/>
        </w:rPr>
        <w:t>very disruptive.</w:t>
      </w:r>
      <w:r>
        <w:rPr>
          <w:rFonts w:asciiTheme="majorHAnsi" w:hAnsiTheme="majorHAnsi" w:cstheme="majorHAnsi"/>
          <w:i/>
          <w:iCs/>
        </w:rPr>
        <w:t>”</w:t>
      </w:r>
    </w:p>
    <w:p w14:paraId="36C08CF0" w14:textId="4E944CAD" w:rsidR="00757328" w:rsidRPr="00757328" w:rsidRDefault="008C23B8" w:rsidP="0004679D">
      <w:pPr>
        <w:pStyle w:val="ListParagraph"/>
        <w:numPr>
          <w:ilvl w:val="0"/>
          <w:numId w:val="15"/>
        </w:numPr>
        <w:spacing w:after="120"/>
        <w:rPr>
          <w:rFonts w:asciiTheme="majorHAnsi" w:hAnsiTheme="majorHAnsi" w:cstheme="majorHAnsi"/>
          <w:i/>
          <w:iCs/>
        </w:rPr>
      </w:pPr>
      <w:r>
        <w:rPr>
          <w:rFonts w:asciiTheme="majorHAnsi" w:hAnsiTheme="majorHAnsi" w:cstheme="majorHAnsi"/>
          <w:i/>
          <w:iCs/>
        </w:rPr>
        <w:t>“</w:t>
      </w:r>
      <w:r w:rsidR="00757328" w:rsidRPr="00757328">
        <w:rPr>
          <w:rFonts w:asciiTheme="majorHAnsi" w:hAnsiTheme="majorHAnsi" w:cstheme="majorHAnsi"/>
          <w:i/>
          <w:iCs/>
        </w:rPr>
        <w:t>Tariffs and the turmoil caused by the current federal administration impact</w:t>
      </w:r>
      <w:r w:rsidR="00757328">
        <w:rPr>
          <w:rFonts w:asciiTheme="majorHAnsi" w:hAnsiTheme="majorHAnsi" w:cstheme="majorHAnsi"/>
          <w:i/>
          <w:iCs/>
        </w:rPr>
        <w:t xml:space="preserve"> </w:t>
      </w:r>
      <w:r w:rsidR="00757328" w:rsidRPr="00757328">
        <w:rPr>
          <w:rFonts w:asciiTheme="majorHAnsi" w:hAnsiTheme="majorHAnsi" w:cstheme="majorHAnsi"/>
          <w:i/>
          <w:iCs/>
        </w:rPr>
        <w:t>my clients directly. Some are</w:t>
      </w:r>
    </w:p>
    <w:p w14:paraId="305A70F7" w14:textId="0EEC5D5B" w:rsidR="00E640DF" w:rsidRDefault="00757328" w:rsidP="003D16DE">
      <w:pPr>
        <w:pStyle w:val="ListParagraph"/>
        <w:spacing w:after="120" w:line="240" w:lineRule="auto"/>
        <w:rPr>
          <w:rStyle w:val="Heading3Char"/>
          <w:rFonts w:eastAsiaTheme="minorHAnsi" w:cstheme="majorHAnsi"/>
          <w:i/>
          <w:iCs/>
          <w:color w:val="auto"/>
          <w:sz w:val="22"/>
          <w:szCs w:val="22"/>
        </w:rPr>
      </w:pPr>
      <w:r w:rsidRPr="00757328">
        <w:rPr>
          <w:rFonts w:asciiTheme="majorHAnsi" w:hAnsiTheme="majorHAnsi" w:cstheme="majorHAnsi"/>
          <w:i/>
          <w:iCs/>
        </w:rPr>
        <w:t>close to closing.</w:t>
      </w:r>
      <w:r w:rsidR="008C23B8">
        <w:rPr>
          <w:rFonts w:asciiTheme="majorHAnsi" w:hAnsiTheme="majorHAnsi" w:cstheme="majorHAnsi"/>
          <w:i/>
          <w:iCs/>
        </w:rPr>
        <w:t>”</w:t>
      </w:r>
    </w:p>
    <w:p w14:paraId="7375CC53" w14:textId="6282752C" w:rsidR="00E640DF" w:rsidRDefault="00E640DF" w:rsidP="00355A95">
      <w:pPr>
        <w:spacing w:after="120" w:line="240" w:lineRule="auto"/>
        <w:ind w:left="180"/>
        <w:rPr>
          <w:rStyle w:val="Heading3Char"/>
          <w:rFonts w:eastAsiaTheme="minorHAnsi" w:cstheme="majorHAnsi"/>
          <w:color w:val="auto"/>
        </w:rPr>
      </w:pPr>
      <w:r w:rsidRPr="007252FC">
        <w:rPr>
          <w:rStyle w:val="Heading3Char"/>
          <w:rFonts w:eastAsiaTheme="minorHAnsi" w:cstheme="majorHAnsi"/>
          <w:color w:val="auto"/>
        </w:rPr>
        <w:t>Lower consumer spending</w:t>
      </w:r>
      <w:r w:rsidR="00B251A5">
        <w:rPr>
          <w:rStyle w:val="Heading3Char"/>
          <w:rFonts w:eastAsiaTheme="minorHAnsi" w:cstheme="majorHAnsi"/>
          <w:color w:val="auto"/>
        </w:rPr>
        <w:t>, lower profits</w:t>
      </w:r>
      <w:r w:rsidRPr="007252FC">
        <w:rPr>
          <w:rStyle w:val="Heading3Char"/>
          <w:rFonts w:eastAsiaTheme="minorHAnsi" w:cstheme="majorHAnsi"/>
          <w:color w:val="auto"/>
        </w:rPr>
        <w:t>:</w:t>
      </w:r>
    </w:p>
    <w:p w14:paraId="202FE4A4" w14:textId="177A2BAC" w:rsidR="005B1903" w:rsidRDefault="005B1903" w:rsidP="005B1903">
      <w:pPr>
        <w:pStyle w:val="ListParagraph"/>
        <w:numPr>
          <w:ilvl w:val="0"/>
          <w:numId w:val="18"/>
        </w:numPr>
        <w:spacing w:after="120" w:line="240" w:lineRule="auto"/>
        <w:rPr>
          <w:rFonts w:asciiTheme="majorHAnsi" w:hAnsiTheme="majorHAnsi" w:cstheme="majorHAnsi"/>
          <w:i/>
          <w:iCs/>
        </w:rPr>
      </w:pPr>
      <w:r w:rsidRPr="005B1903">
        <w:rPr>
          <w:rFonts w:asciiTheme="majorHAnsi" w:hAnsiTheme="majorHAnsi" w:cstheme="majorHAnsi"/>
          <w:i/>
          <w:iCs/>
        </w:rPr>
        <w:t>People are sta</w:t>
      </w:r>
      <w:r w:rsidR="006F27DC">
        <w:rPr>
          <w:rFonts w:asciiTheme="majorHAnsi" w:hAnsiTheme="majorHAnsi" w:cstheme="majorHAnsi"/>
          <w:i/>
          <w:iCs/>
        </w:rPr>
        <w:t>rting</w:t>
      </w:r>
      <w:r w:rsidRPr="005B1903">
        <w:rPr>
          <w:rFonts w:asciiTheme="majorHAnsi" w:hAnsiTheme="majorHAnsi" w:cstheme="majorHAnsi"/>
          <w:i/>
          <w:iCs/>
        </w:rPr>
        <w:t xml:space="preserve"> to feel money tightening, which means my in-person sales for the holiday season will</w:t>
      </w:r>
    </w:p>
    <w:p w14:paraId="2AC379A0" w14:textId="1AC6E9ED" w:rsidR="00E640DF" w:rsidRDefault="005B1903" w:rsidP="00D34E50">
      <w:pPr>
        <w:pStyle w:val="ListParagraph"/>
        <w:spacing w:after="120" w:line="240" w:lineRule="auto"/>
        <w:rPr>
          <w:rFonts w:asciiTheme="majorHAnsi" w:hAnsiTheme="majorHAnsi" w:cstheme="majorHAnsi"/>
          <w:i/>
          <w:iCs/>
        </w:rPr>
      </w:pPr>
      <w:r w:rsidRPr="005B1903">
        <w:rPr>
          <w:rFonts w:asciiTheme="majorHAnsi" w:hAnsiTheme="majorHAnsi" w:cstheme="majorHAnsi"/>
          <w:i/>
          <w:iCs/>
        </w:rPr>
        <w:t>be lower while supply costs have been going up, which means income/profits will be down.</w:t>
      </w:r>
    </w:p>
    <w:p w14:paraId="5ACF0767" w14:textId="77777777" w:rsidR="00D34E50" w:rsidRPr="005B1903" w:rsidRDefault="00D34E50" w:rsidP="00D34E50">
      <w:pPr>
        <w:pStyle w:val="ListParagraph"/>
        <w:spacing w:after="120" w:line="240" w:lineRule="auto"/>
        <w:rPr>
          <w:rStyle w:val="Heading3Char"/>
          <w:rFonts w:eastAsiaTheme="minorHAnsi" w:cstheme="majorHAnsi"/>
          <w:i/>
          <w:iCs/>
          <w:color w:val="auto"/>
          <w:sz w:val="22"/>
          <w:szCs w:val="22"/>
        </w:rPr>
      </w:pPr>
    </w:p>
    <w:p w14:paraId="16AF087D" w14:textId="5CE0CEE1" w:rsidR="00757328" w:rsidRPr="007252FC" w:rsidRDefault="00E640DF" w:rsidP="00355A95">
      <w:pPr>
        <w:spacing w:after="120" w:line="240" w:lineRule="auto"/>
        <w:ind w:left="180"/>
        <w:rPr>
          <w:rFonts w:asciiTheme="majorHAnsi" w:hAnsiTheme="majorHAnsi" w:cstheme="majorHAnsi"/>
          <w:sz w:val="24"/>
          <w:szCs w:val="24"/>
        </w:rPr>
      </w:pPr>
      <w:r w:rsidRPr="007252FC">
        <w:rPr>
          <w:rStyle w:val="Heading3Char"/>
          <w:rFonts w:eastAsiaTheme="minorHAnsi" w:cstheme="majorHAnsi"/>
          <w:color w:val="auto"/>
        </w:rPr>
        <w:t>Need for apprentice programs</w:t>
      </w:r>
      <w:r w:rsidR="00343CBD">
        <w:rPr>
          <w:rStyle w:val="Heading3Char"/>
          <w:rFonts w:eastAsiaTheme="minorHAnsi" w:cstheme="majorHAnsi"/>
          <w:color w:val="auto"/>
        </w:rPr>
        <w:t xml:space="preserve"> and qualified employees</w:t>
      </w:r>
      <w:r w:rsidRPr="007252FC">
        <w:rPr>
          <w:rStyle w:val="Heading3Char"/>
          <w:rFonts w:eastAsiaTheme="minorHAnsi" w:cstheme="majorHAnsi"/>
          <w:color w:val="auto"/>
        </w:rPr>
        <w:t>:</w:t>
      </w:r>
    </w:p>
    <w:p w14:paraId="3152FF51" w14:textId="77777777" w:rsidR="0004679D" w:rsidRDefault="00757328" w:rsidP="0004679D">
      <w:pPr>
        <w:pStyle w:val="ListParagraph"/>
        <w:numPr>
          <w:ilvl w:val="0"/>
          <w:numId w:val="17"/>
        </w:numPr>
        <w:spacing w:after="120" w:line="240" w:lineRule="auto"/>
        <w:rPr>
          <w:rFonts w:asciiTheme="majorHAnsi" w:hAnsiTheme="majorHAnsi" w:cstheme="majorHAnsi"/>
          <w:i/>
          <w:iCs/>
        </w:rPr>
      </w:pPr>
      <w:r w:rsidRPr="00757328">
        <w:rPr>
          <w:rFonts w:asciiTheme="majorHAnsi" w:hAnsiTheme="majorHAnsi" w:cstheme="majorHAnsi"/>
          <w:i/>
          <w:iCs/>
        </w:rPr>
        <w:t>Apprentice programs needed. Too many young, educated people think they are so important with no</w:t>
      </w:r>
    </w:p>
    <w:p w14:paraId="6A908F77" w14:textId="77777777" w:rsidR="00343CBD" w:rsidRDefault="00757328" w:rsidP="00343CBD">
      <w:pPr>
        <w:pStyle w:val="ListParagraph"/>
        <w:spacing w:after="120" w:line="240" w:lineRule="auto"/>
        <w:rPr>
          <w:rFonts w:asciiTheme="majorHAnsi" w:hAnsiTheme="majorHAnsi" w:cstheme="majorHAnsi"/>
          <w:i/>
          <w:iCs/>
        </w:rPr>
      </w:pPr>
      <w:r w:rsidRPr="0004679D">
        <w:rPr>
          <w:rFonts w:asciiTheme="majorHAnsi" w:hAnsiTheme="majorHAnsi" w:cstheme="majorHAnsi"/>
          <w:i/>
          <w:iCs/>
        </w:rPr>
        <w:t>credibility.</w:t>
      </w:r>
    </w:p>
    <w:p w14:paraId="3056AF15" w14:textId="0A84A44B" w:rsidR="007C6BE2" w:rsidRPr="00355A95" w:rsidRDefault="00343CBD" w:rsidP="00706D70">
      <w:pPr>
        <w:pStyle w:val="ListParagraph"/>
        <w:numPr>
          <w:ilvl w:val="0"/>
          <w:numId w:val="17"/>
        </w:numPr>
        <w:spacing w:after="120" w:line="240" w:lineRule="auto"/>
        <w:rPr>
          <w:rFonts w:asciiTheme="majorHAnsi" w:hAnsiTheme="majorHAnsi" w:cstheme="majorHAnsi"/>
          <w:i/>
          <w:iCs/>
        </w:rPr>
      </w:pPr>
      <w:r w:rsidRPr="00343CBD">
        <w:rPr>
          <w:rFonts w:asciiTheme="majorHAnsi" w:hAnsiTheme="majorHAnsi" w:cstheme="majorHAnsi"/>
          <w:i/>
          <w:iCs/>
        </w:rPr>
        <w:t>I have been looking for licensed employees for over two years that are willing to work in the office – impossible to find!</w:t>
      </w:r>
      <w:r w:rsidR="00757328" w:rsidRPr="00343CBD">
        <w:rPr>
          <w:rStyle w:val="Heading3Char"/>
          <w:rFonts w:eastAsiaTheme="minorHAnsi" w:cstheme="majorHAnsi"/>
          <w:i/>
          <w:iCs/>
          <w:color w:val="auto"/>
          <w:sz w:val="22"/>
          <w:szCs w:val="22"/>
        </w:rPr>
        <w:br/>
      </w:r>
    </w:p>
    <w:sectPr w:rsidR="007C6BE2" w:rsidRPr="00355A95" w:rsidSect="00BE1B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B9B1F" w14:textId="77777777" w:rsidR="00A62D83" w:rsidRDefault="00A62D83" w:rsidP="00722892">
      <w:pPr>
        <w:spacing w:after="0" w:line="240" w:lineRule="auto"/>
      </w:pPr>
      <w:r>
        <w:separator/>
      </w:r>
    </w:p>
  </w:endnote>
  <w:endnote w:type="continuationSeparator" w:id="0">
    <w:p w14:paraId="0DEE6B2F" w14:textId="77777777" w:rsidR="00A62D83" w:rsidRDefault="00A62D83" w:rsidP="0072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0540" w14:textId="75922F64" w:rsidR="007623F0" w:rsidRDefault="00F01C86">
    <w:pPr>
      <w:pStyle w:val="Footer"/>
    </w:pPr>
    <w:r w:rsidRPr="00E96ED8">
      <w:rPr>
        <w:rFonts w:asciiTheme="majorHAnsi" w:hAnsiTheme="majorHAnsi" w:cstheme="majorHAnsi"/>
        <w:sz w:val="18"/>
        <w:szCs w:val="18"/>
      </w:rPr>
      <w:t>Prepared by the Economic Analysis Unit, Minnesota Department of Employment and Economic Development, July 2025.</w:t>
    </w:r>
    <w:r>
      <w:rPr>
        <w:rFonts w:asciiTheme="majorHAnsi" w:hAnsiTheme="majorHAnsi" w:cstheme="majorHAnsi"/>
        <w:sz w:val="18"/>
        <w:szCs w:val="18"/>
      </w:rPr>
      <w:t xml:space="preserve">                                        </w:t>
    </w:r>
    <w:r w:rsidRPr="00F01C86">
      <w:rPr>
        <w:rFonts w:asciiTheme="majorHAnsi" w:eastAsiaTheme="majorEastAsia" w:hAnsiTheme="majorHAnsi" w:cstheme="majorBidi"/>
        <w:sz w:val="20"/>
        <w:szCs w:val="20"/>
      </w:rPr>
      <w:t xml:space="preserve">pg. </w:t>
    </w:r>
    <w:r w:rsidRPr="00F01C86">
      <w:rPr>
        <w:rFonts w:eastAsiaTheme="minorEastAsia"/>
        <w:sz w:val="20"/>
        <w:szCs w:val="20"/>
      </w:rPr>
      <w:fldChar w:fldCharType="begin"/>
    </w:r>
    <w:r w:rsidRPr="00F01C86">
      <w:rPr>
        <w:sz w:val="20"/>
        <w:szCs w:val="20"/>
      </w:rPr>
      <w:instrText xml:space="preserve"> PAGE    \* MERGEFORMAT </w:instrText>
    </w:r>
    <w:r w:rsidRPr="00F01C86">
      <w:rPr>
        <w:rFonts w:eastAsiaTheme="minorEastAsia"/>
        <w:sz w:val="20"/>
        <w:szCs w:val="20"/>
      </w:rPr>
      <w:fldChar w:fldCharType="separate"/>
    </w:r>
    <w:r>
      <w:rPr>
        <w:rFonts w:eastAsiaTheme="minorEastAsia"/>
        <w:sz w:val="20"/>
        <w:szCs w:val="20"/>
      </w:rPr>
      <w:t>1</w:t>
    </w:r>
    <w:r w:rsidRPr="00F01C86">
      <w:rPr>
        <w:rFonts w:asciiTheme="majorHAnsi" w:eastAsiaTheme="majorEastAsia" w:hAnsiTheme="majorHAnsi" w:cstheme="majorBidi"/>
        <w:noProof/>
        <w:sz w:val="20"/>
        <w:szCs w:val="20"/>
      </w:rPr>
      <w:fldChar w:fldCharType="end"/>
    </w:r>
    <w:r w:rsidRPr="00E96ED8">
      <w:rPr>
        <w:rFonts w:asciiTheme="majorHAnsi" w:hAnsiTheme="majorHAnsi" w:cstheme="majorHAnsi"/>
        <w:sz w:val="18"/>
        <w:szCs w:val="18"/>
      </w:rPr>
      <w:br/>
    </w:r>
    <w:r w:rsidRPr="00F01C86">
      <w:rPr>
        <w:noProof/>
      </w:rPr>
      <mc:AlternateContent>
        <mc:Choice Requires="wps">
          <w:drawing>
            <wp:anchor distT="0" distB="0" distL="114300" distR="114300" simplePos="0" relativeHeight="251657216" behindDoc="0" locked="0" layoutInCell="1" allowOverlap="1" wp14:anchorId="5DF3F71B" wp14:editId="3D70B898">
              <wp:simplePos x="0" y="0"/>
              <wp:positionH relativeFrom="page">
                <wp:align>center</wp:align>
              </wp:positionH>
              <wp:positionV relativeFrom="page">
                <wp:align>center</wp:align>
              </wp:positionV>
              <wp:extent cx="7364730" cy="9528810"/>
              <wp:effectExtent l="0" t="0" r="26670" b="26670"/>
              <wp:wrapNone/>
              <wp:docPr id="452" name="Rectangle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255E07" id="Rectangle 247" o:spid="_x0000_s1026" alt="&quot;&quot;" style="position:absolute;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2E28" w14:textId="77777777" w:rsidR="00A62D83" w:rsidRDefault="00A62D83" w:rsidP="00722892">
      <w:pPr>
        <w:spacing w:after="0" w:line="240" w:lineRule="auto"/>
      </w:pPr>
      <w:r>
        <w:separator/>
      </w:r>
    </w:p>
  </w:footnote>
  <w:footnote w:type="continuationSeparator" w:id="0">
    <w:p w14:paraId="71C1E471" w14:textId="77777777" w:rsidR="00A62D83" w:rsidRDefault="00A62D83" w:rsidP="0072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861374"/>
      <w:docPartObj>
        <w:docPartGallery w:val="Watermarks"/>
        <w:docPartUnique/>
      </w:docPartObj>
    </w:sdtPr>
    <w:sdtEndPr/>
    <w:sdtContent>
      <w:p w14:paraId="16D97273" w14:textId="0C469E37" w:rsidR="007623F0" w:rsidRDefault="001950AE">
        <w:pPr>
          <w:pStyle w:val="Header"/>
        </w:pPr>
        <w:r>
          <w:rPr>
            <w:noProof/>
          </w:rPr>
          <w:pict w14:anchorId="545C8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36.8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97C"/>
    <w:multiLevelType w:val="hybridMultilevel"/>
    <w:tmpl w:val="C75E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9792C"/>
    <w:multiLevelType w:val="hybridMultilevel"/>
    <w:tmpl w:val="4F46C5A4"/>
    <w:lvl w:ilvl="0" w:tplc="7EC49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31618"/>
    <w:multiLevelType w:val="hybridMultilevel"/>
    <w:tmpl w:val="F544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1DDB"/>
    <w:multiLevelType w:val="hybridMultilevel"/>
    <w:tmpl w:val="A0AE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54002"/>
    <w:multiLevelType w:val="hybridMultilevel"/>
    <w:tmpl w:val="90360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10DA1"/>
    <w:multiLevelType w:val="hybridMultilevel"/>
    <w:tmpl w:val="B8CE587E"/>
    <w:lvl w:ilvl="0" w:tplc="C196342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2D4075"/>
    <w:multiLevelType w:val="hybridMultilevel"/>
    <w:tmpl w:val="77DE0E20"/>
    <w:lvl w:ilvl="0" w:tplc="FEC443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0424F"/>
    <w:multiLevelType w:val="hybridMultilevel"/>
    <w:tmpl w:val="7994C8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1A73C2"/>
    <w:multiLevelType w:val="hybridMultilevel"/>
    <w:tmpl w:val="C54C98A6"/>
    <w:lvl w:ilvl="0" w:tplc="710E8D2E">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9" w15:restartNumberingAfterBreak="0">
    <w:nsid w:val="37236F71"/>
    <w:multiLevelType w:val="hybridMultilevel"/>
    <w:tmpl w:val="FF00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D4C75"/>
    <w:multiLevelType w:val="hybridMultilevel"/>
    <w:tmpl w:val="D97AB74E"/>
    <w:lvl w:ilvl="0" w:tplc="593A9BF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229547C"/>
    <w:multiLevelType w:val="hybridMultilevel"/>
    <w:tmpl w:val="63AE7CF0"/>
    <w:lvl w:ilvl="0" w:tplc="16A4D1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D7A7D49"/>
    <w:multiLevelType w:val="hybridMultilevel"/>
    <w:tmpl w:val="6838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D1CBA"/>
    <w:multiLevelType w:val="hybridMultilevel"/>
    <w:tmpl w:val="A300D624"/>
    <w:lvl w:ilvl="0" w:tplc="A5702A80">
      <w:start w:val="1"/>
      <w:numFmt w:val="decimal"/>
      <w:lvlText w:val="(%1)"/>
      <w:lvlJc w:val="left"/>
      <w:pPr>
        <w:ind w:left="540" w:hanging="360"/>
      </w:pPr>
      <w:rPr>
        <w:rFonts w:asciiTheme="majorHAnsi" w:eastAsiaTheme="minorHAnsi" w:hAnsiTheme="majorHAnsi" w:cstheme="majorHAnsi"/>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2D14670"/>
    <w:multiLevelType w:val="hybridMultilevel"/>
    <w:tmpl w:val="421E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162D5"/>
    <w:multiLevelType w:val="hybridMultilevel"/>
    <w:tmpl w:val="2B5E2D2E"/>
    <w:lvl w:ilvl="0" w:tplc="18A02B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FFF4843"/>
    <w:multiLevelType w:val="hybridMultilevel"/>
    <w:tmpl w:val="CA0CEBC6"/>
    <w:lvl w:ilvl="0" w:tplc="EC82D616">
      <w:start w:val="1"/>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73B8360C"/>
    <w:multiLevelType w:val="hybridMultilevel"/>
    <w:tmpl w:val="AD0E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F19FF"/>
    <w:multiLevelType w:val="hybridMultilevel"/>
    <w:tmpl w:val="B11A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234575">
    <w:abstractNumId w:val="16"/>
  </w:num>
  <w:num w:numId="2" w16cid:durableId="1599874743">
    <w:abstractNumId w:val="6"/>
  </w:num>
  <w:num w:numId="3" w16cid:durableId="504369051">
    <w:abstractNumId w:val="1"/>
  </w:num>
  <w:num w:numId="4" w16cid:durableId="524097676">
    <w:abstractNumId w:val="5"/>
  </w:num>
  <w:num w:numId="5" w16cid:durableId="1271664004">
    <w:abstractNumId w:val="8"/>
  </w:num>
  <w:num w:numId="6" w16cid:durableId="458962367">
    <w:abstractNumId w:val="10"/>
  </w:num>
  <w:num w:numId="7" w16cid:durableId="1040591933">
    <w:abstractNumId w:val="15"/>
  </w:num>
  <w:num w:numId="8" w16cid:durableId="14239075">
    <w:abstractNumId w:val="11"/>
  </w:num>
  <w:num w:numId="9" w16cid:durableId="1956015422">
    <w:abstractNumId w:val="4"/>
  </w:num>
  <w:num w:numId="10" w16cid:durableId="571232976">
    <w:abstractNumId w:val="9"/>
  </w:num>
  <w:num w:numId="11" w16cid:durableId="1543593689">
    <w:abstractNumId w:val="0"/>
  </w:num>
  <w:num w:numId="12" w16cid:durableId="185947595">
    <w:abstractNumId w:val="2"/>
  </w:num>
  <w:num w:numId="13" w16cid:durableId="2010448324">
    <w:abstractNumId w:val="18"/>
  </w:num>
  <w:num w:numId="14" w16cid:durableId="2034768158">
    <w:abstractNumId w:val="7"/>
  </w:num>
  <w:num w:numId="15" w16cid:durableId="1430004808">
    <w:abstractNumId w:val="3"/>
  </w:num>
  <w:num w:numId="16" w16cid:durableId="897932056">
    <w:abstractNumId w:val="17"/>
  </w:num>
  <w:num w:numId="17" w16cid:durableId="2014409124">
    <w:abstractNumId w:val="14"/>
  </w:num>
  <w:num w:numId="18" w16cid:durableId="1801725916">
    <w:abstractNumId w:val="12"/>
  </w:num>
  <w:num w:numId="19" w16cid:durableId="1188565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FA"/>
    <w:rsid w:val="000045C4"/>
    <w:rsid w:val="000055EB"/>
    <w:rsid w:val="00005824"/>
    <w:rsid w:val="00006BCD"/>
    <w:rsid w:val="000102FA"/>
    <w:rsid w:val="00011BFB"/>
    <w:rsid w:val="0001747C"/>
    <w:rsid w:val="00020568"/>
    <w:rsid w:val="00022457"/>
    <w:rsid w:val="00023BB3"/>
    <w:rsid w:val="00024074"/>
    <w:rsid w:val="000241BD"/>
    <w:rsid w:val="00024AAD"/>
    <w:rsid w:val="00033FB0"/>
    <w:rsid w:val="00034A07"/>
    <w:rsid w:val="000358C0"/>
    <w:rsid w:val="0004259F"/>
    <w:rsid w:val="00043367"/>
    <w:rsid w:val="00043A3E"/>
    <w:rsid w:val="00043FE7"/>
    <w:rsid w:val="0004679D"/>
    <w:rsid w:val="00050E4D"/>
    <w:rsid w:val="000530CD"/>
    <w:rsid w:val="0005336B"/>
    <w:rsid w:val="000554FA"/>
    <w:rsid w:val="000631E3"/>
    <w:rsid w:val="00064F89"/>
    <w:rsid w:val="000715D1"/>
    <w:rsid w:val="00075333"/>
    <w:rsid w:val="00085CB5"/>
    <w:rsid w:val="000869BF"/>
    <w:rsid w:val="00093843"/>
    <w:rsid w:val="00097993"/>
    <w:rsid w:val="00097F32"/>
    <w:rsid w:val="000A0BC3"/>
    <w:rsid w:val="000A28AD"/>
    <w:rsid w:val="000A40DB"/>
    <w:rsid w:val="000A65D8"/>
    <w:rsid w:val="000B4D88"/>
    <w:rsid w:val="000B68D5"/>
    <w:rsid w:val="000B7992"/>
    <w:rsid w:val="000C04EE"/>
    <w:rsid w:val="000C107F"/>
    <w:rsid w:val="000C1BCF"/>
    <w:rsid w:val="000D1B53"/>
    <w:rsid w:val="000D43E7"/>
    <w:rsid w:val="000D53DE"/>
    <w:rsid w:val="000E61B5"/>
    <w:rsid w:val="000E746C"/>
    <w:rsid w:val="000F04F2"/>
    <w:rsid w:val="000F78D5"/>
    <w:rsid w:val="00100C21"/>
    <w:rsid w:val="00106485"/>
    <w:rsid w:val="001129DB"/>
    <w:rsid w:val="00113DB1"/>
    <w:rsid w:val="0011704A"/>
    <w:rsid w:val="001215A7"/>
    <w:rsid w:val="00125E73"/>
    <w:rsid w:val="00126400"/>
    <w:rsid w:val="0013508B"/>
    <w:rsid w:val="00137F8D"/>
    <w:rsid w:val="00137FFE"/>
    <w:rsid w:val="001406E5"/>
    <w:rsid w:val="00143B8B"/>
    <w:rsid w:val="00157FEC"/>
    <w:rsid w:val="0016078E"/>
    <w:rsid w:val="0016160D"/>
    <w:rsid w:val="00162471"/>
    <w:rsid w:val="001631FC"/>
    <w:rsid w:val="00164AE2"/>
    <w:rsid w:val="001667E5"/>
    <w:rsid w:val="001677C7"/>
    <w:rsid w:val="00167F1A"/>
    <w:rsid w:val="00170768"/>
    <w:rsid w:val="00174C4B"/>
    <w:rsid w:val="00174D79"/>
    <w:rsid w:val="001751AA"/>
    <w:rsid w:val="00183AE5"/>
    <w:rsid w:val="00184C69"/>
    <w:rsid w:val="00187BF3"/>
    <w:rsid w:val="001950AE"/>
    <w:rsid w:val="001A1D64"/>
    <w:rsid w:val="001A29CB"/>
    <w:rsid w:val="001A409D"/>
    <w:rsid w:val="001A70BD"/>
    <w:rsid w:val="001B421E"/>
    <w:rsid w:val="001C0F02"/>
    <w:rsid w:val="001C1605"/>
    <w:rsid w:val="001C7F52"/>
    <w:rsid w:val="001D0139"/>
    <w:rsid w:val="001D0365"/>
    <w:rsid w:val="001D1D2A"/>
    <w:rsid w:val="001D21C4"/>
    <w:rsid w:val="001D280C"/>
    <w:rsid w:val="001D53EC"/>
    <w:rsid w:val="001D592F"/>
    <w:rsid w:val="001D69C4"/>
    <w:rsid w:val="001D73C8"/>
    <w:rsid w:val="001D7C7A"/>
    <w:rsid w:val="001E553C"/>
    <w:rsid w:val="001F1B8F"/>
    <w:rsid w:val="001F26CC"/>
    <w:rsid w:val="001F3A8F"/>
    <w:rsid w:val="00200309"/>
    <w:rsid w:val="002054F5"/>
    <w:rsid w:val="002065A8"/>
    <w:rsid w:val="00210DD4"/>
    <w:rsid w:val="00216C92"/>
    <w:rsid w:val="00225875"/>
    <w:rsid w:val="002274F7"/>
    <w:rsid w:val="00230B50"/>
    <w:rsid w:val="0023223B"/>
    <w:rsid w:val="0023388B"/>
    <w:rsid w:val="00234F93"/>
    <w:rsid w:val="00241335"/>
    <w:rsid w:val="00243472"/>
    <w:rsid w:val="0024440C"/>
    <w:rsid w:val="00245A31"/>
    <w:rsid w:val="0025036B"/>
    <w:rsid w:val="002515D8"/>
    <w:rsid w:val="002521C5"/>
    <w:rsid w:val="002530CA"/>
    <w:rsid w:val="00253C7F"/>
    <w:rsid w:val="002548E2"/>
    <w:rsid w:val="00254E20"/>
    <w:rsid w:val="00273A9B"/>
    <w:rsid w:val="00273DC2"/>
    <w:rsid w:val="00276903"/>
    <w:rsid w:val="00277905"/>
    <w:rsid w:val="00280798"/>
    <w:rsid w:val="00286A99"/>
    <w:rsid w:val="002903AB"/>
    <w:rsid w:val="00293201"/>
    <w:rsid w:val="002934A2"/>
    <w:rsid w:val="00293720"/>
    <w:rsid w:val="0029491D"/>
    <w:rsid w:val="00297604"/>
    <w:rsid w:val="002A39E0"/>
    <w:rsid w:val="002A419E"/>
    <w:rsid w:val="002A4627"/>
    <w:rsid w:val="002A54B0"/>
    <w:rsid w:val="002B3361"/>
    <w:rsid w:val="002B4C24"/>
    <w:rsid w:val="002C1301"/>
    <w:rsid w:val="002C1382"/>
    <w:rsid w:val="002C48DC"/>
    <w:rsid w:val="002C5461"/>
    <w:rsid w:val="002C5528"/>
    <w:rsid w:val="002C784F"/>
    <w:rsid w:val="002D0B5A"/>
    <w:rsid w:val="002D2D7B"/>
    <w:rsid w:val="002D4D64"/>
    <w:rsid w:val="002D79EA"/>
    <w:rsid w:val="002E4C76"/>
    <w:rsid w:val="002E5113"/>
    <w:rsid w:val="002E60AC"/>
    <w:rsid w:val="002F1C66"/>
    <w:rsid w:val="002F5202"/>
    <w:rsid w:val="00301F8E"/>
    <w:rsid w:val="00304A04"/>
    <w:rsid w:val="00305097"/>
    <w:rsid w:val="003058BA"/>
    <w:rsid w:val="00306462"/>
    <w:rsid w:val="00311521"/>
    <w:rsid w:val="00311D39"/>
    <w:rsid w:val="00312007"/>
    <w:rsid w:val="00316A4C"/>
    <w:rsid w:val="00331D5A"/>
    <w:rsid w:val="003349C7"/>
    <w:rsid w:val="00336759"/>
    <w:rsid w:val="003368D3"/>
    <w:rsid w:val="0033727A"/>
    <w:rsid w:val="00337ABD"/>
    <w:rsid w:val="00341B86"/>
    <w:rsid w:val="00343CBD"/>
    <w:rsid w:val="00346D0D"/>
    <w:rsid w:val="00351D14"/>
    <w:rsid w:val="00351D1F"/>
    <w:rsid w:val="003549BF"/>
    <w:rsid w:val="00355A95"/>
    <w:rsid w:val="00355F92"/>
    <w:rsid w:val="003617E5"/>
    <w:rsid w:val="00364DC4"/>
    <w:rsid w:val="00367060"/>
    <w:rsid w:val="00370FCA"/>
    <w:rsid w:val="0037361F"/>
    <w:rsid w:val="00373ED3"/>
    <w:rsid w:val="003774CD"/>
    <w:rsid w:val="003774EE"/>
    <w:rsid w:val="003809EF"/>
    <w:rsid w:val="00380DCC"/>
    <w:rsid w:val="003844D4"/>
    <w:rsid w:val="003900CA"/>
    <w:rsid w:val="00391761"/>
    <w:rsid w:val="00391C69"/>
    <w:rsid w:val="00392665"/>
    <w:rsid w:val="00393696"/>
    <w:rsid w:val="003940AF"/>
    <w:rsid w:val="003942C0"/>
    <w:rsid w:val="00396DC1"/>
    <w:rsid w:val="00397E22"/>
    <w:rsid w:val="003A5A17"/>
    <w:rsid w:val="003A6906"/>
    <w:rsid w:val="003A765D"/>
    <w:rsid w:val="003B032B"/>
    <w:rsid w:val="003B0396"/>
    <w:rsid w:val="003B1478"/>
    <w:rsid w:val="003B5D7E"/>
    <w:rsid w:val="003B62B0"/>
    <w:rsid w:val="003B7BDF"/>
    <w:rsid w:val="003C059D"/>
    <w:rsid w:val="003C657C"/>
    <w:rsid w:val="003D16DE"/>
    <w:rsid w:val="003D4460"/>
    <w:rsid w:val="003D64AC"/>
    <w:rsid w:val="003E0958"/>
    <w:rsid w:val="003E3664"/>
    <w:rsid w:val="003E5789"/>
    <w:rsid w:val="003F33BB"/>
    <w:rsid w:val="003F46AE"/>
    <w:rsid w:val="003F4F11"/>
    <w:rsid w:val="003F5F27"/>
    <w:rsid w:val="003F62BE"/>
    <w:rsid w:val="00401D67"/>
    <w:rsid w:val="00405496"/>
    <w:rsid w:val="004101B2"/>
    <w:rsid w:val="00411327"/>
    <w:rsid w:val="0041352F"/>
    <w:rsid w:val="00413D79"/>
    <w:rsid w:val="0041490E"/>
    <w:rsid w:val="004149D6"/>
    <w:rsid w:val="0041750B"/>
    <w:rsid w:val="004211C2"/>
    <w:rsid w:val="00421E6F"/>
    <w:rsid w:val="004262DB"/>
    <w:rsid w:val="00427A28"/>
    <w:rsid w:val="0043194C"/>
    <w:rsid w:val="004327B3"/>
    <w:rsid w:val="00433858"/>
    <w:rsid w:val="00437F33"/>
    <w:rsid w:val="00444DF2"/>
    <w:rsid w:val="004451ED"/>
    <w:rsid w:val="0044654E"/>
    <w:rsid w:val="00450302"/>
    <w:rsid w:val="00450BEA"/>
    <w:rsid w:val="004544B0"/>
    <w:rsid w:val="00457917"/>
    <w:rsid w:val="00461BEB"/>
    <w:rsid w:val="004662B5"/>
    <w:rsid w:val="00471F42"/>
    <w:rsid w:val="004770F3"/>
    <w:rsid w:val="004861F4"/>
    <w:rsid w:val="00487342"/>
    <w:rsid w:val="00487B40"/>
    <w:rsid w:val="004902DC"/>
    <w:rsid w:val="0049058E"/>
    <w:rsid w:val="0049334A"/>
    <w:rsid w:val="0049521D"/>
    <w:rsid w:val="004962E4"/>
    <w:rsid w:val="004968AC"/>
    <w:rsid w:val="004A0929"/>
    <w:rsid w:val="004A2AE1"/>
    <w:rsid w:val="004A770C"/>
    <w:rsid w:val="004B0E5A"/>
    <w:rsid w:val="004B4F77"/>
    <w:rsid w:val="004C194A"/>
    <w:rsid w:val="004C227D"/>
    <w:rsid w:val="004C358F"/>
    <w:rsid w:val="004C508D"/>
    <w:rsid w:val="004C7DDB"/>
    <w:rsid w:val="004D0F62"/>
    <w:rsid w:val="004D5B1E"/>
    <w:rsid w:val="004E068C"/>
    <w:rsid w:val="004E07AA"/>
    <w:rsid w:val="004E12F2"/>
    <w:rsid w:val="004E3C39"/>
    <w:rsid w:val="004E5601"/>
    <w:rsid w:val="004E7D1F"/>
    <w:rsid w:val="004F0B64"/>
    <w:rsid w:val="004F6209"/>
    <w:rsid w:val="004F7772"/>
    <w:rsid w:val="00500E37"/>
    <w:rsid w:val="0050177E"/>
    <w:rsid w:val="00502AAA"/>
    <w:rsid w:val="0051195F"/>
    <w:rsid w:val="005174B1"/>
    <w:rsid w:val="00520911"/>
    <w:rsid w:val="005212B3"/>
    <w:rsid w:val="005252B0"/>
    <w:rsid w:val="00531B2D"/>
    <w:rsid w:val="00531B4E"/>
    <w:rsid w:val="00532ED4"/>
    <w:rsid w:val="00533104"/>
    <w:rsid w:val="00534421"/>
    <w:rsid w:val="00540208"/>
    <w:rsid w:val="005432B6"/>
    <w:rsid w:val="00543B8E"/>
    <w:rsid w:val="00544853"/>
    <w:rsid w:val="0054566A"/>
    <w:rsid w:val="00550643"/>
    <w:rsid w:val="00551665"/>
    <w:rsid w:val="0055275A"/>
    <w:rsid w:val="005546DD"/>
    <w:rsid w:val="00554B61"/>
    <w:rsid w:val="00557345"/>
    <w:rsid w:val="00557A6D"/>
    <w:rsid w:val="00557CBF"/>
    <w:rsid w:val="00560167"/>
    <w:rsid w:val="00562E29"/>
    <w:rsid w:val="00563908"/>
    <w:rsid w:val="00565C48"/>
    <w:rsid w:val="00567732"/>
    <w:rsid w:val="00570E41"/>
    <w:rsid w:val="00573D29"/>
    <w:rsid w:val="00580687"/>
    <w:rsid w:val="00584451"/>
    <w:rsid w:val="0058515D"/>
    <w:rsid w:val="005A18F0"/>
    <w:rsid w:val="005A24D4"/>
    <w:rsid w:val="005A2834"/>
    <w:rsid w:val="005A2A3B"/>
    <w:rsid w:val="005A45F6"/>
    <w:rsid w:val="005A548A"/>
    <w:rsid w:val="005B1903"/>
    <w:rsid w:val="005B2A68"/>
    <w:rsid w:val="005B6565"/>
    <w:rsid w:val="005B6BED"/>
    <w:rsid w:val="005C0002"/>
    <w:rsid w:val="005C1437"/>
    <w:rsid w:val="005C3801"/>
    <w:rsid w:val="005C5C85"/>
    <w:rsid w:val="005C6060"/>
    <w:rsid w:val="005D05C5"/>
    <w:rsid w:val="005D08DD"/>
    <w:rsid w:val="005D1520"/>
    <w:rsid w:val="005D1ED1"/>
    <w:rsid w:val="005D309D"/>
    <w:rsid w:val="005D4168"/>
    <w:rsid w:val="005E211A"/>
    <w:rsid w:val="005F0E3F"/>
    <w:rsid w:val="005F308E"/>
    <w:rsid w:val="005F3E68"/>
    <w:rsid w:val="005F70D1"/>
    <w:rsid w:val="00600575"/>
    <w:rsid w:val="00600B2A"/>
    <w:rsid w:val="00607414"/>
    <w:rsid w:val="00607C94"/>
    <w:rsid w:val="00607EBE"/>
    <w:rsid w:val="00620B4D"/>
    <w:rsid w:val="00623F4F"/>
    <w:rsid w:val="00624969"/>
    <w:rsid w:val="00627309"/>
    <w:rsid w:val="00630809"/>
    <w:rsid w:val="006309E6"/>
    <w:rsid w:val="0063228F"/>
    <w:rsid w:val="006327BB"/>
    <w:rsid w:val="0063644F"/>
    <w:rsid w:val="006449F7"/>
    <w:rsid w:val="00645D99"/>
    <w:rsid w:val="00647EAA"/>
    <w:rsid w:val="0065167F"/>
    <w:rsid w:val="0065730A"/>
    <w:rsid w:val="00663EC0"/>
    <w:rsid w:val="00671D12"/>
    <w:rsid w:val="006720E4"/>
    <w:rsid w:val="006721EC"/>
    <w:rsid w:val="00680156"/>
    <w:rsid w:val="0068320C"/>
    <w:rsid w:val="00684EC5"/>
    <w:rsid w:val="00691B89"/>
    <w:rsid w:val="00693A1B"/>
    <w:rsid w:val="00695A9E"/>
    <w:rsid w:val="006A1085"/>
    <w:rsid w:val="006A31D0"/>
    <w:rsid w:val="006A35A3"/>
    <w:rsid w:val="006A387C"/>
    <w:rsid w:val="006A3B8F"/>
    <w:rsid w:val="006A4A5C"/>
    <w:rsid w:val="006A58DB"/>
    <w:rsid w:val="006B0B3E"/>
    <w:rsid w:val="006B28F7"/>
    <w:rsid w:val="006B3637"/>
    <w:rsid w:val="006B6F5E"/>
    <w:rsid w:val="006B6FD4"/>
    <w:rsid w:val="006C0581"/>
    <w:rsid w:val="006C42B8"/>
    <w:rsid w:val="006C4619"/>
    <w:rsid w:val="006C6700"/>
    <w:rsid w:val="006C6FD3"/>
    <w:rsid w:val="006D2EAD"/>
    <w:rsid w:val="006D3563"/>
    <w:rsid w:val="006D3B3F"/>
    <w:rsid w:val="006D66E0"/>
    <w:rsid w:val="006E22FD"/>
    <w:rsid w:val="006E291A"/>
    <w:rsid w:val="006E32FB"/>
    <w:rsid w:val="006E3F3F"/>
    <w:rsid w:val="006F1451"/>
    <w:rsid w:val="006F2329"/>
    <w:rsid w:val="006F27DC"/>
    <w:rsid w:val="006F3FF0"/>
    <w:rsid w:val="006F6BE5"/>
    <w:rsid w:val="006F7EFC"/>
    <w:rsid w:val="00701D15"/>
    <w:rsid w:val="00702D96"/>
    <w:rsid w:val="0070375F"/>
    <w:rsid w:val="0070546F"/>
    <w:rsid w:val="00706D70"/>
    <w:rsid w:val="00707352"/>
    <w:rsid w:val="007075DF"/>
    <w:rsid w:val="007145B2"/>
    <w:rsid w:val="007171B2"/>
    <w:rsid w:val="00717DF3"/>
    <w:rsid w:val="00722892"/>
    <w:rsid w:val="00722B61"/>
    <w:rsid w:val="007242C5"/>
    <w:rsid w:val="007242DF"/>
    <w:rsid w:val="00724A78"/>
    <w:rsid w:val="007252FC"/>
    <w:rsid w:val="00725454"/>
    <w:rsid w:val="00726C57"/>
    <w:rsid w:val="0073212E"/>
    <w:rsid w:val="00742BA0"/>
    <w:rsid w:val="00747776"/>
    <w:rsid w:val="00751AC5"/>
    <w:rsid w:val="00752148"/>
    <w:rsid w:val="00755DCE"/>
    <w:rsid w:val="00757328"/>
    <w:rsid w:val="007579D5"/>
    <w:rsid w:val="007623F0"/>
    <w:rsid w:val="00763741"/>
    <w:rsid w:val="00765A76"/>
    <w:rsid w:val="00765F50"/>
    <w:rsid w:val="00771521"/>
    <w:rsid w:val="00773568"/>
    <w:rsid w:val="007750EE"/>
    <w:rsid w:val="00781E6E"/>
    <w:rsid w:val="00783BB1"/>
    <w:rsid w:val="00784346"/>
    <w:rsid w:val="0078601C"/>
    <w:rsid w:val="007874B0"/>
    <w:rsid w:val="0079369A"/>
    <w:rsid w:val="00796D27"/>
    <w:rsid w:val="00796F89"/>
    <w:rsid w:val="007A0B75"/>
    <w:rsid w:val="007A0E8F"/>
    <w:rsid w:val="007A7E3D"/>
    <w:rsid w:val="007B16BB"/>
    <w:rsid w:val="007B1F27"/>
    <w:rsid w:val="007B5927"/>
    <w:rsid w:val="007B6783"/>
    <w:rsid w:val="007C0321"/>
    <w:rsid w:val="007C2216"/>
    <w:rsid w:val="007C3754"/>
    <w:rsid w:val="007C3F5F"/>
    <w:rsid w:val="007C629F"/>
    <w:rsid w:val="007C6BE2"/>
    <w:rsid w:val="007C73EE"/>
    <w:rsid w:val="007C7CDC"/>
    <w:rsid w:val="007D0758"/>
    <w:rsid w:val="007D253F"/>
    <w:rsid w:val="007D3DE8"/>
    <w:rsid w:val="007D4E5D"/>
    <w:rsid w:val="007D58C4"/>
    <w:rsid w:val="007D7CFA"/>
    <w:rsid w:val="007E1626"/>
    <w:rsid w:val="007E2463"/>
    <w:rsid w:val="007E666B"/>
    <w:rsid w:val="007F61A9"/>
    <w:rsid w:val="008051D0"/>
    <w:rsid w:val="00810157"/>
    <w:rsid w:val="0081166C"/>
    <w:rsid w:val="00811679"/>
    <w:rsid w:val="00811D30"/>
    <w:rsid w:val="00811F07"/>
    <w:rsid w:val="00813AE8"/>
    <w:rsid w:val="00814ED5"/>
    <w:rsid w:val="00814F86"/>
    <w:rsid w:val="0081524D"/>
    <w:rsid w:val="0081643D"/>
    <w:rsid w:val="00820241"/>
    <w:rsid w:val="00821778"/>
    <w:rsid w:val="00824A46"/>
    <w:rsid w:val="00824ECD"/>
    <w:rsid w:val="00825F3C"/>
    <w:rsid w:val="00827FE0"/>
    <w:rsid w:val="00830783"/>
    <w:rsid w:val="00831B82"/>
    <w:rsid w:val="00835E20"/>
    <w:rsid w:val="00836269"/>
    <w:rsid w:val="00837FC5"/>
    <w:rsid w:val="0084020D"/>
    <w:rsid w:val="0084634F"/>
    <w:rsid w:val="00846A5F"/>
    <w:rsid w:val="00852CCC"/>
    <w:rsid w:val="00853F8F"/>
    <w:rsid w:val="00855892"/>
    <w:rsid w:val="0086126B"/>
    <w:rsid w:val="008616AD"/>
    <w:rsid w:val="00866AE5"/>
    <w:rsid w:val="00873CE5"/>
    <w:rsid w:val="008750F7"/>
    <w:rsid w:val="00875E22"/>
    <w:rsid w:val="00877E2D"/>
    <w:rsid w:val="00877E6A"/>
    <w:rsid w:val="00881C43"/>
    <w:rsid w:val="00885C46"/>
    <w:rsid w:val="0089134A"/>
    <w:rsid w:val="008917AD"/>
    <w:rsid w:val="0089194E"/>
    <w:rsid w:val="008930DA"/>
    <w:rsid w:val="00895160"/>
    <w:rsid w:val="008959F9"/>
    <w:rsid w:val="0089607A"/>
    <w:rsid w:val="00897DC0"/>
    <w:rsid w:val="00897FBF"/>
    <w:rsid w:val="008A0661"/>
    <w:rsid w:val="008A3B5D"/>
    <w:rsid w:val="008A5913"/>
    <w:rsid w:val="008A5EF8"/>
    <w:rsid w:val="008A7529"/>
    <w:rsid w:val="008A7855"/>
    <w:rsid w:val="008A7B58"/>
    <w:rsid w:val="008B00D4"/>
    <w:rsid w:val="008B2E6E"/>
    <w:rsid w:val="008B388C"/>
    <w:rsid w:val="008C020B"/>
    <w:rsid w:val="008C0851"/>
    <w:rsid w:val="008C23B8"/>
    <w:rsid w:val="008C387B"/>
    <w:rsid w:val="008C456D"/>
    <w:rsid w:val="008C578B"/>
    <w:rsid w:val="008C6664"/>
    <w:rsid w:val="008C6794"/>
    <w:rsid w:val="008C7C93"/>
    <w:rsid w:val="008D19EB"/>
    <w:rsid w:val="008D3F64"/>
    <w:rsid w:val="008D6DDD"/>
    <w:rsid w:val="008E015A"/>
    <w:rsid w:val="008E6BAE"/>
    <w:rsid w:val="008E759A"/>
    <w:rsid w:val="008E7E58"/>
    <w:rsid w:val="008F3AB3"/>
    <w:rsid w:val="00901283"/>
    <w:rsid w:val="00902FE2"/>
    <w:rsid w:val="00911DAA"/>
    <w:rsid w:val="0091534A"/>
    <w:rsid w:val="009163D7"/>
    <w:rsid w:val="00930E4B"/>
    <w:rsid w:val="00932E94"/>
    <w:rsid w:val="0093301B"/>
    <w:rsid w:val="0093302A"/>
    <w:rsid w:val="009330AF"/>
    <w:rsid w:val="00933559"/>
    <w:rsid w:val="009371C0"/>
    <w:rsid w:val="00937B6C"/>
    <w:rsid w:val="00941384"/>
    <w:rsid w:val="0094164D"/>
    <w:rsid w:val="0094434C"/>
    <w:rsid w:val="009468D5"/>
    <w:rsid w:val="00950C40"/>
    <w:rsid w:val="00952E63"/>
    <w:rsid w:val="00955E99"/>
    <w:rsid w:val="0095690F"/>
    <w:rsid w:val="00957C8C"/>
    <w:rsid w:val="00961887"/>
    <w:rsid w:val="00962F4E"/>
    <w:rsid w:val="00962FBB"/>
    <w:rsid w:val="009674FC"/>
    <w:rsid w:val="009713A3"/>
    <w:rsid w:val="00971DC5"/>
    <w:rsid w:val="00972D5C"/>
    <w:rsid w:val="009768AE"/>
    <w:rsid w:val="00977599"/>
    <w:rsid w:val="009845AF"/>
    <w:rsid w:val="00987EC0"/>
    <w:rsid w:val="00990882"/>
    <w:rsid w:val="00992D22"/>
    <w:rsid w:val="00994B7A"/>
    <w:rsid w:val="00995CB9"/>
    <w:rsid w:val="009969EB"/>
    <w:rsid w:val="00997791"/>
    <w:rsid w:val="009A0736"/>
    <w:rsid w:val="009A1954"/>
    <w:rsid w:val="009A1D8F"/>
    <w:rsid w:val="009A7E27"/>
    <w:rsid w:val="009B038B"/>
    <w:rsid w:val="009B07B0"/>
    <w:rsid w:val="009B1E5D"/>
    <w:rsid w:val="009B3DF5"/>
    <w:rsid w:val="009B4D63"/>
    <w:rsid w:val="009B7995"/>
    <w:rsid w:val="009B7A08"/>
    <w:rsid w:val="009C5EDC"/>
    <w:rsid w:val="009C6A64"/>
    <w:rsid w:val="009D2102"/>
    <w:rsid w:val="009D2313"/>
    <w:rsid w:val="009D6A9C"/>
    <w:rsid w:val="009D720D"/>
    <w:rsid w:val="009E21D1"/>
    <w:rsid w:val="009E27C5"/>
    <w:rsid w:val="009E4192"/>
    <w:rsid w:val="009E438F"/>
    <w:rsid w:val="009F13ED"/>
    <w:rsid w:val="009F14B6"/>
    <w:rsid w:val="009F26AA"/>
    <w:rsid w:val="009F4448"/>
    <w:rsid w:val="009F50B1"/>
    <w:rsid w:val="009F568F"/>
    <w:rsid w:val="00A059E2"/>
    <w:rsid w:val="00A121AF"/>
    <w:rsid w:val="00A15573"/>
    <w:rsid w:val="00A21628"/>
    <w:rsid w:val="00A257DB"/>
    <w:rsid w:val="00A2646F"/>
    <w:rsid w:val="00A2685D"/>
    <w:rsid w:val="00A31665"/>
    <w:rsid w:val="00A319A9"/>
    <w:rsid w:val="00A4090C"/>
    <w:rsid w:val="00A41AC1"/>
    <w:rsid w:val="00A43276"/>
    <w:rsid w:val="00A448E3"/>
    <w:rsid w:val="00A47279"/>
    <w:rsid w:val="00A47862"/>
    <w:rsid w:val="00A516F3"/>
    <w:rsid w:val="00A53568"/>
    <w:rsid w:val="00A53866"/>
    <w:rsid w:val="00A561F7"/>
    <w:rsid w:val="00A56C78"/>
    <w:rsid w:val="00A573B1"/>
    <w:rsid w:val="00A62D83"/>
    <w:rsid w:val="00A66699"/>
    <w:rsid w:val="00A67406"/>
    <w:rsid w:val="00A67896"/>
    <w:rsid w:val="00A7075E"/>
    <w:rsid w:val="00A70BA3"/>
    <w:rsid w:val="00A72C89"/>
    <w:rsid w:val="00A80F35"/>
    <w:rsid w:val="00A82DA5"/>
    <w:rsid w:val="00A87222"/>
    <w:rsid w:val="00A902A5"/>
    <w:rsid w:val="00A908BB"/>
    <w:rsid w:val="00A93D1C"/>
    <w:rsid w:val="00A948BD"/>
    <w:rsid w:val="00A94D17"/>
    <w:rsid w:val="00A979C6"/>
    <w:rsid w:val="00A97C01"/>
    <w:rsid w:val="00AB54BD"/>
    <w:rsid w:val="00AB6F70"/>
    <w:rsid w:val="00AC5782"/>
    <w:rsid w:val="00AC6BEA"/>
    <w:rsid w:val="00AC7A68"/>
    <w:rsid w:val="00AC7D07"/>
    <w:rsid w:val="00AD00D1"/>
    <w:rsid w:val="00AD09F0"/>
    <w:rsid w:val="00AD2C42"/>
    <w:rsid w:val="00AD38E8"/>
    <w:rsid w:val="00AD5AC2"/>
    <w:rsid w:val="00AD5C32"/>
    <w:rsid w:val="00AD70A4"/>
    <w:rsid w:val="00AE0EFF"/>
    <w:rsid w:val="00AE1B73"/>
    <w:rsid w:val="00AE5AA1"/>
    <w:rsid w:val="00AF157E"/>
    <w:rsid w:val="00AF5CB2"/>
    <w:rsid w:val="00B013CA"/>
    <w:rsid w:val="00B0174D"/>
    <w:rsid w:val="00B033A6"/>
    <w:rsid w:val="00B067BF"/>
    <w:rsid w:val="00B06F44"/>
    <w:rsid w:val="00B07173"/>
    <w:rsid w:val="00B073F1"/>
    <w:rsid w:val="00B12461"/>
    <w:rsid w:val="00B172A1"/>
    <w:rsid w:val="00B20EAA"/>
    <w:rsid w:val="00B22064"/>
    <w:rsid w:val="00B22FAE"/>
    <w:rsid w:val="00B23F59"/>
    <w:rsid w:val="00B251A5"/>
    <w:rsid w:val="00B3278D"/>
    <w:rsid w:val="00B350D2"/>
    <w:rsid w:val="00B35C01"/>
    <w:rsid w:val="00B374B3"/>
    <w:rsid w:val="00B37696"/>
    <w:rsid w:val="00B3790C"/>
    <w:rsid w:val="00B4100B"/>
    <w:rsid w:val="00B42CDA"/>
    <w:rsid w:val="00B42CEB"/>
    <w:rsid w:val="00B503D5"/>
    <w:rsid w:val="00B55105"/>
    <w:rsid w:val="00B56B3F"/>
    <w:rsid w:val="00B66A95"/>
    <w:rsid w:val="00B717E9"/>
    <w:rsid w:val="00B76A86"/>
    <w:rsid w:val="00B76C4D"/>
    <w:rsid w:val="00B81B7A"/>
    <w:rsid w:val="00B8301F"/>
    <w:rsid w:val="00B8390B"/>
    <w:rsid w:val="00B86180"/>
    <w:rsid w:val="00B86E7E"/>
    <w:rsid w:val="00B90F9D"/>
    <w:rsid w:val="00B92C2A"/>
    <w:rsid w:val="00BA1C65"/>
    <w:rsid w:val="00BA5968"/>
    <w:rsid w:val="00BB4D26"/>
    <w:rsid w:val="00BC0C4D"/>
    <w:rsid w:val="00BC265F"/>
    <w:rsid w:val="00BC2BDF"/>
    <w:rsid w:val="00BC5DD8"/>
    <w:rsid w:val="00BD5061"/>
    <w:rsid w:val="00BD7419"/>
    <w:rsid w:val="00BE0702"/>
    <w:rsid w:val="00BE1B88"/>
    <w:rsid w:val="00BE319F"/>
    <w:rsid w:val="00BE3E10"/>
    <w:rsid w:val="00BE474F"/>
    <w:rsid w:val="00BE7561"/>
    <w:rsid w:val="00BF2600"/>
    <w:rsid w:val="00BF2843"/>
    <w:rsid w:val="00BF738E"/>
    <w:rsid w:val="00C00295"/>
    <w:rsid w:val="00C016FB"/>
    <w:rsid w:val="00C05B7D"/>
    <w:rsid w:val="00C067E2"/>
    <w:rsid w:val="00C07A2A"/>
    <w:rsid w:val="00C07F79"/>
    <w:rsid w:val="00C1258E"/>
    <w:rsid w:val="00C16097"/>
    <w:rsid w:val="00C174D5"/>
    <w:rsid w:val="00C2343E"/>
    <w:rsid w:val="00C24089"/>
    <w:rsid w:val="00C2607A"/>
    <w:rsid w:val="00C310C5"/>
    <w:rsid w:val="00C33B94"/>
    <w:rsid w:val="00C346A0"/>
    <w:rsid w:val="00C34B1A"/>
    <w:rsid w:val="00C35CB2"/>
    <w:rsid w:val="00C37A2C"/>
    <w:rsid w:val="00C406CE"/>
    <w:rsid w:val="00C45122"/>
    <w:rsid w:val="00C46B75"/>
    <w:rsid w:val="00C510B2"/>
    <w:rsid w:val="00C52DEF"/>
    <w:rsid w:val="00C5553E"/>
    <w:rsid w:val="00C570D5"/>
    <w:rsid w:val="00C6136E"/>
    <w:rsid w:val="00C633BF"/>
    <w:rsid w:val="00C707A3"/>
    <w:rsid w:val="00C70E36"/>
    <w:rsid w:val="00C74624"/>
    <w:rsid w:val="00C74737"/>
    <w:rsid w:val="00C75042"/>
    <w:rsid w:val="00C75BD2"/>
    <w:rsid w:val="00C80792"/>
    <w:rsid w:val="00C80C65"/>
    <w:rsid w:val="00C834D1"/>
    <w:rsid w:val="00C911DB"/>
    <w:rsid w:val="00C94448"/>
    <w:rsid w:val="00C94B17"/>
    <w:rsid w:val="00C97967"/>
    <w:rsid w:val="00CA018D"/>
    <w:rsid w:val="00CA37B6"/>
    <w:rsid w:val="00CA4F8E"/>
    <w:rsid w:val="00CA5832"/>
    <w:rsid w:val="00CB385A"/>
    <w:rsid w:val="00CC2FD0"/>
    <w:rsid w:val="00CC4432"/>
    <w:rsid w:val="00CC6F07"/>
    <w:rsid w:val="00CD0F13"/>
    <w:rsid w:val="00CD249D"/>
    <w:rsid w:val="00CE1510"/>
    <w:rsid w:val="00CE2823"/>
    <w:rsid w:val="00CE28CD"/>
    <w:rsid w:val="00CE70D6"/>
    <w:rsid w:val="00CF0E97"/>
    <w:rsid w:val="00CF0F48"/>
    <w:rsid w:val="00CF1819"/>
    <w:rsid w:val="00CF44E3"/>
    <w:rsid w:val="00CF504B"/>
    <w:rsid w:val="00CF5996"/>
    <w:rsid w:val="00CF6083"/>
    <w:rsid w:val="00CF6AD8"/>
    <w:rsid w:val="00D00E73"/>
    <w:rsid w:val="00D0165F"/>
    <w:rsid w:val="00D016CA"/>
    <w:rsid w:val="00D056A9"/>
    <w:rsid w:val="00D101D6"/>
    <w:rsid w:val="00D12E13"/>
    <w:rsid w:val="00D12EE2"/>
    <w:rsid w:val="00D20506"/>
    <w:rsid w:val="00D21E21"/>
    <w:rsid w:val="00D26CCA"/>
    <w:rsid w:val="00D332E6"/>
    <w:rsid w:val="00D33609"/>
    <w:rsid w:val="00D34E50"/>
    <w:rsid w:val="00D3621B"/>
    <w:rsid w:val="00D40360"/>
    <w:rsid w:val="00D40EDB"/>
    <w:rsid w:val="00D45706"/>
    <w:rsid w:val="00D4589D"/>
    <w:rsid w:val="00D47417"/>
    <w:rsid w:val="00D52CFB"/>
    <w:rsid w:val="00D53E18"/>
    <w:rsid w:val="00D57F6C"/>
    <w:rsid w:val="00D60273"/>
    <w:rsid w:val="00D6146A"/>
    <w:rsid w:val="00D656A2"/>
    <w:rsid w:val="00D7058B"/>
    <w:rsid w:val="00D71F1A"/>
    <w:rsid w:val="00D733D3"/>
    <w:rsid w:val="00D756BA"/>
    <w:rsid w:val="00D81C94"/>
    <w:rsid w:val="00D91E8A"/>
    <w:rsid w:val="00D93B09"/>
    <w:rsid w:val="00DA18EA"/>
    <w:rsid w:val="00DB1BE2"/>
    <w:rsid w:val="00DB2F5D"/>
    <w:rsid w:val="00DB6011"/>
    <w:rsid w:val="00DB702D"/>
    <w:rsid w:val="00DB7513"/>
    <w:rsid w:val="00DC1E5A"/>
    <w:rsid w:val="00DC3511"/>
    <w:rsid w:val="00DC4468"/>
    <w:rsid w:val="00DC7406"/>
    <w:rsid w:val="00DD0D08"/>
    <w:rsid w:val="00DD1C11"/>
    <w:rsid w:val="00DD1D04"/>
    <w:rsid w:val="00DD39EC"/>
    <w:rsid w:val="00DE2B27"/>
    <w:rsid w:val="00DE6FBA"/>
    <w:rsid w:val="00DE74D0"/>
    <w:rsid w:val="00DE7AC6"/>
    <w:rsid w:val="00DF1687"/>
    <w:rsid w:val="00DF205D"/>
    <w:rsid w:val="00E037B4"/>
    <w:rsid w:val="00E1256D"/>
    <w:rsid w:val="00E14759"/>
    <w:rsid w:val="00E1535A"/>
    <w:rsid w:val="00E20505"/>
    <w:rsid w:val="00E2110F"/>
    <w:rsid w:val="00E211E5"/>
    <w:rsid w:val="00E21D58"/>
    <w:rsid w:val="00E2411B"/>
    <w:rsid w:val="00E25CD3"/>
    <w:rsid w:val="00E26BBB"/>
    <w:rsid w:val="00E34D3A"/>
    <w:rsid w:val="00E35205"/>
    <w:rsid w:val="00E412C1"/>
    <w:rsid w:val="00E50B04"/>
    <w:rsid w:val="00E54DD8"/>
    <w:rsid w:val="00E55E81"/>
    <w:rsid w:val="00E56F49"/>
    <w:rsid w:val="00E57838"/>
    <w:rsid w:val="00E640DF"/>
    <w:rsid w:val="00E647F4"/>
    <w:rsid w:val="00E65EC1"/>
    <w:rsid w:val="00E66525"/>
    <w:rsid w:val="00E66A72"/>
    <w:rsid w:val="00E66F63"/>
    <w:rsid w:val="00E679C1"/>
    <w:rsid w:val="00E7295E"/>
    <w:rsid w:val="00E7356E"/>
    <w:rsid w:val="00E81206"/>
    <w:rsid w:val="00E83520"/>
    <w:rsid w:val="00E841AC"/>
    <w:rsid w:val="00E92FD4"/>
    <w:rsid w:val="00E92FEF"/>
    <w:rsid w:val="00E96ED8"/>
    <w:rsid w:val="00EA0D40"/>
    <w:rsid w:val="00EA2806"/>
    <w:rsid w:val="00EA2AE1"/>
    <w:rsid w:val="00EA40C9"/>
    <w:rsid w:val="00EA5315"/>
    <w:rsid w:val="00EB3575"/>
    <w:rsid w:val="00EB4493"/>
    <w:rsid w:val="00EB6A0E"/>
    <w:rsid w:val="00EB77C6"/>
    <w:rsid w:val="00EC4D56"/>
    <w:rsid w:val="00EC5E55"/>
    <w:rsid w:val="00EC6FBE"/>
    <w:rsid w:val="00EC7FDA"/>
    <w:rsid w:val="00EE2D4D"/>
    <w:rsid w:val="00EE6084"/>
    <w:rsid w:val="00EE7F5A"/>
    <w:rsid w:val="00EF2617"/>
    <w:rsid w:val="00EF745B"/>
    <w:rsid w:val="00F006C4"/>
    <w:rsid w:val="00F01C86"/>
    <w:rsid w:val="00F02FFF"/>
    <w:rsid w:val="00F059F7"/>
    <w:rsid w:val="00F06B1E"/>
    <w:rsid w:val="00F10ED0"/>
    <w:rsid w:val="00F1122C"/>
    <w:rsid w:val="00F118CF"/>
    <w:rsid w:val="00F1513D"/>
    <w:rsid w:val="00F20553"/>
    <w:rsid w:val="00F22B90"/>
    <w:rsid w:val="00F267EF"/>
    <w:rsid w:val="00F411B9"/>
    <w:rsid w:val="00F51D8F"/>
    <w:rsid w:val="00F573FD"/>
    <w:rsid w:val="00F60B34"/>
    <w:rsid w:val="00F62FD1"/>
    <w:rsid w:val="00F6311A"/>
    <w:rsid w:val="00F648C0"/>
    <w:rsid w:val="00F64B0D"/>
    <w:rsid w:val="00F6539A"/>
    <w:rsid w:val="00F65E10"/>
    <w:rsid w:val="00F70DF5"/>
    <w:rsid w:val="00F76D55"/>
    <w:rsid w:val="00F80537"/>
    <w:rsid w:val="00F81DF8"/>
    <w:rsid w:val="00F82F8E"/>
    <w:rsid w:val="00F86309"/>
    <w:rsid w:val="00F87D08"/>
    <w:rsid w:val="00F87D0E"/>
    <w:rsid w:val="00F9098F"/>
    <w:rsid w:val="00F9263A"/>
    <w:rsid w:val="00F97D05"/>
    <w:rsid w:val="00FA15BD"/>
    <w:rsid w:val="00FA2654"/>
    <w:rsid w:val="00FA5554"/>
    <w:rsid w:val="00FB1AE2"/>
    <w:rsid w:val="00FB2467"/>
    <w:rsid w:val="00FB474B"/>
    <w:rsid w:val="00FC06ED"/>
    <w:rsid w:val="00FC3B48"/>
    <w:rsid w:val="00FC7064"/>
    <w:rsid w:val="00FD40A7"/>
    <w:rsid w:val="00FD51F6"/>
    <w:rsid w:val="00FE0621"/>
    <w:rsid w:val="00FE1004"/>
    <w:rsid w:val="00FE13DA"/>
    <w:rsid w:val="00FE2083"/>
    <w:rsid w:val="00FF0618"/>
    <w:rsid w:val="00FF19ED"/>
    <w:rsid w:val="00FF6807"/>
    <w:rsid w:val="00FF6F5D"/>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99AA0"/>
  <w15:chartTrackingRefBased/>
  <w15:docId w15:val="{1B52D937-C38F-41B4-9481-0129100F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9D"/>
  </w:style>
  <w:style w:type="paragraph" w:styleId="Heading1">
    <w:name w:val="heading 1"/>
    <w:basedOn w:val="Normal"/>
    <w:next w:val="Normal"/>
    <w:link w:val="Heading1Char"/>
    <w:uiPriority w:val="9"/>
    <w:qFormat/>
    <w:rsid w:val="00AB6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4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F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B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55892"/>
    <w:pPr>
      <w:spacing w:after="0" w:line="240" w:lineRule="auto"/>
    </w:pPr>
  </w:style>
  <w:style w:type="character" w:customStyle="1" w:styleId="Heading3Char">
    <w:name w:val="Heading 3 Char"/>
    <w:basedOn w:val="DefaultParagraphFont"/>
    <w:link w:val="Heading3"/>
    <w:uiPriority w:val="9"/>
    <w:rsid w:val="00814ED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9969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9E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B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61A9"/>
    <w:pPr>
      <w:spacing w:after="200" w:line="240" w:lineRule="auto"/>
    </w:pPr>
    <w:rPr>
      <w:i/>
      <w:iCs/>
      <w:color w:val="44546A" w:themeColor="text2"/>
      <w:sz w:val="18"/>
      <w:szCs w:val="18"/>
    </w:rPr>
  </w:style>
  <w:style w:type="table" w:styleId="PlainTable5">
    <w:name w:val="Plain Table 5"/>
    <w:basedOn w:val="TableNormal"/>
    <w:uiPriority w:val="45"/>
    <w:rsid w:val="00A97C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97C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80C65"/>
    <w:pPr>
      <w:ind w:left="720"/>
      <w:contextualSpacing/>
    </w:pPr>
  </w:style>
  <w:style w:type="paragraph" w:styleId="BalloonText">
    <w:name w:val="Balloon Text"/>
    <w:basedOn w:val="Normal"/>
    <w:link w:val="BalloonTextChar"/>
    <w:uiPriority w:val="99"/>
    <w:semiHidden/>
    <w:unhideWhenUsed/>
    <w:rsid w:val="00722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892"/>
    <w:rPr>
      <w:rFonts w:ascii="Segoe UI" w:hAnsi="Segoe UI" w:cs="Segoe UI"/>
      <w:sz w:val="18"/>
      <w:szCs w:val="18"/>
    </w:rPr>
  </w:style>
  <w:style w:type="paragraph" w:styleId="FootnoteText">
    <w:name w:val="footnote text"/>
    <w:basedOn w:val="Normal"/>
    <w:link w:val="FootnoteTextChar"/>
    <w:uiPriority w:val="99"/>
    <w:semiHidden/>
    <w:unhideWhenUsed/>
    <w:rsid w:val="00722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892"/>
    <w:rPr>
      <w:sz w:val="20"/>
      <w:szCs w:val="20"/>
    </w:rPr>
  </w:style>
  <w:style w:type="character" w:styleId="FootnoteReference">
    <w:name w:val="footnote reference"/>
    <w:basedOn w:val="DefaultParagraphFont"/>
    <w:uiPriority w:val="99"/>
    <w:semiHidden/>
    <w:unhideWhenUsed/>
    <w:rsid w:val="00722892"/>
    <w:rPr>
      <w:vertAlign w:val="superscript"/>
    </w:rPr>
  </w:style>
  <w:style w:type="character" w:styleId="CommentReference">
    <w:name w:val="annotation reference"/>
    <w:basedOn w:val="DefaultParagraphFont"/>
    <w:uiPriority w:val="99"/>
    <w:semiHidden/>
    <w:unhideWhenUsed/>
    <w:rsid w:val="00DE7AC6"/>
    <w:rPr>
      <w:sz w:val="16"/>
      <w:szCs w:val="16"/>
    </w:rPr>
  </w:style>
  <w:style w:type="paragraph" w:styleId="CommentText">
    <w:name w:val="annotation text"/>
    <w:basedOn w:val="Normal"/>
    <w:link w:val="CommentTextChar"/>
    <w:uiPriority w:val="99"/>
    <w:unhideWhenUsed/>
    <w:rsid w:val="00DE7AC6"/>
    <w:pPr>
      <w:spacing w:line="240" w:lineRule="auto"/>
    </w:pPr>
    <w:rPr>
      <w:sz w:val="20"/>
      <w:szCs w:val="20"/>
    </w:rPr>
  </w:style>
  <w:style w:type="character" w:customStyle="1" w:styleId="CommentTextChar">
    <w:name w:val="Comment Text Char"/>
    <w:basedOn w:val="DefaultParagraphFont"/>
    <w:link w:val="CommentText"/>
    <w:uiPriority w:val="99"/>
    <w:rsid w:val="00DE7AC6"/>
    <w:rPr>
      <w:sz w:val="20"/>
      <w:szCs w:val="20"/>
    </w:rPr>
  </w:style>
  <w:style w:type="paragraph" w:styleId="CommentSubject">
    <w:name w:val="annotation subject"/>
    <w:basedOn w:val="CommentText"/>
    <w:next w:val="CommentText"/>
    <w:link w:val="CommentSubjectChar"/>
    <w:uiPriority w:val="99"/>
    <w:semiHidden/>
    <w:unhideWhenUsed/>
    <w:rsid w:val="00DE7AC6"/>
    <w:rPr>
      <w:b/>
      <w:bCs/>
    </w:rPr>
  </w:style>
  <w:style w:type="character" w:customStyle="1" w:styleId="CommentSubjectChar">
    <w:name w:val="Comment Subject Char"/>
    <w:basedOn w:val="CommentTextChar"/>
    <w:link w:val="CommentSubject"/>
    <w:uiPriority w:val="99"/>
    <w:semiHidden/>
    <w:rsid w:val="00DE7AC6"/>
    <w:rPr>
      <w:b/>
      <w:bCs/>
      <w:sz w:val="20"/>
      <w:szCs w:val="20"/>
    </w:rPr>
  </w:style>
  <w:style w:type="paragraph" w:styleId="Revision">
    <w:name w:val="Revision"/>
    <w:hidden/>
    <w:uiPriority w:val="99"/>
    <w:semiHidden/>
    <w:rsid w:val="00E83520"/>
    <w:pPr>
      <w:spacing w:after="0" w:line="240" w:lineRule="auto"/>
    </w:pPr>
  </w:style>
  <w:style w:type="paragraph" w:styleId="Header">
    <w:name w:val="header"/>
    <w:basedOn w:val="Normal"/>
    <w:link w:val="HeaderChar"/>
    <w:uiPriority w:val="99"/>
    <w:unhideWhenUsed/>
    <w:rsid w:val="0076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F0"/>
  </w:style>
  <w:style w:type="paragraph" w:styleId="Footer">
    <w:name w:val="footer"/>
    <w:basedOn w:val="Normal"/>
    <w:link w:val="FooterChar"/>
    <w:uiPriority w:val="99"/>
    <w:unhideWhenUsed/>
    <w:rsid w:val="0076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7997">
      <w:bodyDiv w:val="1"/>
      <w:marLeft w:val="0"/>
      <w:marRight w:val="0"/>
      <w:marTop w:val="0"/>
      <w:marBottom w:val="0"/>
      <w:divBdr>
        <w:top w:val="none" w:sz="0" w:space="0" w:color="auto"/>
        <w:left w:val="none" w:sz="0" w:space="0" w:color="auto"/>
        <w:bottom w:val="none" w:sz="0" w:space="0" w:color="auto"/>
        <w:right w:val="none" w:sz="0" w:space="0" w:color="auto"/>
      </w:divBdr>
    </w:div>
    <w:div w:id="188030221">
      <w:bodyDiv w:val="1"/>
      <w:marLeft w:val="0"/>
      <w:marRight w:val="0"/>
      <w:marTop w:val="0"/>
      <w:marBottom w:val="0"/>
      <w:divBdr>
        <w:top w:val="none" w:sz="0" w:space="0" w:color="auto"/>
        <w:left w:val="none" w:sz="0" w:space="0" w:color="auto"/>
        <w:bottom w:val="none" w:sz="0" w:space="0" w:color="auto"/>
        <w:right w:val="none" w:sz="0" w:space="0" w:color="auto"/>
      </w:divBdr>
    </w:div>
    <w:div w:id="998267954">
      <w:bodyDiv w:val="1"/>
      <w:marLeft w:val="0"/>
      <w:marRight w:val="0"/>
      <w:marTop w:val="0"/>
      <w:marBottom w:val="0"/>
      <w:divBdr>
        <w:top w:val="none" w:sz="0" w:space="0" w:color="auto"/>
        <w:left w:val="none" w:sz="0" w:space="0" w:color="auto"/>
        <w:bottom w:val="none" w:sz="0" w:space="0" w:color="auto"/>
        <w:right w:val="none" w:sz="0" w:space="0" w:color="auto"/>
      </w:divBdr>
    </w:div>
    <w:div w:id="1028608362">
      <w:bodyDiv w:val="1"/>
      <w:marLeft w:val="0"/>
      <w:marRight w:val="0"/>
      <w:marTop w:val="0"/>
      <w:marBottom w:val="0"/>
      <w:divBdr>
        <w:top w:val="none" w:sz="0" w:space="0" w:color="auto"/>
        <w:left w:val="none" w:sz="0" w:space="0" w:color="auto"/>
        <w:bottom w:val="none" w:sz="0" w:space="0" w:color="auto"/>
        <w:right w:val="none" w:sz="0" w:space="0" w:color="auto"/>
      </w:divBdr>
    </w:div>
    <w:div w:id="1178351210">
      <w:bodyDiv w:val="1"/>
      <w:marLeft w:val="0"/>
      <w:marRight w:val="0"/>
      <w:marTop w:val="0"/>
      <w:marBottom w:val="0"/>
      <w:divBdr>
        <w:top w:val="none" w:sz="0" w:space="0" w:color="auto"/>
        <w:left w:val="none" w:sz="0" w:space="0" w:color="auto"/>
        <w:bottom w:val="none" w:sz="0" w:space="0" w:color="auto"/>
        <w:right w:val="none" w:sz="0" w:space="0" w:color="auto"/>
      </w:divBdr>
      <w:divsChild>
        <w:div w:id="333459049">
          <w:marLeft w:val="0"/>
          <w:marRight w:val="0"/>
          <w:marTop w:val="0"/>
          <w:marBottom w:val="0"/>
          <w:divBdr>
            <w:top w:val="none" w:sz="0" w:space="0" w:color="auto"/>
            <w:left w:val="none" w:sz="0" w:space="0" w:color="auto"/>
            <w:bottom w:val="none" w:sz="0" w:space="0" w:color="auto"/>
            <w:right w:val="none" w:sz="0" w:space="0" w:color="auto"/>
          </w:divBdr>
          <w:divsChild>
            <w:div w:id="676545511">
              <w:marLeft w:val="0"/>
              <w:marRight w:val="0"/>
              <w:marTop w:val="0"/>
              <w:marBottom w:val="0"/>
              <w:divBdr>
                <w:top w:val="none" w:sz="0" w:space="0" w:color="auto"/>
                <w:left w:val="none" w:sz="0" w:space="0" w:color="auto"/>
                <w:bottom w:val="none" w:sz="0" w:space="0" w:color="auto"/>
                <w:right w:val="none" w:sz="0" w:space="0" w:color="auto"/>
              </w:divBdr>
              <w:divsChild>
                <w:div w:id="674767185">
                  <w:marLeft w:val="0"/>
                  <w:marRight w:val="0"/>
                  <w:marTop w:val="0"/>
                  <w:marBottom w:val="0"/>
                  <w:divBdr>
                    <w:top w:val="none" w:sz="0" w:space="0" w:color="auto"/>
                    <w:left w:val="none" w:sz="0" w:space="0" w:color="auto"/>
                    <w:bottom w:val="none" w:sz="0" w:space="0" w:color="auto"/>
                    <w:right w:val="none" w:sz="0" w:space="0" w:color="auto"/>
                  </w:divBdr>
                  <w:divsChild>
                    <w:div w:id="5100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2889">
          <w:marLeft w:val="0"/>
          <w:marRight w:val="0"/>
          <w:marTop w:val="0"/>
          <w:marBottom w:val="0"/>
          <w:divBdr>
            <w:top w:val="none" w:sz="0" w:space="0" w:color="auto"/>
            <w:left w:val="none" w:sz="0" w:space="0" w:color="auto"/>
            <w:bottom w:val="none" w:sz="0" w:space="0" w:color="auto"/>
            <w:right w:val="none" w:sz="0" w:space="0" w:color="auto"/>
          </w:divBdr>
          <w:divsChild>
            <w:div w:id="2002082765">
              <w:marLeft w:val="0"/>
              <w:marRight w:val="0"/>
              <w:marTop w:val="0"/>
              <w:marBottom w:val="0"/>
              <w:divBdr>
                <w:top w:val="none" w:sz="0" w:space="0" w:color="auto"/>
                <w:left w:val="none" w:sz="0" w:space="0" w:color="auto"/>
                <w:bottom w:val="none" w:sz="0" w:space="0" w:color="auto"/>
                <w:right w:val="none" w:sz="0" w:space="0" w:color="auto"/>
              </w:divBdr>
              <w:divsChild>
                <w:div w:id="1472404008">
                  <w:marLeft w:val="0"/>
                  <w:marRight w:val="0"/>
                  <w:marTop w:val="0"/>
                  <w:marBottom w:val="0"/>
                  <w:divBdr>
                    <w:top w:val="none" w:sz="0" w:space="0" w:color="auto"/>
                    <w:left w:val="none" w:sz="0" w:space="0" w:color="auto"/>
                    <w:bottom w:val="none" w:sz="0" w:space="0" w:color="auto"/>
                    <w:right w:val="none" w:sz="0" w:space="0" w:color="auto"/>
                  </w:divBdr>
                  <w:divsChild>
                    <w:div w:id="4005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77172">
      <w:bodyDiv w:val="1"/>
      <w:marLeft w:val="0"/>
      <w:marRight w:val="0"/>
      <w:marTop w:val="0"/>
      <w:marBottom w:val="0"/>
      <w:divBdr>
        <w:top w:val="none" w:sz="0" w:space="0" w:color="auto"/>
        <w:left w:val="none" w:sz="0" w:space="0" w:color="auto"/>
        <w:bottom w:val="none" w:sz="0" w:space="0" w:color="auto"/>
        <w:right w:val="none" w:sz="0" w:space="0" w:color="auto"/>
      </w:divBdr>
    </w:div>
    <w:div w:id="1915584305">
      <w:bodyDiv w:val="1"/>
      <w:marLeft w:val="0"/>
      <w:marRight w:val="0"/>
      <w:marTop w:val="0"/>
      <w:marBottom w:val="0"/>
      <w:divBdr>
        <w:top w:val="none" w:sz="0" w:space="0" w:color="auto"/>
        <w:left w:val="none" w:sz="0" w:space="0" w:color="auto"/>
        <w:bottom w:val="none" w:sz="0" w:space="0" w:color="auto"/>
        <w:right w:val="none" w:sz="0" w:space="0" w:color="auto"/>
      </w:divBdr>
      <w:divsChild>
        <w:div w:id="1142960326">
          <w:marLeft w:val="0"/>
          <w:marRight w:val="0"/>
          <w:marTop w:val="0"/>
          <w:marBottom w:val="0"/>
          <w:divBdr>
            <w:top w:val="none" w:sz="0" w:space="0" w:color="auto"/>
            <w:left w:val="none" w:sz="0" w:space="0" w:color="auto"/>
            <w:bottom w:val="none" w:sz="0" w:space="0" w:color="auto"/>
            <w:right w:val="none" w:sz="0" w:space="0" w:color="auto"/>
          </w:divBdr>
          <w:divsChild>
            <w:div w:id="1068386017">
              <w:marLeft w:val="0"/>
              <w:marRight w:val="0"/>
              <w:marTop w:val="0"/>
              <w:marBottom w:val="0"/>
              <w:divBdr>
                <w:top w:val="none" w:sz="0" w:space="0" w:color="auto"/>
                <w:left w:val="none" w:sz="0" w:space="0" w:color="auto"/>
                <w:bottom w:val="none" w:sz="0" w:space="0" w:color="auto"/>
                <w:right w:val="none" w:sz="0" w:space="0" w:color="auto"/>
              </w:divBdr>
              <w:divsChild>
                <w:div w:id="1793135359">
                  <w:marLeft w:val="0"/>
                  <w:marRight w:val="0"/>
                  <w:marTop w:val="0"/>
                  <w:marBottom w:val="0"/>
                  <w:divBdr>
                    <w:top w:val="none" w:sz="0" w:space="0" w:color="auto"/>
                    <w:left w:val="none" w:sz="0" w:space="0" w:color="auto"/>
                    <w:bottom w:val="none" w:sz="0" w:space="0" w:color="auto"/>
                    <w:right w:val="none" w:sz="0" w:space="0" w:color="auto"/>
                  </w:divBdr>
                  <w:divsChild>
                    <w:div w:id="40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2761">
          <w:marLeft w:val="0"/>
          <w:marRight w:val="0"/>
          <w:marTop w:val="0"/>
          <w:marBottom w:val="0"/>
          <w:divBdr>
            <w:top w:val="none" w:sz="0" w:space="0" w:color="auto"/>
            <w:left w:val="none" w:sz="0" w:space="0" w:color="auto"/>
            <w:bottom w:val="none" w:sz="0" w:space="0" w:color="auto"/>
            <w:right w:val="none" w:sz="0" w:space="0" w:color="auto"/>
          </w:divBdr>
          <w:divsChild>
            <w:div w:id="1851946810">
              <w:marLeft w:val="0"/>
              <w:marRight w:val="0"/>
              <w:marTop w:val="0"/>
              <w:marBottom w:val="0"/>
              <w:divBdr>
                <w:top w:val="none" w:sz="0" w:space="0" w:color="auto"/>
                <w:left w:val="none" w:sz="0" w:space="0" w:color="auto"/>
                <w:bottom w:val="none" w:sz="0" w:space="0" w:color="auto"/>
                <w:right w:val="none" w:sz="0" w:space="0" w:color="auto"/>
              </w:divBdr>
              <w:divsChild>
                <w:div w:id="27419484">
                  <w:marLeft w:val="0"/>
                  <w:marRight w:val="0"/>
                  <w:marTop w:val="0"/>
                  <w:marBottom w:val="0"/>
                  <w:divBdr>
                    <w:top w:val="none" w:sz="0" w:space="0" w:color="auto"/>
                    <w:left w:val="none" w:sz="0" w:space="0" w:color="auto"/>
                    <w:bottom w:val="none" w:sz="0" w:space="0" w:color="auto"/>
                    <w:right w:val="none" w:sz="0" w:space="0" w:color="auto"/>
                  </w:divBdr>
                  <w:divsChild>
                    <w:div w:id="8378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ndeeddom.deed.state.mn.us\data\HQ-CARD\Groups\CARD\AEO\Magda\Current%20projects\Business%20Serv%20Cond%20Survey\2025\Results_2025.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mndeeddom.deed.state.mn.us\data\HQ-CARD\Groups\CARD\AEO\Magda\Current%20projects\Business%20Serv%20Cond%20Survey\2025\Results_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spc="0" baseline="0">
                <a:solidFill>
                  <a:sysClr val="windowText" lastClr="000000">
                    <a:lumMod val="65000"/>
                    <a:lumOff val="35000"/>
                  </a:sysClr>
                </a:solidFill>
                <a:effectLst/>
              </a:rPr>
              <a:t>Chart 1- Economic Performance Past Four Quarters Compared to Outlook Next Four Quarters</a:t>
            </a:r>
            <a:endParaRPr lang="en-US" sz="1400" b="0" i="0" u="none" strike="noStrike" kern="1200" spc="0" baseline="0">
              <a:solidFill>
                <a:sysClr val="windowText" lastClr="000000">
                  <a:lumMod val="65000"/>
                  <a:lumOff val="35000"/>
                </a:sysClr>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v>Performace Last Four Quarters</c:v>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'Diffusion Indexes'!$A$34:$A$42</c:f>
              <c:strCache>
                <c:ptCount val="9"/>
                <c:pt idx="0">
                  <c:v>Revenue</c:v>
                </c:pt>
                <c:pt idx="1">
                  <c:v>Profits</c:v>
                </c:pt>
                <c:pt idx="2">
                  <c:v>Produc-
tivity</c:v>
                </c:pt>
                <c:pt idx="3">
                  <c:v>Employ-
ment</c:v>
                </c:pt>
                <c:pt idx="4">
                  <c:v>Labor 
avalability</c:v>
                </c:pt>
                <c:pt idx="5">
                  <c:v>Selling
prices</c:v>
                </c:pt>
                <c:pt idx="6">
                  <c:v>Input costs</c:v>
                </c:pt>
                <c:pt idx="7">
                  <c:v>Space
occu.</c:v>
                </c:pt>
                <c:pt idx="8">
                  <c:v>Exports</c:v>
                </c:pt>
              </c:strCache>
            </c:strRef>
          </c:cat>
          <c:val>
            <c:numRef>
              <c:f>'Diffusion Indexes'!$B$34:$B$42</c:f>
              <c:numCache>
                <c:formatCode>0</c:formatCode>
                <c:ptCount val="9"/>
                <c:pt idx="0">
                  <c:v>56.999999999999993</c:v>
                </c:pt>
                <c:pt idx="1">
                  <c:v>47.5</c:v>
                </c:pt>
                <c:pt idx="2">
                  <c:v>54</c:v>
                </c:pt>
                <c:pt idx="3">
                  <c:v>49</c:v>
                </c:pt>
                <c:pt idx="4">
                  <c:v>45</c:v>
                </c:pt>
                <c:pt idx="5">
                  <c:v>70</c:v>
                </c:pt>
                <c:pt idx="6">
                  <c:v>83.500000000000014</c:v>
                </c:pt>
                <c:pt idx="7">
                  <c:v>52.5</c:v>
                </c:pt>
                <c:pt idx="8">
                  <c:v>50.5</c:v>
                </c:pt>
              </c:numCache>
            </c:numRef>
          </c:val>
          <c:extLst>
            <c:ext xmlns:c16="http://schemas.microsoft.com/office/drawing/2014/chart" uri="{C3380CC4-5D6E-409C-BE32-E72D297353CC}">
              <c16:uniqueId val="{00000000-4C1F-4133-9EAF-57E3BFD404BE}"/>
            </c:ext>
          </c:extLst>
        </c:ser>
        <c:ser>
          <c:idx val="1"/>
          <c:order val="1"/>
          <c:tx>
            <c:v>Outlook Next Four Quarters</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'Diffusion Indexes'!$A$34:$A$42</c:f>
              <c:strCache>
                <c:ptCount val="9"/>
                <c:pt idx="0">
                  <c:v>Revenue</c:v>
                </c:pt>
                <c:pt idx="1">
                  <c:v>Profits</c:v>
                </c:pt>
                <c:pt idx="2">
                  <c:v>Produc-
tivity</c:v>
                </c:pt>
                <c:pt idx="3">
                  <c:v>Employ-
ment</c:v>
                </c:pt>
                <c:pt idx="4">
                  <c:v>Labor 
avalability</c:v>
                </c:pt>
                <c:pt idx="5">
                  <c:v>Selling
prices</c:v>
                </c:pt>
                <c:pt idx="6">
                  <c:v>Input costs</c:v>
                </c:pt>
                <c:pt idx="7">
                  <c:v>Space
occu.</c:v>
                </c:pt>
                <c:pt idx="8">
                  <c:v>Exports</c:v>
                </c:pt>
              </c:strCache>
            </c:strRef>
          </c:cat>
          <c:val>
            <c:numRef>
              <c:f>'Diffusion Indexes'!$C$34:$C$42</c:f>
              <c:numCache>
                <c:formatCode>0</c:formatCode>
                <c:ptCount val="9"/>
                <c:pt idx="0">
                  <c:v>57.499999999999993</c:v>
                </c:pt>
                <c:pt idx="1">
                  <c:v>51</c:v>
                </c:pt>
                <c:pt idx="2">
                  <c:v>57.499999999999993</c:v>
                </c:pt>
                <c:pt idx="3">
                  <c:v>57.000000000000007</c:v>
                </c:pt>
                <c:pt idx="4">
                  <c:v>48.5</c:v>
                </c:pt>
                <c:pt idx="5">
                  <c:v>65</c:v>
                </c:pt>
                <c:pt idx="6">
                  <c:v>74.5</c:v>
                </c:pt>
                <c:pt idx="7">
                  <c:v>50</c:v>
                </c:pt>
                <c:pt idx="8">
                  <c:v>51.5</c:v>
                </c:pt>
              </c:numCache>
            </c:numRef>
          </c:val>
          <c:extLst>
            <c:ext xmlns:c16="http://schemas.microsoft.com/office/drawing/2014/chart" uri="{C3380CC4-5D6E-409C-BE32-E72D297353CC}">
              <c16:uniqueId val="{00000001-4C1F-4133-9EAF-57E3BFD404BE}"/>
            </c:ext>
          </c:extLst>
        </c:ser>
        <c:dLbls>
          <c:showLegendKey val="0"/>
          <c:showVal val="0"/>
          <c:showCatName val="0"/>
          <c:showSerName val="0"/>
          <c:showPercent val="0"/>
          <c:showBubbleSize val="0"/>
        </c:dLbls>
        <c:gapWidth val="219"/>
        <c:overlap val="-27"/>
        <c:axId val="268968735"/>
        <c:axId val="268957695"/>
      </c:barChart>
      <c:lineChart>
        <c:grouping val="standard"/>
        <c:varyColors val="0"/>
        <c:ser>
          <c:idx val="2"/>
          <c:order val="2"/>
          <c:tx>
            <c:strRef>
              <c:f>'Diffusion Indexes'!$D$33</c:f>
              <c:strCache>
                <c:ptCount val="1"/>
                <c:pt idx="0">
                  <c:v>Difussion Index</c:v>
                </c:pt>
              </c:strCache>
            </c:strRef>
          </c:tx>
          <c:spPr>
            <a:ln w="28575" cap="rnd">
              <a:solidFill>
                <a:schemeClr val="accent3"/>
              </a:solidFill>
              <a:round/>
            </a:ln>
            <a:effectLst/>
          </c:spPr>
          <c:marker>
            <c:symbol val="none"/>
          </c:marker>
          <c:cat>
            <c:strRef>
              <c:f>'Diffusion Indexes'!$A$34:$A$42</c:f>
              <c:strCache>
                <c:ptCount val="9"/>
                <c:pt idx="0">
                  <c:v>Revenue</c:v>
                </c:pt>
                <c:pt idx="1">
                  <c:v>Profits</c:v>
                </c:pt>
                <c:pt idx="2">
                  <c:v>Produc-
tivity</c:v>
                </c:pt>
                <c:pt idx="3">
                  <c:v>Employ-
ment</c:v>
                </c:pt>
                <c:pt idx="4">
                  <c:v>Labor 
avalability</c:v>
                </c:pt>
                <c:pt idx="5">
                  <c:v>Selling
prices</c:v>
                </c:pt>
                <c:pt idx="6">
                  <c:v>Input costs</c:v>
                </c:pt>
                <c:pt idx="7">
                  <c:v>Space
occu.</c:v>
                </c:pt>
                <c:pt idx="8">
                  <c:v>Exports</c:v>
                </c:pt>
              </c:strCache>
            </c:strRef>
          </c:cat>
          <c:val>
            <c:numRef>
              <c:f>'Diffusion Indexes'!$D$34:$D$42</c:f>
              <c:numCache>
                <c:formatCode>0</c:formatCode>
                <c:ptCount val="9"/>
                <c:pt idx="0">
                  <c:v>50</c:v>
                </c:pt>
                <c:pt idx="1">
                  <c:v>50</c:v>
                </c:pt>
                <c:pt idx="2">
                  <c:v>50</c:v>
                </c:pt>
                <c:pt idx="3">
                  <c:v>50</c:v>
                </c:pt>
                <c:pt idx="4">
                  <c:v>50</c:v>
                </c:pt>
                <c:pt idx="5">
                  <c:v>50</c:v>
                </c:pt>
                <c:pt idx="6">
                  <c:v>50</c:v>
                </c:pt>
                <c:pt idx="7">
                  <c:v>50</c:v>
                </c:pt>
                <c:pt idx="8">
                  <c:v>50</c:v>
                </c:pt>
              </c:numCache>
            </c:numRef>
          </c:val>
          <c:smooth val="0"/>
          <c:extLst>
            <c:ext xmlns:c16="http://schemas.microsoft.com/office/drawing/2014/chart" uri="{C3380CC4-5D6E-409C-BE32-E72D297353CC}">
              <c16:uniqueId val="{00000002-4C1F-4133-9EAF-57E3BFD404BE}"/>
            </c:ext>
          </c:extLst>
        </c:ser>
        <c:dLbls>
          <c:showLegendKey val="0"/>
          <c:showVal val="0"/>
          <c:showCatName val="0"/>
          <c:showSerName val="0"/>
          <c:showPercent val="0"/>
          <c:showBubbleSize val="0"/>
        </c:dLbls>
        <c:marker val="1"/>
        <c:smooth val="0"/>
        <c:axId val="268968735"/>
        <c:axId val="268957695"/>
      </c:lineChart>
      <c:catAx>
        <c:axId val="268968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957695"/>
        <c:crosses val="autoZero"/>
        <c:auto val="1"/>
        <c:lblAlgn val="ctr"/>
        <c:lblOffset val="100"/>
        <c:noMultiLvlLbl val="0"/>
      </c:catAx>
      <c:valAx>
        <c:axId val="2689576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Difussion</a:t>
                </a:r>
                <a:r>
                  <a:rPr lang="en-US" baseline="0"/>
                  <a:t> Index*</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968735"/>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Chart 2- </a:t>
            </a:r>
            <a:r>
              <a:rPr lang="en-US" sz="1400" b="1" i="0" u="none" strike="noStrike" baseline="0">
                <a:effectLst/>
              </a:rPr>
              <a:t>Outlook on State Economic Indicators During the Next Four Quarters </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'Diffusion Indexes'!$B$52</c:f>
              <c:strCache>
                <c:ptCount val="1"/>
                <c:pt idx="0">
                  <c:v>Diffusion Index*</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'Diffusion Indexes'!$A$53:$A$57</c:f>
              <c:strCache>
                <c:ptCount val="5"/>
                <c:pt idx="0">
                  <c:v>Employment</c:v>
                </c:pt>
                <c:pt idx="1">
                  <c:v>Consumer spending</c:v>
                </c:pt>
                <c:pt idx="2">
                  <c:v>Inflation</c:v>
                </c:pt>
                <c:pt idx="3">
                  <c:v>Corporate profits</c:v>
                </c:pt>
                <c:pt idx="4">
                  <c:v>Mergers and Acquisitions</c:v>
                </c:pt>
              </c:strCache>
            </c:strRef>
          </c:cat>
          <c:val>
            <c:numRef>
              <c:f>'Diffusion Indexes'!$B$53:$B$57</c:f>
              <c:numCache>
                <c:formatCode>0</c:formatCode>
                <c:ptCount val="5"/>
                <c:pt idx="0">
                  <c:v>46</c:v>
                </c:pt>
                <c:pt idx="1">
                  <c:v>32</c:v>
                </c:pt>
                <c:pt idx="2">
                  <c:v>76.5</c:v>
                </c:pt>
                <c:pt idx="3">
                  <c:v>38.5</c:v>
                </c:pt>
                <c:pt idx="4">
                  <c:v>59.000000000000007</c:v>
                </c:pt>
              </c:numCache>
            </c:numRef>
          </c:val>
          <c:extLst>
            <c:ext xmlns:c16="http://schemas.microsoft.com/office/drawing/2014/chart" uri="{C3380CC4-5D6E-409C-BE32-E72D297353CC}">
              <c16:uniqueId val="{00000000-DA2E-462B-A535-D649CA034B10}"/>
            </c:ext>
          </c:extLst>
        </c:ser>
        <c:dLbls>
          <c:showLegendKey val="0"/>
          <c:showVal val="0"/>
          <c:showCatName val="0"/>
          <c:showSerName val="0"/>
          <c:showPercent val="0"/>
          <c:showBubbleSize val="0"/>
        </c:dLbls>
        <c:gapWidth val="219"/>
        <c:axId val="1241148224"/>
        <c:axId val="1241151104"/>
      </c:barChart>
      <c:lineChart>
        <c:grouping val="standard"/>
        <c:varyColors val="0"/>
        <c:ser>
          <c:idx val="1"/>
          <c:order val="1"/>
          <c:tx>
            <c:strRef>
              <c:f>'Diffusion Indexes'!$C$52</c:f>
              <c:strCache>
                <c:ptCount val="1"/>
                <c:pt idx="0">
                  <c:v>Threshold</c:v>
                </c:pt>
              </c:strCache>
            </c:strRef>
          </c:tx>
          <c:spPr>
            <a:ln w="28575" cap="rnd">
              <a:solidFill>
                <a:schemeClr val="accent2"/>
              </a:solidFill>
              <a:round/>
            </a:ln>
            <a:effectLst/>
          </c:spPr>
          <c:marker>
            <c:symbol val="none"/>
          </c:marker>
          <c:cat>
            <c:strRef>
              <c:f>'Diffusion Indexes'!$A$53:$A$57</c:f>
              <c:strCache>
                <c:ptCount val="5"/>
                <c:pt idx="0">
                  <c:v>Employment</c:v>
                </c:pt>
                <c:pt idx="1">
                  <c:v>Consumer spending</c:v>
                </c:pt>
                <c:pt idx="2">
                  <c:v>Inflation</c:v>
                </c:pt>
                <c:pt idx="3">
                  <c:v>Corporate profits</c:v>
                </c:pt>
                <c:pt idx="4">
                  <c:v>Mergers and Acquisitions</c:v>
                </c:pt>
              </c:strCache>
            </c:strRef>
          </c:cat>
          <c:val>
            <c:numRef>
              <c:f>'Diffusion Indexes'!$C$53:$C$57</c:f>
              <c:numCache>
                <c:formatCode>0</c:formatCode>
                <c:ptCount val="5"/>
                <c:pt idx="0">
                  <c:v>50</c:v>
                </c:pt>
                <c:pt idx="1">
                  <c:v>50</c:v>
                </c:pt>
                <c:pt idx="2">
                  <c:v>50</c:v>
                </c:pt>
                <c:pt idx="3">
                  <c:v>50</c:v>
                </c:pt>
                <c:pt idx="4">
                  <c:v>50</c:v>
                </c:pt>
              </c:numCache>
            </c:numRef>
          </c:val>
          <c:smooth val="0"/>
          <c:extLst>
            <c:ext xmlns:c16="http://schemas.microsoft.com/office/drawing/2014/chart" uri="{C3380CC4-5D6E-409C-BE32-E72D297353CC}">
              <c16:uniqueId val="{00000001-DA2E-462B-A535-D649CA034B10}"/>
            </c:ext>
          </c:extLst>
        </c:ser>
        <c:dLbls>
          <c:showLegendKey val="0"/>
          <c:showVal val="0"/>
          <c:showCatName val="0"/>
          <c:showSerName val="0"/>
          <c:showPercent val="0"/>
          <c:showBubbleSize val="0"/>
        </c:dLbls>
        <c:marker val="1"/>
        <c:smooth val="0"/>
        <c:axId val="1241148224"/>
        <c:axId val="1241151104"/>
      </c:lineChart>
      <c:catAx>
        <c:axId val="124114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151104"/>
        <c:crosses val="autoZero"/>
        <c:auto val="1"/>
        <c:lblAlgn val="ctr"/>
        <c:lblOffset val="100"/>
        <c:noMultiLvlLbl val="0"/>
      </c:catAx>
      <c:valAx>
        <c:axId val="1241151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Diffusion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148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5378-A83B-4D0A-8BBC-E77EB54C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Olson</dc:creator>
  <cp:keywords/>
  <dc:description/>
  <cp:lastModifiedBy>Olson, Magda (DEED)</cp:lastModifiedBy>
  <cp:revision>2</cp:revision>
  <cp:lastPrinted>2025-07-24T15:43:00Z</cp:lastPrinted>
  <dcterms:created xsi:type="dcterms:W3CDTF">2025-07-28T13:46:00Z</dcterms:created>
  <dcterms:modified xsi:type="dcterms:W3CDTF">2025-07-28T13:46:00Z</dcterms:modified>
</cp:coreProperties>
</file>