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0E19" w14:textId="77777777" w:rsidR="00CE313B" w:rsidRPr="002A344A" w:rsidRDefault="00EB5C34" w:rsidP="007606AA">
      <w:pPr>
        <w:tabs>
          <w:tab w:val="left" w:pos="360"/>
          <w:tab w:val="left" w:pos="6660"/>
        </w:tabs>
        <w:spacing w:after="120"/>
        <w:jc w:val="center"/>
        <w:sectPr w:rsidR="00CE313B" w:rsidRPr="002A344A" w:rsidSect="007606AA">
          <w:headerReference w:type="even" r:id="rId8"/>
          <w:footerReference w:type="even" r:id="rId9"/>
          <w:footnotePr>
            <w:numRestart w:val="eachSect"/>
          </w:footnotePr>
          <w:endnotePr>
            <w:numFmt w:val="decimal"/>
          </w:endnotePr>
          <w:type w:val="continuous"/>
          <w:pgSz w:w="12240" w:h="15840" w:code="1"/>
          <w:pgMar w:top="1152" w:right="1152" w:bottom="1152" w:left="1152" w:header="720" w:footer="720" w:gutter="0"/>
          <w:cols w:space="720"/>
          <w:titlePg/>
          <w:docGrid w:linePitch="272"/>
        </w:sectPr>
      </w:pPr>
      <w:r w:rsidRPr="002A344A">
        <w:rPr>
          <w:noProof/>
        </w:rPr>
        <mc:AlternateContent>
          <mc:Choice Requires="wps">
            <w:drawing>
              <wp:anchor distT="0" distB="0" distL="114300" distR="114300" simplePos="0" relativeHeight="251666432" behindDoc="0" locked="0" layoutInCell="1" allowOverlap="1" wp14:anchorId="2D21032A" wp14:editId="2B272433">
                <wp:simplePos x="0" y="0"/>
                <wp:positionH relativeFrom="column">
                  <wp:posOffset>6350</wp:posOffset>
                </wp:positionH>
                <wp:positionV relativeFrom="paragraph">
                  <wp:posOffset>1113155</wp:posOffset>
                </wp:positionV>
                <wp:extent cx="6303010" cy="419100"/>
                <wp:effectExtent l="0" t="0" r="0" b="0"/>
                <wp:wrapNone/>
                <wp:docPr id="2" name="Text Box 2" descr="text box:&#10;Annual Data for 2025 on Minnesota Manufactured Exports – Published in March 2026&#10;For More Information: Mary Haugen (mary.haugen@state.mn.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9F056" w14:textId="4197DDA1" w:rsidR="00EB5C34" w:rsidRPr="00B577E0" w:rsidRDefault="00EB5C34" w:rsidP="00EB5C34">
                            <w:pPr>
                              <w:pStyle w:val="NoSpacing"/>
                              <w:jc w:val="center"/>
                              <w:rPr>
                                <w:rStyle w:val="Emphasis"/>
                                <w:b/>
                              </w:rPr>
                            </w:pPr>
                            <w:bookmarkStart w:id="0" w:name="_Hlk97280551"/>
                            <w:r>
                              <w:rPr>
                                <w:rStyle w:val="Emphasis"/>
                                <w:b/>
                              </w:rPr>
                              <w:t>Annual</w:t>
                            </w:r>
                            <w:r w:rsidR="008D6805">
                              <w:rPr>
                                <w:rStyle w:val="Emphasis"/>
                                <w:b/>
                              </w:rPr>
                              <w:t xml:space="preserve"> </w:t>
                            </w:r>
                            <w:r w:rsidRPr="00B577E0">
                              <w:rPr>
                                <w:rStyle w:val="Emphasis"/>
                                <w:b/>
                              </w:rPr>
                              <w:t>Dat</w:t>
                            </w:r>
                            <w:r>
                              <w:rPr>
                                <w:rStyle w:val="Emphasis"/>
                                <w:b/>
                              </w:rPr>
                              <w:t xml:space="preserve">a on Minnesota </w:t>
                            </w:r>
                            <w:r w:rsidR="00777893">
                              <w:rPr>
                                <w:rStyle w:val="Emphasis"/>
                                <w:b/>
                              </w:rPr>
                              <w:t xml:space="preserve">Manufactured </w:t>
                            </w:r>
                            <w:r>
                              <w:rPr>
                                <w:rStyle w:val="Emphasis"/>
                                <w:b/>
                              </w:rPr>
                              <w:t>Exports – Published</w:t>
                            </w:r>
                            <w:r w:rsidR="002E7C23">
                              <w:rPr>
                                <w:rStyle w:val="Emphasis"/>
                                <w:b/>
                              </w:rPr>
                              <w:t xml:space="preserve"> in</w:t>
                            </w:r>
                            <w:r w:rsidR="00EF4385">
                              <w:rPr>
                                <w:rStyle w:val="Emphasis"/>
                                <w:b/>
                              </w:rPr>
                              <w:t xml:space="preserve"> </w:t>
                            </w:r>
                            <w:r w:rsidR="004F169E">
                              <w:rPr>
                                <w:rStyle w:val="Emphasis"/>
                                <w:b/>
                              </w:rPr>
                              <w:t>March</w:t>
                            </w:r>
                            <w:r>
                              <w:rPr>
                                <w:rStyle w:val="Emphasis"/>
                                <w:b/>
                              </w:rPr>
                              <w:t xml:space="preserve"> 202</w:t>
                            </w:r>
                            <w:r w:rsidR="00612C9C">
                              <w:rPr>
                                <w:rStyle w:val="Emphasis"/>
                                <w:b/>
                              </w:rPr>
                              <w:t>6</w:t>
                            </w:r>
                          </w:p>
                          <w:bookmarkEnd w:id="0"/>
                          <w:p w14:paraId="5AC981D1" w14:textId="77777777" w:rsidR="008D6805" w:rsidRPr="0034753B" w:rsidRDefault="008D6805" w:rsidP="008D6805">
                            <w:pPr>
                              <w:pStyle w:val="NoSpacing"/>
                              <w:jc w:val="center"/>
                              <w:rPr>
                                <w:rStyle w:val="Emphasis"/>
                                <w:b/>
                                <w:bCs/>
                              </w:rPr>
                            </w:pPr>
                            <w:r>
                              <w:rPr>
                                <w:rStyle w:val="Emphasis"/>
                                <w:b/>
                              </w:rPr>
                              <w:t>For More Information</w:t>
                            </w:r>
                            <w:r w:rsidRPr="007818E5">
                              <w:rPr>
                                <w:rStyle w:val="Emphasis"/>
                              </w:rPr>
                              <w:t xml:space="preserve">: </w:t>
                            </w:r>
                            <w:r w:rsidRPr="0034753B">
                              <w:rPr>
                                <w:b/>
                                <w:bCs/>
                                <w:i/>
                                <w:iCs/>
                              </w:rPr>
                              <w:t>Mary Haugen (mary.haugen@state.mn.us)</w:t>
                            </w:r>
                          </w:p>
                          <w:p w14:paraId="5815E523" w14:textId="5A35BE11" w:rsidR="00EB5C34" w:rsidRPr="00690C1B" w:rsidRDefault="00EB5C34" w:rsidP="008D6805">
                            <w:pPr>
                              <w:pStyle w:val="NoSpacing"/>
                              <w:jc w:val="center"/>
                              <w:rPr>
                                <w:rStyle w:val="Emphasis"/>
                                <w:b/>
                                <w:i w:val="0"/>
                                <w:iCs w:val="0"/>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1032A" id="_x0000_t202" coordsize="21600,21600" o:spt="202" path="m,l,21600r21600,l21600,xe">
                <v:stroke joinstyle="miter"/>
                <v:path gradientshapeok="t" o:connecttype="rect"/>
              </v:shapetype>
              <v:shape id="Text Box 2" o:spid="_x0000_s1026" type="#_x0000_t202" alt="text box:&#10;Annual Data for 2025 on Minnesota Manufactured Exports – Published in March 2026&#10;For More Information: Mary Haugen (mary.haugen@state.mn.us)" style="position:absolute;left:0;text-align:left;margin-left:.5pt;margin-top:87.65pt;width:496.3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" filled="f" stroked="f">
                <v:textbox>
                  <w:txbxContent>
                    <w:p w14:paraId="42C9F056" w14:textId="4197DDA1" w:rsidR="00EB5C34" w:rsidRPr="00B577E0" w:rsidRDefault="00EB5C34" w:rsidP="00EB5C34">
                      <w:pPr>
                        <w:pStyle w:val="NoSpacing"/>
                        <w:jc w:val="center"/>
                        <w:rPr>
                          <w:rStyle w:val="Emphasis"/>
                          <w:b/>
                        </w:rPr>
                      </w:pPr>
                      <w:bookmarkStart w:id="1" w:name="_Hlk97280551"/>
                      <w:r>
                        <w:rPr>
                          <w:rStyle w:val="Emphasis"/>
                          <w:b/>
                        </w:rPr>
                        <w:t>Annual</w:t>
                      </w:r>
                      <w:r w:rsidR="008D6805">
                        <w:rPr>
                          <w:rStyle w:val="Emphasis"/>
                          <w:b/>
                        </w:rPr>
                        <w:t xml:space="preserve"> </w:t>
                      </w:r>
                      <w:r w:rsidRPr="00B577E0">
                        <w:rPr>
                          <w:rStyle w:val="Emphasis"/>
                          <w:b/>
                        </w:rPr>
                        <w:t>Dat</w:t>
                      </w:r>
                      <w:r>
                        <w:rPr>
                          <w:rStyle w:val="Emphasis"/>
                          <w:b/>
                        </w:rPr>
                        <w:t xml:space="preserve">a on Minnesota </w:t>
                      </w:r>
                      <w:r w:rsidR="00777893">
                        <w:rPr>
                          <w:rStyle w:val="Emphasis"/>
                          <w:b/>
                        </w:rPr>
                        <w:t xml:space="preserve">Manufactured </w:t>
                      </w:r>
                      <w:r>
                        <w:rPr>
                          <w:rStyle w:val="Emphasis"/>
                          <w:b/>
                        </w:rPr>
                        <w:t>Exports – Published</w:t>
                      </w:r>
                      <w:r w:rsidR="002E7C23">
                        <w:rPr>
                          <w:rStyle w:val="Emphasis"/>
                          <w:b/>
                        </w:rPr>
                        <w:t xml:space="preserve"> in</w:t>
                      </w:r>
                      <w:r w:rsidR="00EF4385">
                        <w:rPr>
                          <w:rStyle w:val="Emphasis"/>
                          <w:b/>
                        </w:rPr>
                        <w:t xml:space="preserve"> </w:t>
                      </w:r>
                      <w:r w:rsidR="004F169E">
                        <w:rPr>
                          <w:rStyle w:val="Emphasis"/>
                          <w:b/>
                        </w:rPr>
                        <w:t>March</w:t>
                      </w:r>
                      <w:r>
                        <w:rPr>
                          <w:rStyle w:val="Emphasis"/>
                          <w:b/>
                        </w:rPr>
                        <w:t xml:space="preserve"> 202</w:t>
                      </w:r>
                      <w:r w:rsidR="00612C9C">
                        <w:rPr>
                          <w:rStyle w:val="Emphasis"/>
                          <w:b/>
                        </w:rPr>
                        <w:t>6</w:t>
                      </w:r>
                    </w:p>
                    <w:bookmarkEnd w:id="1"/>
                    <w:p w14:paraId="5AC981D1" w14:textId="77777777" w:rsidR="008D6805" w:rsidRPr="0034753B" w:rsidRDefault="008D6805" w:rsidP="008D6805">
                      <w:pPr>
                        <w:pStyle w:val="NoSpacing"/>
                        <w:jc w:val="center"/>
                        <w:rPr>
                          <w:rStyle w:val="Emphasis"/>
                          <w:b/>
                          <w:bCs/>
                        </w:rPr>
                      </w:pPr>
                      <w:r>
                        <w:rPr>
                          <w:rStyle w:val="Emphasis"/>
                          <w:b/>
                        </w:rPr>
                        <w:t>For More Information</w:t>
                      </w:r>
                      <w:r w:rsidRPr="007818E5">
                        <w:rPr>
                          <w:rStyle w:val="Emphasis"/>
                        </w:rPr>
                        <w:t xml:space="preserve">: </w:t>
                      </w:r>
                      <w:r w:rsidRPr="0034753B">
                        <w:rPr>
                          <w:b/>
                          <w:bCs/>
                          <w:i/>
                          <w:iCs/>
                        </w:rPr>
                        <w:t>Mary Haugen (mary.haugen@state.mn.us)</w:t>
                      </w:r>
                    </w:p>
                    <w:p w14:paraId="5815E523" w14:textId="5A35BE11" w:rsidR="00EB5C34" w:rsidRPr="00690C1B" w:rsidRDefault="00EB5C34" w:rsidP="008D6805">
                      <w:pPr>
                        <w:pStyle w:val="NoSpacing"/>
                        <w:jc w:val="center"/>
                        <w:rPr>
                          <w:rStyle w:val="Emphasis"/>
                          <w:b/>
                          <w:i w:val="0"/>
                          <w:iCs w:val="0"/>
                          <w:color w:val="FF0000"/>
                        </w:rPr>
                      </w:pPr>
                    </w:p>
                  </w:txbxContent>
                </v:textbox>
              </v:shape>
            </w:pict>
          </mc:Fallback>
        </mc:AlternateContent>
      </w:r>
      <w:r w:rsidR="00634377" w:rsidRPr="002A344A">
        <w:rPr>
          <w:noProof/>
        </w:rPr>
        <w:drawing>
          <wp:inline distT="0" distB="0" distL="0" distR="0" wp14:anchorId="5382DE4E" wp14:editId="6145A89F">
            <wp:extent cx="6309360" cy="1103630"/>
            <wp:effectExtent l="0" t="0" r="0" b="1270"/>
            <wp:docPr id="7" name="Picture 7" descr="Decorative header for Export Statistics Newsletter&#10;&#10;Annual 2025 Data on Minnesota  Manufactured Exports – Published March 2026.&#10;For More Information: Mary Haugen (mary.haugen@state.m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header for Export Statistics Newsletter&#10;&#10;Annual 2025 Data on Minnesota  Manufactured Exports – Published March 2026.&#10;For More Information: Mary Haugen (mary.haugen@state.mn.u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09360" cy="1103630"/>
                    </a:xfrm>
                    <a:prstGeom prst="rect">
                      <a:avLst/>
                    </a:prstGeom>
                  </pic:spPr>
                </pic:pic>
              </a:graphicData>
            </a:graphic>
          </wp:inline>
        </w:drawing>
      </w:r>
      <w:r w:rsidR="00961671" w:rsidRPr="002A344A">
        <w:rPr>
          <w:noProof/>
        </w:rPr>
        <w:t xml:space="preserve"> </w:t>
      </w:r>
    </w:p>
    <w:p w14:paraId="0393960A" w14:textId="6992B87E" w:rsidR="00D73299" w:rsidRPr="002A344A" w:rsidRDefault="00EF4385" w:rsidP="007606AA">
      <w:pPr>
        <w:pStyle w:val="Heading1"/>
        <w:spacing w:before="720" w:after="0"/>
        <w:sectPr w:rsidR="00D73299" w:rsidRPr="002A344A" w:rsidSect="007606AA">
          <w:footerReference w:type="default" r:id="rId11"/>
          <w:footnotePr>
            <w:numRestart w:val="eachSect"/>
          </w:footnotePr>
          <w:endnotePr>
            <w:numFmt w:val="decimal"/>
          </w:endnotePr>
          <w:type w:val="continuous"/>
          <w:pgSz w:w="12240" w:h="15840" w:code="1"/>
          <w:pgMar w:top="1152" w:right="1152" w:bottom="1152" w:left="1152" w:header="720" w:footer="720" w:gutter="0"/>
          <w:cols w:space="720"/>
          <w:titlePg/>
          <w:docGrid w:linePitch="299"/>
        </w:sectPr>
      </w:pPr>
      <w:r w:rsidRPr="002A344A">
        <w:t xml:space="preserve">State </w:t>
      </w:r>
      <w:r w:rsidR="00F050F6" w:rsidRPr="002A344A">
        <w:t>Export</w:t>
      </w:r>
      <w:r w:rsidR="005F1D50" w:rsidRPr="002A344A">
        <w:t>s</w:t>
      </w:r>
      <w:r w:rsidR="00F050F6" w:rsidRPr="002A344A">
        <w:t xml:space="preserve"> </w:t>
      </w:r>
      <w:r w:rsidR="00090665" w:rsidRPr="002A344A">
        <w:t>D</w:t>
      </w:r>
      <w:r w:rsidR="00612C9C" w:rsidRPr="002A344A">
        <w:t>ecrease</w:t>
      </w:r>
      <w:r w:rsidR="008B608D" w:rsidRPr="002A344A">
        <w:t>d</w:t>
      </w:r>
      <w:r w:rsidR="00612C9C" w:rsidRPr="002A344A">
        <w:t xml:space="preserve"> by</w:t>
      </w:r>
      <w:r w:rsidR="000922F2" w:rsidRPr="002A344A">
        <w:t xml:space="preserve"> 13%</w:t>
      </w:r>
      <w:r w:rsidR="00DC1B40" w:rsidRPr="002A344A">
        <w:t xml:space="preserve"> </w:t>
      </w:r>
      <w:r w:rsidR="008D6805" w:rsidRPr="002A344A">
        <w:t>to</w:t>
      </w:r>
      <w:r w:rsidR="00EB5C34" w:rsidRPr="002A344A">
        <w:t xml:space="preserve"> $2</w:t>
      </w:r>
      <w:r w:rsidR="000922F2" w:rsidRPr="002A344A">
        <w:t>3.5</w:t>
      </w:r>
      <w:r w:rsidR="00634377" w:rsidRPr="002A344A">
        <w:t xml:space="preserve"> Billion</w:t>
      </w:r>
      <w:r w:rsidR="000922F2" w:rsidRPr="002A344A">
        <w:t xml:space="preserve"> in 2025</w:t>
      </w:r>
    </w:p>
    <w:p w14:paraId="62909CD3" w14:textId="4B2B9F4D" w:rsidR="00B87E76" w:rsidRPr="002A344A" w:rsidRDefault="007F1C4A" w:rsidP="007606AA">
      <w:pPr>
        <w:pStyle w:val="ListParagraph"/>
        <w:numPr>
          <w:ilvl w:val="0"/>
          <w:numId w:val="27"/>
        </w:numPr>
        <w:spacing w:after="0"/>
        <w:ind w:left="360" w:right="-54"/>
      </w:pPr>
      <w:r w:rsidRPr="002A344A">
        <w:t>Minnesota export</w:t>
      </w:r>
      <w:r w:rsidR="009C5011" w:rsidRPr="002A344A">
        <w:t>ed</w:t>
      </w:r>
      <w:r w:rsidRPr="002A344A">
        <w:t xml:space="preserve"> </w:t>
      </w:r>
      <w:r w:rsidR="00B94644" w:rsidRPr="002A344A">
        <w:t>nearly</w:t>
      </w:r>
      <w:r w:rsidR="002E7C23" w:rsidRPr="002A344A">
        <w:t xml:space="preserve"> </w:t>
      </w:r>
      <w:r w:rsidR="00E92FA6" w:rsidRPr="002A344A">
        <w:t>$</w:t>
      </w:r>
      <w:r w:rsidR="00EB5C34" w:rsidRPr="002A344A">
        <w:t>2</w:t>
      </w:r>
      <w:r w:rsidR="000922F2" w:rsidRPr="002A344A">
        <w:t>4</w:t>
      </w:r>
      <w:r w:rsidR="0072390C" w:rsidRPr="002A344A">
        <w:t xml:space="preserve"> billion </w:t>
      </w:r>
      <w:r w:rsidR="00BF3ADC" w:rsidRPr="002A344A">
        <w:t>in</w:t>
      </w:r>
      <w:r w:rsidR="009C5011" w:rsidRPr="002A344A">
        <w:t xml:space="preserve"> agricultural, mining and manufactured goods to </w:t>
      </w:r>
      <w:r w:rsidR="00B94644" w:rsidRPr="002A344A">
        <w:t>about</w:t>
      </w:r>
      <w:r w:rsidR="00B87E76" w:rsidRPr="002A344A">
        <w:t xml:space="preserve"> </w:t>
      </w:r>
      <w:r w:rsidR="009C5011" w:rsidRPr="002A344A">
        <w:t>200 countries in</w:t>
      </w:r>
      <w:r w:rsidR="00BF3ADC" w:rsidRPr="002A344A">
        <w:t xml:space="preserve"> </w:t>
      </w:r>
      <w:r w:rsidR="000922F2" w:rsidRPr="002A344A">
        <w:t>2025</w:t>
      </w:r>
      <w:r w:rsidR="001403DF" w:rsidRPr="002A344A">
        <w:t xml:space="preserve">. </w:t>
      </w:r>
      <w:r w:rsidR="00A92ABE" w:rsidRPr="002A344A">
        <w:t xml:space="preserve">The state’s exports </w:t>
      </w:r>
      <w:r w:rsidR="000922F2" w:rsidRPr="002A344A">
        <w:t>declined</w:t>
      </w:r>
      <w:r w:rsidR="00A92ABE" w:rsidRPr="002A344A">
        <w:t xml:space="preserve"> </w:t>
      </w:r>
      <w:r w:rsidR="000922F2" w:rsidRPr="002A344A">
        <w:t>13</w:t>
      </w:r>
      <w:r w:rsidR="00A92ABE" w:rsidRPr="002A344A">
        <w:t>%</w:t>
      </w:r>
      <w:r w:rsidR="00B87E76" w:rsidRPr="002A344A">
        <w:t xml:space="preserve"> </w:t>
      </w:r>
      <w:r w:rsidR="00A92ABE" w:rsidRPr="002A344A">
        <w:t xml:space="preserve">between </w:t>
      </w:r>
      <w:r w:rsidR="000922F2" w:rsidRPr="002A344A">
        <w:t>2024</w:t>
      </w:r>
      <w:r w:rsidR="00A92ABE" w:rsidRPr="002A344A">
        <w:t xml:space="preserve"> and </w:t>
      </w:r>
      <w:r w:rsidR="000922F2" w:rsidRPr="002A344A">
        <w:t>2025</w:t>
      </w:r>
      <w:r w:rsidR="00B87E76" w:rsidRPr="002A344A">
        <w:t xml:space="preserve"> – </w:t>
      </w:r>
      <w:r w:rsidR="000922F2" w:rsidRPr="002A344A">
        <w:t>lagg</w:t>
      </w:r>
      <w:r w:rsidR="00B87E76" w:rsidRPr="002A344A">
        <w:t>ing U.S. export g</w:t>
      </w:r>
      <w:r w:rsidR="00B94644" w:rsidRPr="002A344A">
        <w:t>rowth</w:t>
      </w:r>
      <w:r w:rsidR="00B87E76" w:rsidRPr="002A344A">
        <w:t xml:space="preserve"> </w:t>
      </w:r>
      <w:r w:rsidR="005014EB" w:rsidRPr="002A344A">
        <w:t xml:space="preserve">of </w:t>
      </w:r>
      <w:r w:rsidR="000922F2" w:rsidRPr="002A344A">
        <w:t>6</w:t>
      </w:r>
      <w:r w:rsidR="00B87E76" w:rsidRPr="002A344A">
        <w:t>% in the same period</w:t>
      </w:r>
      <w:r w:rsidR="005014EB" w:rsidRPr="002A344A">
        <w:t xml:space="preserve">. </w:t>
      </w:r>
    </w:p>
    <w:p w14:paraId="687B506A" w14:textId="37483A9B" w:rsidR="00641E97" w:rsidRPr="002A344A" w:rsidRDefault="00641E97" w:rsidP="007606AA">
      <w:pPr>
        <w:pStyle w:val="ListParagraph"/>
        <w:numPr>
          <w:ilvl w:val="0"/>
          <w:numId w:val="27"/>
        </w:numPr>
        <w:spacing w:after="0"/>
        <w:ind w:left="360" w:right="-54"/>
      </w:pPr>
      <w:r w:rsidRPr="002A344A">
        <w:t>About half of the state’s overall export decline</w:t>
      </w:r>
      <w:r w:rsidR="000B3506" w:rsidRPr="002A344A">
        <w:t xml:space="preserve"> </w:t>
      </w:r>
      <w:r w:rsidRPr="002A344A">
        <w:t xml:space="preserve">was driven by </w:t>
      </w:r>
      <w:r w:rsidR="000B3506" w:rsidRPr="002A344A">
        <w:t>exports of m</w:t>
      </w:r>
      <w:r w:rsidR="0059345E" w:rsidRPr="002A344A">
        <w:t xml:space="preserve">ineral fuel and oil </w:t>
      </w:r>
      <w:r w:rsidR="00B87E76" w:rsidRPr="002A344A">
        <w:t>to Canada</w:t>
      </w:r>
      <w:r w:rsidRPr="002A344A">
        <w:t>, which</w:t>
      </w:r>
      <w:r w:rsidR="002C7DF6" w:rsidRPr="002A344A">
        <w:t xml:space="preserve"> </w:t>
      </w:r>
      <w:r w:rsidR="000922F2" w:rsidRPr="002A344A">
        <w:t>plunged</w:t>
      </w:r>
      <w:r w:rsidR="00B94644" w:rsidRPr="002A344A">
        <w:t xml:space="preserve"> </w:t>
      </w:r>
      <w:r w:rsidR="00B87E76" w:rsidRPr="002A344A">
        <w:t>$1.</w:t>
      </w:r>
      <w:r w:rsidR="000922F2" w:rsidRPr="002A344A">
        <w:t>7</w:t>
      </w:r>
      <w:r w:rsidR="00B87E76" w:rsidRPr="002A344A">
        <w:t xml:space="preserve"> billion</w:t>
      </w:r>
      <w:r w:rsidR="000922F2" w:rsidRPr="002A344A">
        <w:t xml:space="preserve"> in 2025</w:t>
      </w:r>
      <w:r w:rsidR="007218D3" w:rsidRPr="002A344A">
        <w:t xml:space="preserve">. </w:t>
      </w:r>
    </w:p>
    <w:p w14:paraId="4D84EE77" w14:textId="43AA7DC4" w:rsidR="00E849C9" w:rsidRPr="002A344A" w:rsidRDefault="007218D3" w:rsidP="007606AA">
      <w:pPr>
        <w:pStyle w:val="ListParagraph"/>
        <w:numPr>
          <w:ilvl w:val="0"/>
          <w:numId w:val="27"/>
        </w:numPr>
        <w:spacing w:after="0"/>
        <w:ind w:left="360" w:right="-54"/>
      </w:pPr>
      <w:r w:rsidRPr="002A344A">
        <w:t>Minnesota ranked 23</w:t>
      </w:r>
      <w:r w:rsidRPr="002A344A">
        <w:rPr>
          <w:vertAlign w:val="superscript"/>
        </w:rPr>
        <w:t>rd</w:t>
      </w:r>
      <w:r w:rsidR="00641E97" w:rsidRPr="002A344A">
        <w:t xml:space="preserve"> highest </w:t>
      </w:r>
      <w:r w:rsidRPr="002A344A">
        <w:t>in export value among states</w:t>
      </w:r>
      <w:r w:rsidR="00641E97" w:rsidRPr="002A344A">
        <w:t>, unchanged from 2024</w:t>
      </w:r>
      <w:r w:rsidRPr="002A344A">
        <w:t>.</w:t>
      </w:r>
    </w:p>
    <w:p w14:paraId="521DDFB1" w14:textId="59CE7DFB" w:rsidR="007F1C4A" w:rsidRPr="002A344A" w:rsidRDefault="000B3506" w:rsidP="007606AA">
      <w:pPr>
        <w:pStyle w:val="ListParagraph"/>
        <w:numPr>
          <w:ilvl w:val="0"/>
          <w:numId w:val="27"/>
        </w:numPr>
        <w:spacing w:after="120"/>
        <w:ind w:left="360"/>
        <w:rPr>
          <w:rStyle w:val="Heading4Char"/>
          <w:rFonts w:eastAsiaTheme="minorEastAsia" w:cstheme="minorBidi"/>
          <w:bCs w:val="0"/>
          <w:i w:val="0"/>
          <w:iCs w:val="0"/>
          <w:color w:val="auto"/>
          <w:sz w:val="22"/>
        </w:rPr>
      </w:pPr>
      <w:r w:rsidRPr="002A344A">
        <w:t>Global sales</w:t>
      </w:r>
      <w:r w:rsidR="002C7DF6" w:rsidRPr="002A344A">
        <w:t xml:space="preserve"> of goods and services </w:t>
      </w:r>
      <w:r w:rsidRPr="002A344A">
        <w:t>by</w:t>
      </w:r>
      <w:r w:rsidR="00E849C9" w:rsidRPr="002A344A">
        <w:t xml:space="preserve"> </w:t>
      </w:r>
      <w:r w:rsidR="002C7DF6" w:rsidRPr="002A344A">
        <w:t xml:space="preserve">over </w:t>
      </w:r>
      <w:r w:rsidR="00E849C9" w:rsidRPr="002A344A">
        <w:t>8,</w:t>
      </w:r>
      <w:r w:rsidRPr="002A344A">
        <w:t>0</w:t>
      </w:r>
      <w:r w:rsidR="00E849C9" w:rsidRPr="002A344A">
        <w:t xml:space="preserve">00 </w:t>
      </w:r>
      <w:r w:rsidRPr="002A344A">
        <w:t xml:space="preserve">exporting </w:t>
      </w:r>
      <w:r w:rsidR="00E849C9" w:rsidRPr="002A344A">
        <w:t xml:space="preserve">Minnesota </w:t>
      </w:r>
      <w:r w:rsidRPr="002A344A">
        <w:t>businesses</w:t>
      </w:r>
      <w:r w:rsidR="00E849C9" w:rsidRPr="002A344A">
        <w:t xml:space="preserve"> supported about 1</w:t>
      </w:r>
      <w:r w:rsidR="008002E1" w:rsidRPr="002A344A">
        <w:t>01</w:t>
      </w:r>
      <w:r w:rsidR="00E849C9" w:rsidRPr="002A344A">
        <w:t>,</w:t>
      </w:r>
      <w:r w:rsidR="008002E1" w:rsidRPr="002A344A">
        <w:t>5</w:t>
      </w:r>
      <w:r w:rsidR="00E849C9" w:rsidRPr="002A344A">
        <w:t>00 jobs in</w:t>
      </w:r>
      <w:r w:rsidR="00DC1B40" w:rsidRPr="002A344A">
        <w:t xml:space="preserve"> the state</w:t>
      </w:r>
      <w:r w:rsidRPr="002A344A">
        <w:t>.</w:t>
      </w:r>
      <w:r w:rsidR="008002E1" w:rsidRPr="002A344A">
        <w:t xml:space="preserve"> (</w:t>
      </w:r>
      <w:r w:rsidRPr="002A344A">
        <w:t>2023, Census and ITA</w:t>
      </w:r>
      <w:r w:rsidR="008002E1" w:rsidRPr="002A344A">
        <w:t>)</w:t>
      </w:r>
      <w:r w:rsidR="00AF3AAB" w:rsidRPr="002A344A">
        <w:br w:type="column"/>
      </w:r>
      <w:r w:rsidR="007F1C4A" w:rsidRPr="002A344A">
        <w:rPr>
          <w:rStyle w:val="Heading4Char"/>
          <w:color w:val="auto"/>
        </w:rPr>
        <w:t xml:space="preserve">Figure </w:t>
      </w:r>
      <w:r w:rsidR="007F1C4A" w:rsidRPr="002A344A">
        <w:rPr>
          <w:rStyle w:val="Heading4Char"/>
          <w:b/>
          <w:color w:val="auto"/>
        </w:rPr>
        <w:fldChar w:fldCharType="begin"/>
      </w:r>
      <w:r w:rsidR="007F1C4A" w:rsidRPr="002A344A">
        <w:rPr>
          <w:rStyle w:val="Heading4Char"/>
          <w:color w:val="auto"/>
        </w:rPr>
        <w:instrText xml:space="preserve"> SEQ Figure \* ARABIC </w:instrText>
      </w:r>
      <w:r w:rsidR="007F1C4A" w:rsidRPr="002A344A">
        <w:rPr>
          <w:rStyle w:val="Heading4Char"/>
          <w:b/>
          <w:color w:val="auto"/>
        </w:rPr>
        <w:fldChar w:fldCharType="separate"/>
      </w:r>
      <w:r w:rsidR="009D1486" w:rsidRPr="002A344A">
        <w:rPr>
          <w:rStyle w:val="Heading4Char"/>
          <w:noProof/>
          <w:color w:val="auto"/>
        </w:rPr>
        <w:t>1</w:t>
      </w:r>
      <w:r w:rsidR="007F1C4A" w:rsidRPr="002A344A">
        <w:rPr>
          <w:rStyle w:val="Heading4Char"/>
          <w:b/>
          <w:color w:val="auto"/>
        </w:rPr>
        <w:fldChar w:fldCharType="end"/>
      </w:r>
      <w:r w:rsidR="00714F39" w:rsidRPr="002A344A">
        <w:rPr>
          <w:rStyle w:val="Heading4Char"/>
          <w:color w:val="auto"/>
        </w:rPr>
        <w:t xml:space="preserve">. </w:t>
      </w:r>
      <w:r w:rsidR="00F96126" w:rsidRPr="002A344A">
        <w:rPr>
          <w:rStyle w:val="Heading4Char"/>
          <w:color w:val="auto"/>
        </w:rPr>
        <w:t xml:space="preserve"> </w:t>
      </w:r>
      <w:r w:rsidR="005014EB" w:rsidRPr="002A344A">
        <w:rPr>
          <w:rStyle w:val="Heading4Char"/>
          <w:color w:val="auto"/>
        </w:rPr>
        <w:t xml:space="preserve">Export Gains for </w:t>
      </w:r>
      <w:r w:rsidR="000922F2" w:rsidRPr="002A344A">
        <w:rPr>
          <w:rStyle w:val="Heading4Char"/>
          <w:color w:val="auto"/>
        </w:rPr>
        <w:t>27</w:t>
      </w:r>
      <w:r w:rsidR="005014EB" w:rsidRPr="002A344A">
        <w:rPr>
          <w:rStyle w:val="Heading4Char"/>
          <w:color w:val="auto"/>
        </w:rPr>
        <w:t xml:space="preserve"> States</w:t>
      </w:r>
      <w:r w:rsidR="000922F2" w:rsidRPr="002A344A">
        <w:rPr>
          <w:rStyle w:val="Heading4Char"/>
          <w:color w:val="auto"/>
        </w:rPr>
        <w:t xml:space="preserve"> and U.S.</w:t>
      </w:r>
    </w:p>
    <w:p w14:paraId="5F1B5AAC" w14:textId="516C1569" w:rsidR="007F1C4A" w:rsidRPr="002A344A" w:rsidRDefault="007F1C4A" w:rsidP="00876C3E">
      <w:pPr>
        <w:spacing w:after="0"/>
        <w:ind w:left="360"/>
      </w:pPr>
      <w:r w:rsidRPr="002A344A">
        <w:rPr>
          <w:noProof/>
        </w:rPr>
        <mc:AlternateContent>
          <mc:Choice Requires="wps">
            <w:drawing>
              <wp:anchor distT="0" distB="0" distL="114300" distR="114300" simplePos="0" relativeHeight="251664384" behindDoc="0" locked="0" layoutInCell="1" allowOverlap="1" wp14:anchorId="6AB82DA7" wp14:editId="30488753">
                <wp:simplePos x="0" y="0"/>
                <wp:positionH relativeFrom="column">
                  <wp:posOffset>2673985</wp:posOffset>
                </wp:positionH>
                <wp:positionV relativeFrom="paragraph">
                  <wp:posOffset>1308293</wp:posOffset>
                </wp:positionV>
                <wp:extent cx="803910" cy="441960"/>
                <wp:effectExtent l="0" t="0" r="0" b="0"/>
                <wp:wrapNone/>
                <wp:docPr id="307" name="Text Box 2" descr="highlight text box&#10;MN +16%&#10;U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441960"/>
                        </a:xfrm>
                        <a:prstGeom prst="rect">
                          <a:avLst/>
                        </a:prstGeom>
                        <a:noFill/>
                        <a:ln w="9525">
                          <a:noFill/>
                          <a:miter lim="800000"/>
                          <a:headEnd/>
                          <a:tailEnd/>
                        </a:ln>
                      </wps:spPr>
                      <wps:txbx>
                        <w:txbxContent>
                          <w:p w14:paraId="51975AF3" w14:textId="0773F7A0" w:rsidR="007F1C4A" w:rsidRPr="00CE0E91" w:rsidRDefault="007F1C4A" w:rsidP="007F1C4A">
                            <w:pPr>
                              <w:spacing w:after="0"/>
                              <w:rPr>
                                <w:b/>
                                <w:i/>
                                <w:sz w:val="20"/>
                              </w:rPr>
                            </w:pPr>
                            <w:r w:rsidRPr="00CE0E91">
                              <w:rPr>
                                <w:b/>
                                <w:i/>
                                <w:sz w:val="20"/>
                              </w:rPr>
                              <w:t>M</w:t>
                            </w:r>
                            <w:r w:rsidR="00AF03EA" w:rsidRPr="00CE0E91">
                              <w:rPr>
                                <w:b/>
                                <w:i/>
                                <w:sz w:val="20"/>
                              </w:rPr>
                              <w:t xml:space="preserve">N:  </w:t>
                            </w:r>
                            <w:r w:rsidR="000922F2">
                              <w:rPr>
                                <w:b/>
                                <w:i/>
                                <w:sz w:val="20"/>
                              </w:rPr>
                              <w:t>-13</w:t>
                            </w:r>
                            <w:r w:rsidRPr="00CE0E91">
                              <w:rPr>
                                <w:b/>
                                <w:i/>
                                <w:sz w:val="20"/>
                              </w:rPr>
                              <w:t>%</w:t>
                            </w:r>
                          </w:p>
                          <w:p w14:paraId="36890F85" w14:textId="60BE927D" w:rsidR="007F1C4A" w:rsidRPr="00CE0E91" w:rsidRDefault="004344C8" w:rsidP="007F1C4A">
                            <w:pPr>
                              <w:spacing w:after="0"/>
                              <w:rPr>
                                <w:b/>
                                <w:i/>
                                <w:sz w:val="20"/>
                              </w:rPr>
                            </w:pPr>
                            <w:r w:rsidRPr="00CE0E91">
                              <w:rPr>
                                <w:b/>
                                <w:i/>
                                <w:sz w:val="20"/>
                              </w:rPr>
                              <w:t xml:space="preserve">U.S.: </w:t>
                            </w:r>
                            <w:r w:rsidR="005014EB">
                              <w:rPr>
                                <w:b/>
                                <w:i/>
                                <w:sz w:val="20"/>
                              </w:rPr>
                              <w:t>+</w:t>
                            </w:r>
                            <w:r w:rsidR="000922F2">
                              <w:rPr>
                                <w:b/>
                                <w:i/>
                                <w:sz w:val="20"/>
                              </w:rPr>
                              <w:t>6</w:t>
                            </w:r>
                            <w:r w:rsidR="007F1C4A" w:rsidRPr="00CE0E91">
                              <w:rPr>
                                <w:b/>
                                <w:i/>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82DA7" id="_x0000_s1027" type="#_x0000_t202" alt="highlight text box&#10;MN +16%&#10;US +18%" style="position:absolute;left:0;text-align:left;margin-left:210.55pt;margin-top:103pt;width:63.3pt;height:3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" filled="f" stroked="f">
                <v:textbox>
                  <w:txbxContent>
                    <w:p w14:paraId="51975AF3" w14:textId="0773F7A0" w:rsidR="007F1C4A" w:rsidRPr="00CE0E91" w:rsidRDefault="007F1C4A" w:rsidP="007F1C4A">
                      <w:pPr>
                        <w:spacing w:after="0"/>
                        <w:rPr>
                          <w:b/>
                          <w:i/>
                          <w:sz w:val="20"/>
                        </w:rPr>
                      </w:pPr>
                      <w:r w:rsidRPr="00CE0E91">
                        <w:rPr>
                          <w:b/>
                          <w:i/>
                          <w:sz w:val="20"/>
                        </w:rPr>
                        <w:t>M</w:t>
                      </w:r>
                      <w:r w:rsidR="00AF03EA" w:rsidRPr="00CE0E91">
                        <w:rPr>
                          <w:b/>
                          <w:i/>
                          <w:sz w:val="20"/>
                        </w:rPr>
                        <w:t xml:space="preserve">N:  </w:t>
                      </w:r>
                      <w:r w:rsidR="000922F2">
                        <w:rPr>
                          <w:b/>
                          <w:i/>
                          <w:sz w:val="20"/>
                        </w:rPr>
                        <w:t>-13</w:t>
                      </w:r>
                      <w:r w:rsidRPr="00CE0E91">
                        <w:rPr>
                          <w:b/>
                          <w:i/>
                          <w:sz w:val="20"/>
                        </w:rPr>
                        <w:t>%</w:t>
                      </w:r>
                    </w:p>
                    <w:p w14:paraId="36890F85" w14:textId="60BE927D" w:rsidR="007F1C4A" w:rsidRPr="00CE0E91" w:rsidRDefault="004344C8" w:rsidP="007F1C4A">
                      <w:pPr>
                        <w:spacing w:after="0"/>
                        <w:rPr>
                          <w:b/>
                          <w:i/>
                          <w:sz w:val="20"/>
                        </w:rPr>
                      </w:pPr>
                      <w:r w:rsidRPr="00CE0E91">
                        <w:rPr>
                          <w:b/>
                          <w:i/>
                          <w:sz w:val="20"/>
                        </w:rPr>
                        <w:t xml:space="preserve">U.S.: </w:t>
                      </w:r>
                      <w:r w:rsidR="005014EB">
                        <w:rPr>
                          <w:b/>
                          <w:i/>
                          <w:sz w:val="20"/>
                        </w:rPr>
                        <w:t>+</w:t>
                      </w:r>
                      <w:r w:rsidR="000922F2">
                        <w:rPr>
                          <w:b/>
                          <w:i/>
                          <w:sz w:val="20"/>
                        </w:rPr>
                        <w:t>6</w:t>
                      </w:r>
                      <w:r w:rsidR="007F1C4A" w:rsidRPr="00CE0E91">
                        <w:rPr>
                          <w:b/>
                          <w:i/>
                          <w:sz w:val="20"/>
                        </w:rPr>
                        <w:t>%</w:t>
                      </w:r>
                    </w:p>
                  </w:txbxContent>
                </v:textbox>
              </v:shape>
            </w:pict>
          </mc:Fallback>
        </mc:AlternateContent>
      </w:r>
      <w:r w:rsidRPr="002A344A">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r w:rsidR="000922F2" w:rsidRPr="002A344A">
        <w:rPr>
          <w:noProof/>
        </w:rPr>
        <w:drawing>
          <wp:inline distT="0" distB="0" distL="0" distR="0" wp14:anchorId="0DC0E14C" wp14:editId="5554DE93">
            <wp:extent cx="3093057" cy="1717410"/>
            <wp:effectExtent l="0" t="0" r="0" b="0"/>
            <wp:docPr id="303715271" name="Picture 1" descr="Map of U.S. states showing percent change in exports from 2024 to 2025. Colors are yellow for decline, green for growth.&#10;&#10;State Percent Change 2024 to 2025&#10;Minnesota -13%&#10;United States 6%&#10;Alabama -12%&#10;Alaska 13%&#10;Arizona 37%&#10;Arkansas -4%&#10;California 2%&#10;Colorado 4%&#10;Connecticut 2%&#10;Delaware 15%&#10;Dist of Columbia 35%&#10;Florida 9%&#10;Georgia 13%&#10;Hawaii -14%&#10;Idaho 7%&#10;Illinois -2%&#10;Indiana 14%&#10;Iowa -5%&#10;Kansas 1%&#10;Kentucky 6%&#10;Louisiana 8%&#10;Maine 2%&#10;Maryland -8%&#10;Massachusetts 11%&#10;Michigan -7%&#10;Mississippi 3%&#10;Missouri -3%&#10;Montana -12%&#10;Nebraska -5%&#10;Nevada 22%&#10;New Hampshire 1%&#10;New Jersey 2%&#10;New Mexico 27%&#10;New York 63%&#10;North Carolina 2%&#10;North Dakota 26%&#10;Ohio -3%&#10;Oklahoma -4%&#10;Oregon -17%&#10;Pennsylvania -2%&#10;Rhode Island 36%&#10;South Carolina 1%&#10;South Dakota -13%&#10;Tennessee -4%&#10;Texas -1%&#10;Utah 23%&#10;Vermont 9%&#10;Virginia -12%&#10;Washington 13%&#10;West Virginia -5%&#10;Wisconsin -2%&#10;Wyoming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15271" name="Picture 1" descr="Map of U.S. states showing percent change in exports from 2024 to 2025. Colors are yellow for decline, green for growth.&#10;&#10;State Percent Change 2024 to 2025&#10;Minnesota -13%&#10;United States 6%&#10;Alabama -12%&#10;Alaska 13%&#10;Arizona 37%&#10;Arkansas -4%&#10;California 2%&#10;Colorado 4%&#10;Connecticut 2%&#10;Delaware 15%&#10;Dist of Columbia 35%&#10;Florida 9%&#10;Georgia 13%&#10;Hawaii -14%&#10;Idaho 7%&#10;Illinois -2%&#10;Indiana 14%&#10;Iowa -5%&#10;Kansas 1%&#10;Kentucky 6%&#10;Louisiana 8%&#10;Maine 2%&#10;Maryland -8%&#10;Massachusetts 11%&#10;Michigan -7%&#10;Mississippi 3%&#10;Missouri -3%&#10;Montana -12%&#10;Nebraska -5%&#10;Nevada 22%&#10;New Hampshire 1%&#10;New Jersey 2%&#10;New Mexico 27%&#10;New York 63%&#10;North Carolina 2%&#10;North Dakota 26%&#10;Ohio -3%&#10;Oklahoma -4%&#10;Oregon -17%&#10;Pennsylvania -2%&#10;Rhode Island 36%&#10;South Carolina 1%&#10;South Dakota -13%&#10;Tennessee -4%&#10;Texas -1%&#10;Utah 23%&#10;Vermont 9%&#10;Virginia -12%&#10;Washington 13%&#10;West Virginia -5%&#10;Wisconsin -2%&#10;Wyoming -4%&#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373" t="9688" r="8749"/>
                    <a:stretch>
                      <a:fillRect/>
                    </a:stretch>
                  </pic:blipFill>
                  <pic:spPr bwMode="auto">
                    <a:xfrm>
                      <a:off x="0" y="0"/>
                      <a:ext cx="3115607" cy="1729931"/>
                    </a:xfrm>
                    <a:prstGeom prst="rect">
                      <a:avLst/>
                    </a:prstGeom>
                    <a:noFill/>
                    <a:ln>
                      <a:noFill/>
                    </a:ln>
                    <a:extLst>
                      <a:ext uri="{53640926-AAD7-44D8-BBD7-CCE9431645EC}">
                        <a14:shadowObscured xmlns:a14="http://schemas.microsoft.com/office/drawing/2010/main"/>
                      </a:ext>
                    </a:extLst>
                  </pic:spPr>
                </pic:pic>
              </a:graphicData>
            </a:graphic>
          </wp:inline>
        </w:drawing>
      </w:r>
    </w:p>
    <w:p w14:paraId="37725C5D" w14:textId="77777777" w:rsidR="007F1C4A" w:rsidRPr="002A344A" w:rsidRDefault="007F1C4A" w:rsidP="00876C3E">
      <w:pPr>
        <w:tabs>
          <w:tab w:val="left" w:pos="450"/>
        </w:tabs>
        <w:spacing w:after="0"/>
        <w:ind w:left="360"/>
        <w:rPr>
          <w:i/>
          <w:sz w:val="18"/>
        </w:rPr>
      </w:pPr>
      <w:r w:rsidRPr="002A344A">
        <w:rPr>
          <w:i/>
          <w:sz w:val="18"/>
        </w:rPr>
        <w:t>Decline     0%   Growth</w:t>
      </w:r>
    </w:p>
    <w:p w14:paraId="394E3A7F" w14:textId="77777777" w:rsidR="00D811FA" w:rsidRPr="002A344A" w:rsidRDefault="00E2669F" w:rsidP="00876C3E">
      <w:pPr>
        <w:tabs>
          <w:tab w:val="left" w:pos="450"/>
        </w:tabs>
        <w:spacing w:after="0"/>
        <w:ind w:left="360"/>
      </w:pPr>
      <w:r w:rsidRPr="002A344A">
        <w:rPr>
          <w:noProof/>
        </w:rPr>
        <w:drawing>
          <wp:inline distT="0" distB="0" distL="0" distR="0" wp14:anchorId="4B03B774" wp14:editId="29B14B81">
            <wp:extent cx="1066800" cy="1524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41380" b="24137"/>
                    <a:stretch/>
                  </pic:blipFill>
                  <pic:spPr bwMode="auto">
                    <a:xfrm>
                      <a:off x="0" y="0"/>
                      <a:ext cx="1066800" cy="152400"/>
                    </a:xfrm>
                    <a:prstGeom prst="rect">
                      <a:avLst/>
                    </a:prstGeom>
                    <a:noFill/>
                    <a:ln>
                      <a:noFill/>
                    </a:ln>
                    <a:extLst>
                      <a:ext uri="{53640926-AAD7-44D8-BBD7-CCE9431645EC}">
                        <a14:shadowObscured xmlns:a14="http://schemas.microsoft.com/office/drawing/2010/main"/>
                      </a:ext>
                    </a:extLst>
                  </pic:spPr>
                </pic:pic>
              </a:graphicData>
            </a:graphic>
          </wp:inline>
        </w:drawing>
      </w:r>
    </w:p>
    <w:p w14:paraId="0926E465" w14:textId="77777777" w:rsidR="00D73299" w:rsidRPr="002A344A" w:rsidRDefault="00D73299" w:rsidP="00E849C9">
      <w:pPr>
        <w:sectPr w:rsidR="00D73299" w:rsidRPr="002A344A" w:rsidSect="007606AA">
          <w:footnotePr>
            <w:numRestart w:val="eachSect"/>
          </w:footnotePr>
          <w:endnotePr>
            <w:numFmt w:val="decimal"/>
          </w:endnotePr>
          <w:type w:val="continuous"/>
          <w:pgSz w:w="12240" w:h="15840" w:code="1"/>
          <w:pgMar w:top="1152" w:right="1152" w:bottom="1152" w:left="1152" w:header="720" w:footer="720" w:gutter="0"/>
          <w:cols w:num="2" w:space="288"/>
          <w:titlePg/>
          <w:docGrid w:linePitch="299"/>
        </w:sectPr>
      </w:pPr>
    </w:p>
    <w:p w14:paraId="3414AA65" w14:textId="6DAA5D68" w:rsidR="00E83789" w:rsidRPr="002A344A" w:rsidRDefault="00641E97" w:rsidP="00641E97">
      <w:pPr>
        <w:pStyle w:val="Heading2"/>
        <w:spacing w:before="360"/>
      </w:pPr>
      <w:r w:rsidRPr="002A344A">
        <w:t>Widespread Weak</w:t>
      </w:r>
      <w:r w:rsidR="00B94644" w:rsidRPr="002A344A">
        <w:t>er</w:t>
      </w:r>
      <w:r w:rsidR="000F19B5" w:rsidRPr="002A344A">
        <w:t xml:space="preserve"> Demand</w:t>
      </w:r>
      <w:r w:rsidR="0052593E" w:rsidRPr="002A344A">
        <w:t xml:space="preserve"> in </w:t>
      </w:r>
      <w:r w:rsidR="008025ED" w:rsidRPr="002A344A">
        <w:t>North America</w:t>
      </w:r>
      <w:r w:rsidR="00F513A5" w:rsidRPr="002A344A">
        <w:t xml:space="preserve"> and Asia</w:t>
      </w:r>
      <w:r w:rsidR="000F19B5" w:rsidRPr="002A344A">
        <w:t xml:space="preserve"> </w:t>
      </w:r>
      <w:r w:rsidR="00B94644" w:rsidRPr="002A344A">
        <w:t>Triggers</w:t>
      </w:r>
      <w:r w:rsidR="00612C9C" w:rsidRPr="002A344A">
        <w:t xml:space="preserve"> Large</w:t>
      </w:r>
      <w:r w:rsidRPr="002A344A">
        <w:t xml:space="preserve"> </w:t>
      </w:r>
      <w:r w:rsidR="000F19B5" w:rsidRPr="002A344A">
        <w:t>Expor</w:t>
      </w:r>
      <w:r w:rsidRPr="002A344A">
        <w:t xml:space="preserve">t </w:t>
      </w:r>
      <w:r w:rsidR="00B94644" w:rsidRPr="002A344A">
        <w:t>Slide</w:t>
      </w:r>
    </w:p>
    <w:p w14:paraId="2936DC84" w14:textId="5A2CE941" w:rsidR="00F513A5" w:rsidRPr="002A344A" w:rsidRDefault="004E2649" w:rsidP="00FA7D40">
      <w:pPr>
        <w:pStyle w:val="ListParagraph"/>
        <w:numPr>
          <w:ilvl w:val="0"/>
          <w:numId w:val="27"/>
        </w:numPr>
        <w:spacing w:after="0"/>
        <w:ind w:left="360"/>
      </w:pPr>
      <w:r w:rsidRPr="002A344A">
        <w:t>Minnesota</w:t>
      </w:r>
      <w:r w:rsidR="00104038" w:rsidRPr="002A344A">
        <w:t xml:space="preserve"> export</w:t>
      </w:r>
      <w:r w:rsidR="00090665" w:rsidRPr="002A344A">
        <w:t>er</w:t>
      </w:r>
      <w:r w:rsidR="00E849C9" w:rsidRPr="002A344A">
        <w:t>s</w:t>
      </w:r>
      <w:r w:rsidR="00090665" w:rsidRPr="002A344A">
        <w:t xml:space="preserve"> (and importers)</w:t>
      </w:r>
      <w:r w:rsidR="00E849C9" w:rsidRPr="002A344A">
        <w:t xml:space="preserve"> </w:t>
      </w:r>
      <w:r w:rsidR="003F35AF" w:rsidRPr="002A344A">
        <w:t>struggled to gain traction</w:t>
      </w:r>
      <w:r w:rsidR="00E849C9" w:rsidRPr="002A344A">
        <w:t xml:space="preserve"> in </w:t>
      </w:r>
      <w:r w:rsidR="000922F2" w:rsidRPr="002A344A">
        <w:t>2025</w:t>
      </w:r>
      <w:r w:rsidR="003F35AF" w:rsidRPr="002A344A">
        <w:t xml:space="preserve">. </w:t>
      </w:r>
      <w:r w:rsidR="00090665" w:rsidRPr="002A344A">
        <w:t>Businesses</w:t>
      </w:r>
      <w:r w:rsidR="003F35AF" w:rsidRPr="002A344A">
        <w:t xml:space="preserve"> continued to face unpredictable trade policies</w:t>
      </w:r>
      <w:r w:rsidR="00B94644" w:rsidRPr="002A344A">
        <w:t>,</w:t>
      </w:r>
      <w:r w:rsidR="00DD2AFB" w:rsidRPr="002A344A">
        <w:t xml:space="preserve"> challenging economic conditions and </w:t>
      </w:r>
      <w:r w:rsidR="00B94644" w:rsidRPr="002A344A">
        <w:t xml:space="preserve">ongoing </w:t>
      </w:r>
      <w:r w:rsidR="00DD2AFB" w:rsidRPr="002A344A">
        <w:t>uncertainty.</w:t>
      </w:r>
    </w:p>
    <w:p w14:paraId="1DB2433A" w14:textId="199362E8" w:rsidR="000F19B5" w:rsidRPr="002A344A" w:rsidRDefault="007258AB" w:rsidP="000F19B5">
      <w:pPr>
        <w:pStyle w:val="ListParagraph"/>
        <w:numPr>
          <w:ilvl w:val="0"/>
          <w:numId w:val="27"/>
        </w:numPr>
        <w:spacing w:after="0"/>
        <w:ind w:left="360"/>
      </w:pPr>
      <w:r w:rsidRPr="002A344A">
        <w:t xml:space="preserve">Exports to </w:t>
      </w:r>
      <w:r w:rsidR="008025ED" w:rsidRPr="002A344A">
        <w:rPr>
          <w:b/>
          <w:bCs/>
        </w:rPr>
        <w:t>North America</w:t>
      </w:r>
      <w:r w:rsidR="008025ED" w:rsidRPr="002A344A">
        <w:t xml:space="preserve"> </w:t>
      </w:r>
      <w:r w:rsidR="003F35AF" w:rsidRPr="002A344A">
        <w:t>shrank</w:t>
      </w:r>
      <w:r w:rsidR="005D605B" w:rsidRPr="002A344A">
        <w:t xml:space="preserve"> </w:t>
      </w:r>
      <w:r w:rsidR="003F35AF" w:rsidRPr="002A344A">
        <w:t>24</w:t>
      </w:r>
      <w:r w:rsidR="002C7DF6" w:rsidRPr="002A344A">
        <w:t xml:space="preserve">% </w:t>
      </w:r>
      <w:r w:rsidR="005D605B" w:rsidRPr="002A344A">
        <w:t>to</w:t>
      </w:r>
      <w:r w:rsidR="00334BF5" w:rsidRPr="002A344A">
        <w:t xml:space="preserve"> </w:t>
      </w:r>
      <w:r w:rsidR="008025ED" w:rsidRPr="002A344A">
        <w:t>$</w:t>
      </w:r>
      <w:r w:rsidR="003F35AF" w:rsidRPr="002A344A">
        <w:t>9.2</w:t>
      </w:r>
      <w:r w:rsidR="008025ED" w:rsidRPr="002A344A">
        <w:t xml:space="preserve"> billion</w:t>
      </w:r>
      <w:r w:rsidR="003F35AF" w:rsidRPr="002A344A">
        <w:t xml:space="preserve"> in 2025 – down nearly $3 billion</w:t>
      </w:r>
      <w:r w:rsidR="00B94644" w:rsidRPr="002A344A">
        <w:t>,</w:t>
      </w:r>
      <w:r w:rsidR="007606AA" w:rsidRPr="002A344A">
        <w:t xml:space="preserve"> </w:t>
      </w:r>
      <w:r w:rsidR="00B94644" w:rsidRPr="002A344A">
        <w:t>fueled by restraint in</w:t>
      </w:r>
      <w:r w:rsidR="00334BF5" w:rsidRPr="002A344A">
        <w:t xml:space="preserve"> </w:t>
      </w:r>
      <w:r w:rsidR="00334BF5" w:rsidRPr="002A344A">
        <w:rPr>
          <w:b/>
          <w:bCs/>
        </w:rPr>
        <w:t>Canada</w:t>
      </w:r>
      <w:r w:rsidR="000F19B5" w:rsidRPr="002A344A">
        <w:rPr>
          <w:b/>
          <w:bCs/>
        </w:rPr>
        <w:t xml:space="preserve"> </w:t>
      </w:r>
      <w:r w:rsidR="000F19B5" w:rsidRPr="002A344A">
        <w:t xml:space="preserve">and </w:t>
      </w:r>
      <w:r w:rsidR="000F19B5" w:rsidRPr="002A344A">
        <w:rPr>
          <w:b/>
          <w:bCs/>
        </w:rPr>
        <w:t>Mexico</w:t>
      </w:r>
      <w:r w:rsidR="00B94644" w:rsidRPr="002A344A">
        <w:rPr>
          <w:b/>
          <w:bCs/>
        </w:rPr>
        <w:t>.</w:t>
      </w:r>
      <w:r w:rsidR="00B94644" w:rsidRPr="002A344A">
        <w:t xml:space="preserve"> Exports to </w:t>
      </w:r>
      <w:r w:rsidR="00F513A5" w:rsidRPr="002A344A">
        <w:rPr>
          <w:b/>
          <w:bCs/>
        </w:rPr>
        <w:t>Asia</w:t>
      </w:r>
      <w:r w:rsidR="009B7CC1" w:rsidRPr="002A344A">
        <w:t xml:space="preserve"> </w:t>
      </w:r>
      <w:r w:rsidR="007606AA" w:rsidRPr="002A344A">
        <w:t>slipped</w:t>
      </w:r>
      <w:r w:rsidR="009B7CC1" w:rsidRPr="002A344A">
        <w:t xml:space="preserve"> </w:t>
      </w:r>
      <w:r w:rsidR="003F35AF" w:rsidRPr="002A344A">
        <w:t>9</w:t>
      </w:r>
      <w:r w:rsidR="009B7CC1" w:rsidRPr="002A344A">
        <w:t>%</w:t>
      </w:r>
      <w:r w:rsidR="007606AA" w:rsidRPr="002A344A">
        <w:t xml:space="preserve"> as demand </w:t>
      </w:r>
      <w:r w:rsidR="00090665" w:rsidRPr="002A344A">
        <w:t>slid</w:t>
      </w:r>
      <w:r w:rsidR="007606AA" w:rsidRPr="002A344A">
        <w:t xml:space="preserve"> </w:t>
      </w:r>
      <w:r w:rsidR="00D11562" w:rsidRPr="002A344A">
        <w:t>in</w:t>
      </w:r>
      <w:r w:rsidR="00DD2AFB" w:rsidRPr="002A344A">
        <w:t xml:space="preserve"> </w:t>
      </w:r>
      <w:r w:rsidR="00DD2AFB" w:rsidRPr="002A344A">
        <w:rPr>
          <w:b/>
          <w:bCs/>
        </w:rPr>
        <w:t>China</w:t>
      </w:r>
      <w:r w:rsidR="00DD2AFB" w:rsidRPr="002A344A">
        <w:t xml:space="preserve">, </w:t>
      </w:r>
      <w:r w:rsidR="00DD2AFB" w:rsidRPr="002A344A">
        <w:rPr>
          <w:b/>
          <w:bCs/>
        </w:rPr>
        <w:t>Taiwan</w:t>
      </w:r>
      <w:r w:rsidR="00D11562" w:rsidRPr="002A344A">
        <w:rPr>
          <w:b/>
          <w:bCs/>
        </w:rPr>
        <w:t xml:space="preserve"> </w:t>
      </w:r>
      <w:r w:rsidR="007606AA" w:rsidRPr="002A344A">
        <w:t>and the</w:t>
      </w:r>
      <w:r w:rsidR="00D11562" w:rsidRPr="002A344A">
        <w:t xml:space="preserve"> </w:t>
      </w:r>
      <w:r w:rsidR="00D11562" w:rsidRPr="002A344A">
        <w:rPr>
          <w:b/>
          <w:bCs/>
        </w:rPr>
        <w:t>Philippines</w:t>
      </w:r>
      <w:r w:rsidR="003F35AF" w:rsidRPr="002A344A">
        <w:t>.</w:t>
      </w:r>
      <w:r w:rsidR="00D11562" w:rsidRPr="002A344A">
        <w:t xml:space="preserve"> </w:t>
      </w:r>
    </w:p>
    <w:p w14:paraId="297C74BD" w14:textId="62EDE701" w:rsidR="00DD2AFB" w:rsidRPr="002A344A" w:rsidRDefault="00DD2AFB" w:rsidP="002C7DF6">
      <w:pPr>
        <w:pStyle w:val="ListParagraph"/>
        <w:numPr>
          <w:ilvl w:val="0"/>
          <w:numId w:val="27"/>
        </w:numPr>
        <w:spacing w:after="0"/>
        <w:ind w:left="360"/>
        <w:rPr>
          <w:b/>
          <w:bCs/>
        </w:rPr>
      </w:pPr>
      <w:r w:rsidRPr="002A344A">
        <w:t>Bright spots of</w:t>
      </w:r>
      <w:r w:rsidR="00D11562" w:rsidRPr="002A344A">
        <w:t xml:space="preserve"> regional</w:t>
      </w:r>
      <w:r w:rsidRPr="002A344A">
        <w:t xml:space="preserve"> growth </w:t>
      </w:r>
      <w:r w:rsidR="00D11562" w:rsidRPr="002A344A">
        <w:t>included</w:t>
      </w:r>
      <w:r w:rsidRPr="002A344A">
        <w:t xml:space="preserve"> </w:t>
      </w:r>
      <w:r w:rsidRPr="002A344A">
        <w:rPr>
          <w:b/>
          <w:bCs/>
        </w:rPr>
        <w:t>European markets outside the EU</w:t>
      </w:r>
      <w:r w:rsidR="00730C7F" w:rsidRPr="002A344A">
        <w:t xml:space="preserve"> –</w:t>
      </w:r>
      <w:r w:rsidR="00730C7F" w:rsidRPr="002A344A">
        <w:rPr>
          <w:b/>
          <w:bCs/>
        </w:rPr>
        <w:t xml:space="preserve"> </w:t>
      </w:r>
      <w:r w:rsidR="00B94644" w:rsidRPr="002A344A">
        <w:t>driven</w:t>
      </w:r>
      <w:r w:rsidR="00730C7F" w:rsidRPr="002A344A">
        <w:t xml:space="preserve"> by</w:t>
      </w:r>
      <w:r w:rsidR="00D11562" w:rsidRPr="002A344A">
        <w:t xml:space="preserve"> </w:t>
      </w:r>
      <w:r w:rsidRPr="002A344A">
        <w:t xml:space="preserve">the </w:t>
      </w:r>
      <w:r w:rsidRPr="002A344A">
        <w:rPr>
          <w:b/>
          <w:bCs/>
        </w:rPr>
        <w:t>U.K.</w:t>
      </w:r>
      <w:r w:rsidRPr="002A344A">
        <w:t xml:space="preserve"> and</w:t>
      </w:r>
      <w:r w:rsidRPr="002A344A">
        <w:rPr>
          <w:b/>
          <w:bCs/>
        </w:rPr>
        <w:t xml:space="preserve"> Switzerland</w:t>
      </w:r>
      <w:r w:rsidR="00D11562" w:rsidRPr="002A344A">
        <w:t xml:space="preserve">; </w:t>
      </w:r>
      <w:r w:rsidR="00B94644" w:rsidRPr="002A344A">
        <w:t xml:space="preserve">and </w:t>
      </w:r>
      <w:r w:rsidR="00AF4BBA" w:rsidRPr="002A344A">
        <w:t xml:space="preserve">the </w:t>
      </w:r>
      <w:r w:rsidR="00730C7F" w:rsidRPr="002A344A">
        <w:rPr>
          <w:b/>
          <w:bCs/>
        </w:rPr>
        <w:t>Caribbean</w:t>
      </w:r>
      <w:r w:rsidR="00B94644" w:rsidRPr="002A344A">
        <w:t xml:space="preserve"> and</w:t>
      </w:r>
      <w:r w:rsidR="00730C7F" w:rsidRPr="002A344A">
        <w:rPr>
          <w:b/>
          <w:bCs/>
        </w:rPr>
        <w:t xml:space="preserve"> South</w:t>
      </w:r>
      <w:r w:rsidRPr="002A344A">
        <w:rPr>
          <w:b/>
          <w:bCs/>
        </w:rPr>
        <w:t xml:space="preserve"> America</w:t>
      </w:r>
      <w:r w:rsidR="00730C7F" w:rsidRPr="002A344A">
        <w:t>,</w:t>
      </w:r>
      <w:r w:rsidR="00D11562" w:rsidRPr="002A344A">
        <w:t xml:space="preserve"> </w:t>
      </w:r>
      <w:r w:rsidR="00730C7F" w:rsidRPr="002A344A">
        <w:t xml:space="preserve">led by </w:t>
      </w:r>
      <w:r w:rsidRPr="002A344A">
        <w:rPr>
          <w:b/>
          <w:bCs/>
        </w:rPr>
        <w:t>Argen</w:t>
      </w:r>
      <w:r w:rsidR="00D11562" w:rsidRPr="002A344A">
        <w:rPr>
          <w:b/>
          <w:bCs/>
        </w:rPr>
        <w:t>t</w:t>
      </w:r>
      <w:r w:rsidRPr="002A344A">
        <w:rPr>
          <w:b/>
          <w:bCs/>
        </w:rPr>
        <w:t>ina</w:t>
      </w:r>
      <w:r w:rsidR="00730C7F" w:rsidRPr="002A344A">
        <w:rPr>
          <w:b/>
          <w:bCs/>
        </w:rPr>
        <w:t>,</w:t>
      </w:r>
      <w:r w:rsidRPr="002A344A">
        <w:t xml:space="preserve"> </w:t>
      </w:r>
      <w:r w:rsidRPr="002A344A">
        <w:rPr>
          <w:b/>
          <w:bCs/>
        </w:rPr>
        <w:t>Chile</w:t>
      </w:r>
      <w:r w:rsidR="00730C7F" w:rsidRPr="002A344A">
        <w:t xml:space="preserve"> and the </w:t>
      </w:r>
      <w:r w:rsidR="00730C7F" w:rsidRPr="002A344A">
        <w:rPr>
          <w:b/>
        </w:rPr>
        <w:t>Dominican Republic</w:t>
      </w:r>
      <w:r w:rsidR="00730C7F" w:rsidRPr="002A344A">
        <w:rPr>
          <w:bCs/>
        </w:rPr>
        <w:t>.</w:t>
      </w:r>
    </w:p>
    <w:p w14:paraId="6372A21B" w14:textId="6F8EBA21" w:rsidR="00334BF5" w:rsidRPr="002A344A" w:rsidRDefault="00D11562" w:rsidP="00A877F5">
      <w:pPr>
        <w:pStyle w:val="ListParagraph"/>
        <w:numPr>
          <w:ilvl w:val="0"/>
          <w:numId w:val="27"/>
        </w:numPr>
        <w:spacing w:after="0"/>
        <w:ind w:left="360"/>
      </w:pPr>
      <w:r w:rsidRPr="002A344A">
        <w:t xml:space="preserve">While the state’s </w:t>
      </w:r>
      <w:r w:rsidR="00090665" w:rsidRPr="002A344A">
        <w:t>sales were somewhat stable</w:t>
      </w:r>
      <w:r w:rsidRPr="002A344A">
        <w:t xml:space="preserve"> to the</w:t>
      </w:r>
      <w:r w:rsidR="00334BF5" w:rsidRPr="002A344A">
        <w:t xml:space="preserve"> </w:t>
      </w:r>
      <w:r w:rsidR="00334BF5" w:rsidRPr="002A344A">
        <w:rPr>
          <w:b/>
          <w:bCs/>
        </w:rPr>
        <w:t xml:space="preserve">European Union </w:t>
      </w:r>
      <w:r w:rsidR="00334BF5" w:rsidRPr="002A344A">
        <w:t xml:space="preserve">($4 billion, </w:t>
      </w:r>
      <w:r w:rsidRPr="002A344A">
        <w:t>up</w:t>
      </w:r>
      <w:r w:rsidR="00334BF5" w:rsidRPr="002A344A">
        <w:t xml:space="preserve"> </w:t>
      </w:r>
      <w:r w:rsidRPr="002A344A">
        <w:t>1</w:t>
      </w:r>
      <w:r w:rsidR="00334BF5" w:rsidRPr="002A344A">
        <w:t>%)</w:t>
      </w:r>
      <w:r w:rsidRPr="002A344A">
        <w:t xml:space="preserve"> and </w:t>
      </w:r>
      <w:r w:rsidRPr="002A344A">
        <w:rPr>
          <w:b/>
          <w:bCs/>
        </w:rPr>
        <w:t xml:space="preserve">Africa </w:t>
      </w:r>
      <w:r w:rsidR="00A5262D" w:rsidRPr="002A344A">
        <w:t>(</w:t>
      </w:r>
      <w:r w:rsidR="007258AB" w:rsidRPr="002A344A">
        <w:t>$</w:t>
      </w:r>
      <w:r w:rsidRPr="002A344A">
        <w:t>208</w:t>
      </w:r>
      <w:r w:rsidR="007258AB" w:rsidRPr="002A344A">
        <w:t xml:space="preserve"> million, </w:t>
      </w:r>
      <w:r w:rsidRPr="002A344A">
        <w:t>up</w:t>
      </w:r>
      <w:r w:rsidR="007258AB" w:rsidRPr="002A344A">
        <w:t xml:space="preserve"> </w:t>
      </w:r>
      <w:r w:rsidRPr="002A344A">
        <w:t>1</w:t>
      </w:r>
      <w:r w:rsidR="00A5262D" w:rsidRPr="002A344A">
        <w:t>%)</w:t>
      </w:r>
      <w:r w:rsidR="00090665" w:rsidRPr="002A344A">
        <w:t>,</w:t>
      </w:r>
      <w:r w:rsidR="005D7C54" w:rsidRPr="002A344A">
        <w:t xml:space="preserve"> </w:t>
      </w:r>
      <w:r w:rsidRPr="002A344A">
        <w:t>th</w:t>
      </w:r>
      <w:r w:rsidR="00090665" w:rsidRPr="002A344A">
        <w:t>ey faltered</w:t>
      </w:r>
      <w:r w:rsidRPr="002A344A">
        <w:t xml:space="preserve"> to </w:t>
      </w:r>
      <w:r w:rsidRPr="002A344A">
        <w:rPr>
          <w:b/>
          <w:bCs/>
        </w:rPr>
        <w:t>Australia</w:t>
      </w:r>
      <w:r w:rsidRPr="002A344A">
        <w:t xml:space="preserve"> (down 24%) and the </w:t>
      </w:r>
      <w:r w:rsidRPr="002A344A">
        <w:rPr>
          <w:b/>
          <w:bCs/>
        </w:rPr>
        <w:t xml:space="preserve">Middle East </w:t>
      </w:r>
      <w:r w:rsidRPr="002A344A">
        <w:t>(down 7%).</w:t>
      </w:r>
    </w:p>
    <w:p w14:paraId="3927CA69" w14:textId="579D7913" w:rsidR="0018019E" w:rsidRPr="002A344A" w:rsidRDefault="007C165F" w:rsidP="007606AA">
      <w:pPr>
        <w:spacing w:before="120" w:after="0"/>
        <w:rPr>
          <w:rStyle w:val="Heading4Char"/>
          <w:color w:val="auto"/>
        </w:rPr>
      </w:pPr>
      <w:r w:rsidRPr="002A344A">
        <w:rPr>
          <w:rStyle w:val="Heading4Char"/>
          <w:color w:val="auto"/>
        </w:rPr>
        <w:t xml:space="preserve">Figure </w:t>
      </w:r>
      <w:r w:rsidR="00E36364" w:rsidRPr="002A344A">
        <w:rPr>
          <w:rStyle w:val="Heading4Char"/>
          <w:color w:val="auto"/>
        </w:rPr>
        <w:fldChar w:fldCharType="begin"/>
      </w:r>
      <w:r w:rsidR="00E36364" w:rsidRPr="002A344A">
        <w:rPr>
          <w:rStyle w:val="Heading4Char"/>
          <w:color w:val="auto"/>
        </w:rPr>
        <w:instrText xml:space="preserve"> SEQ Figure \* ARABIC </w:instrText>
      </w:r>
      <w:r w:rsidR="00E36364" w:rsidRPr="002A344A">
        <w:rPr>
          <w:rStyle w:val="Heading4Char"/>
          <w:color w:val="auto"/>
        </w:rPr>
        <w:fldChar w:fldCharType="separate"/>
      </w:r>
      <w:r w:rsidR="009D1486" w:rsidRPr="002A344A">
        <w:rPr>
          <w:rStyle w:val="Heading4Char"/>
          <w:noProof/>
          <w:color w:val="auto"/>
        </w:rPr>
        <w:t>2</w:t>
      </w:r>
      <w:r w:rsidR="00E36364" w:rsidRPr="002A344A">
        <w:rPr>
          <w:rStyle w:val="Heading4Char"/>
          <w:color w:val="auto"/>
        </w:rPr>
        <w:fldChar w:fldCharType="end"/>
      </w:r>
      <w:r w:rsidR="00C84D0E" w:rsidRPr="002A344A">
        <w:rPr>
          <w:rStyle w:val="Heading4Char"/>
          <w:color w:val="auto"/>
        </w:rPr>
        <w:t xml:space="preserve">. </w:t>
      </w:r>
      <w:r w:rsidR="00542EF2" w:rsidRPr="002A344A">
        <w:rPr>
          <w:rStyle w:val="Heading4Char"/>
          <w:color w:val="auto"/>
        </w:rPr>
        <w:t xml:space="preserve">Exports </w:t>
      </w:r>
      <w:r w:rsidR="0029293B" w:rsidRPr="002A344A">
        <w:rPr>
          <w:rStyle w:val="Heading4Char"/>
          <w:color w:val="auto"/>
        </w:rPr>
        <w:t>to</w:t>
      </w:r>
      <w:r w:rsidR="0038665A" w:rsidRPr="002A344A">
        <w:rPr>
          <w:rStyle w:val="Heading4Char"/>
          <w:color w:val="auto"/>
        </w:rPr>
        <w:t xml:space="preserve"> Minnesota’s Top 10 Markets</w:t>
      </w:r>
      <w:r w:rsidR="00705190" w:rsidRPr="002A344A">
        <w:rPr>
          <w:rStyle w:val="Heading4Char"/>
          <w:color w:val="auto"/>
        </w:rPr>
        <w:t xml:space="preserve"> in</w:t>
      </w:r>
      <w:r w:rsidR="0038665A" w:rsidRPr="002A344A">
        <w:rPr>
          <w:rStyle w:val="Heading4Char"/>
          <w:color w:val="auto"/>
        </w:rPr>
        <w:t xml:space="preserve"> </w:t>
      </w:r>
      <w:r w:rsidR="000922F2" w:rsidRPr="002A344A">
        <w:rPr>
          <w:rStyle w:val="Heading4Char"/>
          <w:color w:val="auto"/>
        </w:rPr>
        <w:t>2025</w:t>
      </w:r>
    </w:p>
    <w:p w14:paraId="76AC404F" w14:textId="19795348" w:rsidR="000B6477" w:rsidRPr="002A344A" w:rsidRDefault="00730C7F" w:rsidP="007606AA">
      <w:pPr>
        <w:spacing w:after="0"/>
        <w:rPr>
          <w:rStyle w:val="Heading4Char"/>
          <w:color w:val="auto"/>
        </w:rPr>
      </w:pPr>
      <w:r w:rsidRPr="002A344A">
        <w:rPr>
          <w:noProof/>
        </w:rPr>
        <w:drawing>
          <wp:inline distT="0" distB="0" distL="0" distR="0" wp14:anchorId="4B85EA81" wp14:editId="70C5317A">
            <wp:extent cx="6388509" cy="1773141"/>
            <wp:effectExtent l="0" t="0" r="0" b="0"/>
            <wp:docPr id="1057098519" name="Picture 2" descr="double bar chart&#10;Exports to Minnesota's top 10 markets in 2025&#10;Country Exports (millions) Percent Change, 2024 to 2025&#10;Other  $1,831  -3%&#10;WORLD  $23,506  -13%&#10;Canada (1)   $5,570  -29%&#10;Mexico (2)   $3,597  -14%&#10;China (3)   $1,803  -20%&#10;Japan (4)   $969  -2%&#10;Ireland (5)   $839  7%&#10;Korea (6)   $766  5%&#10;Belgium (7)   $725  4%&#10;Germany (8)   $686  6%&#10;U.K. (9)   $679  30%&#10;Netherlands  $575  -6%&#10;Other  $7,298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98519" name="Picture 2" descr="double bar chart&#10;Exports to Minnesota's top 10 markets in 2025&#10;Country Exports (millions) Percent Change, 2024 to 2025&#10;Other  $1,831  -3%&#10;WORLD  $23,506  -13%&#10;Canada (1)   $5,570  -29%&#10;Mexico (2)   $3,597  -14%&#10;China (3)   $1,803  -20%&#10;Japan (4)   $969  -2%&#10;Ireland (5)   $839  7%&#10;Korea (6)   $766  5%&#10;Belgium (7)   $725  4%&#10;Germany (8)   $686  6%&#10;U.K. (9)   $679  30%&#10;Netherlands  $575  -6%&#10;Other  $7,298  -3%&#10;"/>
                    <pic:cNvPicPr>
                      <a:picLocks noChangeAspect="1" noChangeArrowheads="1"/>
                    </pic:cNvPicPr>
                  </pic:nvPicPr>
                  <pic:blipFill rotWithShape="1">
                    <a:blip r:embed="rId14">
                      <a:extLst>
                        <a:ext uri="{28A0092B-C50C-407E-A947-70E740481C1C}">
                          <a14:useLocalDpi xmlns:a14="http://schemas.microsoft.com/office/drawing/2010/main" val="0"/>
                        </a:ext>
                      </a:extLst>
                    </a:blip>
                    <a:srcRect l="3176" t="6572"/>
                    <a:stretch>
                      <a:fillRect/>
                    </a:stretch>
                  </pic:blipFill>
                  <pic:spPr bwMode="auto">
                    <a:xfrm>
                      <a:off x="0" y="0"/>
                      <a:ext cx="6427566" cy="1783981"/>
                    </a:xfrm>
                    <a:prstGeom prst="rect">
                      <a:avLst/>
                    </a:prstGeom>
                    <a:noFill/>
                    <a:ln>
                      <a:noFill/>
                    </a:ln>
                    <a:extLst>
                      <a:ext uri="{53640926-AAD7-44D8-BBD7-CCE9431645EC}">
                        <a14:shadowObscured xmlns:a14="http://schemas.microsoft.com/office/drawing/2010/main"/>
                      </a:ext>
                    </a:extLst>
                  </pic:spPr>
                </pic:pic>
              </a:graphicData>
            </a:graphic>
          </wp:inline>
        </w:drawing>
      </w:r>
    </w:p>
    <w:p w14:paraId="29AFD6FC" w14:textId="5CB2835D" w:rsidR="00AD20E9" w:rsidRPr="002A344A" w:rsidRDefault="000F19B5" w:rsidP="00EC4AEF">
      <w:pPr>
        <w:pStyle w:val="Heading2"/>
        <w:spacing w:before="120" w:after="120"/>
        <w:sectPr w:rsidR="00AD20E9" w:rsidRPr="002A344A" w:rsidSect="007606AA">
          <w:footnotePr>
            <w:numRestart w:val="eachSect"/>
          </w:footnotePr>
          <w:endnotePr>
            <w:numFmt w:val="decimal"/>
          </w:endnotePr>
          <w:type w:val="continuous"/>
          <w:pgSz w:w="12240" w:h="15840" w:code="1"/>
          <w:pgMar w:top="1152" w:right="1152" w:bottom="1152" w:left="1152" w:header="432" w:footer="432" w:gutter="0"/>
          <w:cols w:space="720"/>
          <w:docGrid w:linePitch="299"/>
        </w:sectPr>
      </w:pPr>
      <w:r w:rsidRPr="002A344A">
        <w:lastRenderedPageBreak/>
        <w:t xml:space="preserve">Mineral Fuel &amp; Oil, </w:t>
      </w:r>
      <w:r w:rsidR="007218D3" w:rsidRPr="002A344A">
        <w:t>Vehicles, Machinery and Optic &amp; Medical Goods</w:t>
      </w:r>
      <w:r w:rsidR="00612C9C" w:rsidRPr="002A344A">
        <w:t xml:space="preserve"> Fall Sharply</w:t>
      </w:r>
    </w:p>
    <w:p w14:paraId="12143941" w14:textId="5DCC7D3D" w:rsidR="00F96EA1" w:rsidRPr="002A344A" w:rsidRDefault="00D57C3C" w:rsidP="00F96EA1">
      <w:pPr>
        <w:pStyle w:val="ListParagraph"/>
        <w:numPr>
          <w:ilvl w:val="0"/>
          <w:numId w:val="7"/>
        </w:numPr>
        <w:spacing w:before="60" w:after="0" w:line="271" w:lineRule="auto"/>
        <w:ind w:left="450" w:right="18"/>
        <w:rPr>
          <w:b/>
          <w:sz w:val="24"/>
        </w:rPr>
      </w:pPr>
      <w:r w:rsidRPr="002A344A">
        <w:rPr>
          <w:bCs/>
        </w:rPr>
        <w:t xml:space="preserve">Global </w:t>
      </w:r>
      <w:r w:rsidR="005D7C54" w:rsidRPr="002A344A">
        <w:rPr>
          <w:bCs/>
        </w:rPr>
        <w:t>sales of</w:t>
      </w:r>
      <w:r w:rsidRPr="002A344A">
        <w:rPr>
          <w:bCs/>
        </w:rPr>
        <w:t xml:space="preserve"> </w:t>
      </w:r>
      <w:r w:rsidR="007218D3" w:rsidRPr="002A344A">
        <w:rPr>
          <w:bCs/>
        </w:rPr>
        <w:t xml:space="preserve">some of </w:t>
      </w:r>
      <w:r w:rsidRPr="002A344A">
        <w:rPr>
          <w:bCs/>
        </w:rPr>
        <w:t>Minnesota’s</w:t>
      </w:r>
      <w:r w:rsidR="007218D3" w:rsidRPr="002A344A">
        <w:rPr>
          <w:bCs/>
        </w:rPr>
        <w:t xml:space="preserve"> core</w:t>
      </w:r>
      <w:r w:rsidRPr="002A344A">
        <w:rPr>
          <w:bCs/>
        </w:rPr>
        <w:t xml:space="preserve"> </w:t>
      </w:r>
      <w:r w:rsidR="007218D3" w:rsidRPr="002A344A">
        <w:rPr>
          <w:bCs/>
        </w:rPr>
        <w:t xml:space="preserve">products – such as </w:t>
      </w:r>
      <w:r w:rsidRPr="002A344A">
        <w:rPr>
          <w:b/>
        </w:rPr>
        <w:t xml:space="preserve">mineral fuel, oil </w:t>
      </w:r>
      <w:r w:rsidRPr="002A344A">
        <w:rPr>
          <w:bCs/>
        </w:rPr>
        <w:t>(</w:t>
      </w:r>
      <w:r w:rsidR="007218D3" w:rsidRPr="002A344A">
        <w:rPr>
          <w:bCs/>
        </w:rPr>
        <w:t>down 69%</w:t>
      </w:r>
      <w:r w:rsidRPr="002A344A">
        <w:rPr>
          <w:bCs/>
        </w:rPr>
        <w:t xml:space="preserve">), </w:t>
      </w:r>
      <w:r w:rsidR="007218D3" w:rsidRPr="002A344A">
        <w:rPr>
          <w:b/>
        </w:rPr>
        <w:t>vehicles</w:t>
      </w:r>
      <w:r w:rsidRPr="002A344A">
        <w:rPr>
          <w:b/>
        </w:rPr>
        <w:t xml:space="preserve"> </w:t>
      </w:r>
      <w:r w:rsidRPr="002A344A">
        <w:rPr>
          <w:bCs/>
        </w:rPr>
        <w:t>(</w:t>
      </w:r>
      <w:r w:rsidR="007218D3" w:rsidRPr="002A344A">
        <w:rPr>
          <w:bCs/>
        </w:rPr>
        <w:t>down 19%</w:t>
      </w:r>
      <w:r w:rsidRPr="002A344A">
        <w:rPr>
          <w:bCs/>
        </w:rPr>
        <w:t>)</w:t>
      </w:r>
      <w:r w:rsidR="007218D3" w:rsidRPr="002A344A">
        <w:rPr>
          <w:bCs/>
        </w:rPr>
        <w:t>,</w:t>
      </w:r>
      <w:r w:rsidR="00BC4C10" w:rsidRPr="002A344A">
        <w:t xml:space="preserve"> </w:t>
      </w:r>
      <w:r w:rsidR="007218D3" w:rsidRPr="002A344A">
        <w:rPr>
          <w:b/>
        </w:rPr>
        <w:t>machinery</w:t>
      </w:r>
      <w:r w:rsidR="00BC4C10" w:rsidRPr="002A344A">
        <w:rPr>
          <w:b/>
        </w:rPr>
        <w:t xml:space="preserve"> </w:t>
      </w:r>
      <w:r w:rsidR="00BC4C10" w:rsidRPr="002A344A">
        <w:rPr>
          <w:bCs/>
        </w:rPr>
        <w:t>(</w:t>
      </w:r>
      <w:r w:rsidR="007218D3" w:rsidRPr="002A344A">
        <w:rPr>
          <w:bCs/>
        </w:rPr>
        <w:t>down 10%</w:t>
      </w:r>
      <w:r w:rsidR="00BC4C10" w:rsidRPr="002A344A">
        <w:rPr>
          <w:bCs/>
        </w:rPr>
        <w:t>)</w:t>
      </w:r>
      <w:r w:rsidR="00763AAD" w:rsidRPr="002A344A">
        <w:rPr>
          <w:bCs/>
        </w:rPr>
        <w:t xml:space="preserve"> </w:t>
      </w:r>
      <w:r w:rsidR="007218D3" w:rsidRPr="002A344A">
        <w:rPr>
          <w:bCs/>
        </w:rPr>
        <w:t xml:space="preserve">and </w:t>
      </w:r>
      <w:r w:rsidR="007218D3" w:rsidRPr="002A344A">
        <w:rPr>
          <w:b/>
        </w:rPr>
        <w:t xml:space="preserve">optic, medical products </w:t>
      </w:r>
      <w:r w:rsidR="007218D3" w:rsidRPr="002A344A">
        <w:rPr>
          <w:bCs/>
        </w:rPr>
        <w:t>(down 5%)</w:t>
      </w:r>
      <w:r w:rsidR="008B608D" w:rsidRPr="002A344A">
        <w:rPr>
          <w:bCs/>
        </w:rPr>
        <w:t xml:space="preserve"> – </w:t>
      </w:r>
      <w:r w:rsidR="007218D3" w:rsidRPr="002A344A">
        <w:rPr>
          <w:bCs/>
        </w:rPr>
        <w:t xml:space="preserve">tumbled </w:t>
      </w:r>
      <w:r w:rsidR="008B608D" w:rsidRPr="002A344A">
        <w:rPr>
          <w:bCs/>
        </w:rPr>
        <w:t xml:space="preserve">between 2024 and </w:t>
      </w:r>
      <w:r w:rsidR="007218D3" w:rsidRPr="002A344A">
        <w:rPr>
          <w:bCs/>
        </w:rPr>
        <w:t>2025</w:t>
      </w:r>
      <w:r w:rsidRPr="002A344A">
        <w:t>.</w:t>
      </w:r>
    </w:p>
    <w:p w14:paraId="70E7C31D" w14:textId="2D102BD0" w:rsidR="006428C0" w:rsidRPr="002A344A" w:rsidRDefault="00750450" w:rsidP="005C3ECD">
      <w:pPr>
        <w:pStyle w:val="ListParagraph"/>
        <w:numPr>
          <w:ilvl w:val="0"/>
          <w:numId w:val="7"/>
        </w:numPr>
        <w:spacing w:before="60" w:after="0" w:line="271" w:lineRule="auto"/>
        <w:ind w:left="450" w:right="18"/>
        <w:rPr>
          <w:b/>
          <w:sz w:val="24"/>
        </w:rPr>
      </w:pPr>
      <w:r w:rsidRPr="002A344A">
        <w:t xml:space="preserve">Exports of </w:t>
      </w:r>
      <w:r w:rsidRPr="002A344A">
        <w:rPr>
          <w:b/>
          <w:bCs/>
        </w:rPr>
        <w:t>m</w:t>
      </w:r>
      <w:r w:rsidR="0071280F" w:rsidRPr="002A344A">
        <w:rPr>
          <w:b/>
        </w:rPr>
        <w:t>ineral fuel, oil</w:t>
      </w:r>
      <w:r w:rsidR="00BA6E80" w:rsidRPr="002A344A">
        <w:t xml:space="preserve"> (</w:t>
      </w:r>
      <w:r w:rsidR="00D57C3C" w:rsidRPr="002A344A">
        <w:t>includ</w:t>
      </w:r>
      <w:r w:rsidR="00BA6E80" w:rsidRPr="002A344A">
        <w:t>ing</w:t>
      </w:r>
      <w:r w:rsidR="00D57C3C" w:rsidRPr="002A344A">
        <w:t xml:space="preserve"> motor fuels</w:t>
      </w:r>
      <w:r w:rsidR="00BA6E80" w:rsidRPr="002A344A">
        <w:t>)</w:t>
      </w:r>
      <w:r w:rsidRPr="002A344A">
        <w:t xml:space="preserve"> </w:t>
      </w:r>
      <w:r w:rsidR="00C43D97" w:rsidRPr="002A344A">
        <w:t>plunged</w:t>
      </w:r>
      <w:r w:rsidR="007218D3" w:rsidRPr="002A344A">
        <w:t xml:space="preserve"> $1.7 billion</w:t>
      </w:r>
      <w:r w:rsidR="005C3ECD" w:rsidRPr="002A344A">
        <w:t xml:space="preserve"> – </w:t>
      </w:r>
      <w:r w:rsidR="00C43D97" w:rsidRPr="002A344A">
        <w:t>revers</w:t>
      </w:r>
      <w:r w:rsidR="007218D3" w:rsidRPr="002A344A">
        <w:t>ing</w:t>
      </w:r>
      <w:r w:rsidR="00C43D97" w:rsidRPr="002A344A">
        <w:t xml:space="preserve"> the </w:t>
      </w:r>
      <w:r w:rsidR="000B3506" w:rsidRPr="002A344A">
        <w:t xml:space="preserve">spike of </w:t>
      </w:r>
      <w:r w:rsidR="00C43D97" w:rsidRPr="002A344A">
        <w:t>1</w:t>
      </w:r>
      <w:r w:rsidR="008B608D" w:rsidRPr="002A344A">
        <w:t>15</w:t>
      </w:r>
      <w:r w:rsidR="00C43D97" w:rsidRPr="002A344A">
        <w:t>%</w:t>
      </w:r>
      <w:r w:rsidR="000B3506" w:rsidRPr="002A344A">
        <w:t xml:space="preserve"> </w:t>
      </w:r>
      <w:r w:rsidR="00C43D97" w:rsidRPr="002A344A">
        <w:t>in 202</w:t>
      </w:r>
      <w:r w:rsidR="008B608D" w:rsidRPr="002A344A">
        <w:t xml:space="preserve">4 and driven by </w:t>
      </w:r>
      <w:r w:rsidR="008B608D" w:rsidRPr="002A344A">
        <w:rPr>
          <w:b/>
          <w:bCs/>
        </w:rPr>
        <w:t>Canada</w:t>
      </w:r>
      <w:r w:rsidR="000B3506" w:rsidRPr="002A344A">
        <w:t>.</w:t>
      </w:r>
    </w:p>
    <w:p w14:paraId="6B661AA8" w14:textId="1094E54E" w:rsidR="00730C7F" w:rsidRPr="002A344A" w:rsidRDefault="005C3ECD" w:rsidP="009C725E">
      <w:pPr>
        <w:pStyle w:val="ListParagraph"/>
        <w:numPr>
          <w:ilvl w:val="0"/>
          <w:numId w:val="7"/>
        </w:numPr>
        <w:spacing w:before="60" w:after="0" w:line="271" w:lineRule="auto"/>
        <w:ind w:left="450" w:right="18"/>
        <w:rPr>
          <w:rStyle w:val="Heading4Char"/>
          <w:rFonts w:eastAsiaTheme="minorEastAsia" w:cstheme="minorBidi"/>
          <w:b/>
          <w:bCs w:val="0"/>
          <w:i w:val="0"/>
          <w:iCs w:val="0"/>
          <w:color w:val="auto"/>
        </w:rPr>
      </w:pPr>
      <w:r w:rsidRPr="002A344A">
        <w:t xml:space="preserve">Exports of </w:t>
      </w:r>
      <w:r w:rsidRPr="002A344A">
        <w:rPr>
          <w:b/>
          <w:bCs/>
        </w:rPr>
        <w:t>vehicles</w:t>
      </w:r>
      <w:r w:rsidRPr="002A344A">
        <w:t xml:space="preserve"> sank 19%, triggered by steep losses to </w:t>
      </w:r>
      <w:r w:rsidRPr="002A344A">
        <w:rPr>
          <w:b/>
          <w:bCs/>
        </w:rPr>
        <w:t>Mexico</w:t>
      </w:r>
      <w:r w:rsidRPr="002A344A">
        <w:t xml:space="preserve"> (down 24%) and </w:t>
      </w:r>
      <w:r w:rsidRPr="002A344A">
        <w:rPr>
          <w:b/>
          <w:bCs/>
        </w:rPr>
        <w:t>Australia</w:t>
      </w:r>
      <w:r w:rsidRPr="002A344A">
        <w:t xml:space="preserve"> (down 79%).</w:t>
      </w:r>
      <w:r w:rsidR="006428C0" w:rsidRPr="002A344A">
        <w:rPr>
          <w:rStyle w:val="Heading4Char"/>
          <w:color w:val="auto"/>
          <w:szCs w:val="24"/>
        </w:rPr>
        <w:br w:type="column"/>
      </w:r>
      <w:r w:rsidR="00730C7F" w:rsidRPr="002A344A">
        <w:rPr>
          <w:rStyle w:val="Heading4Char"/>
          <w:color w:val="auto"/>
          <w:sz w:val="22"/>
        </w:rPr>
        <w:t xml:space="preserve">Figure </w:t>
      </w:r>
      <w:r w:rsidR="00730C7F" w:rsidRPr="002A344A">
        <w:rPr>
          <w:rStyle w:val="Heading4Char"/>
          <w:color w:val="auto"/>
          <w:sz w:val="22"/>
        </w:rPr>
        <w:fldChar w:fldCharType="begin"/>
      </w:r>
      <w:r w:rsidR="00730C7F" w:rsidRPr="002A344A">
        <w:rPr>
          <w:rStyle w:val="Heading4Char"/>
          <w:color w:val="auto"/>
          <w:sz w:val="22"/>
        </w:rPr>
        <w:instrText xml:space="preserve"> SEQ Figure \* ARABIC </w:instrText>
      </w:r>
      <w:r w:rsidR="00730C7F" w:rsidRPr="002A344A">
        <w:rPr>
          <w:rStyle w:val="Heading4Char"/>
          <w:color w:val="auto"/>
          <w:sz w:val="22"/>
        </w:rPr>
        <w:fldChar w:fldCharType="separate"/>
      </w:r>
      <w:r w:rsidR="00730C7F" w:rsidRPr="002A344A">
        <w:rPr>
          <w:rStyle w:val="Heading4Char"/>
          <w:color w:val="auto"/>
          <w:sz w:val="22"/>
        </w:rPr>
        <w:t>3</w:t>
      </w:r>
      <w:r w:rsidR="00730C7F" w:rsidRPr="002A344A">
        <w:rPr>
          <w:rStyle w:val="Heading4Char"/>
          <w:color w:val="auto"/>
          <w:sz w:val="22"/>
        </w:rPr>
        <w:fldChar w:fldCharType="end"/>
      </w:r>
      <w:r w:rsidR="00730C7F" w:rsidRPr="002A344A">
        <w:rPr>
          <w:rStyle w:val="Heading4Char"/>
          <w:color w:val="auto"/>
          <w:sz w:val="22"/>
        </w:rPr>
        <w:t xml:space="preserve">. </w:t>
      </w:r>
      <w:r w:rsidR="00E82FD3" w:rsidRPr="002A344A">
        <w:rPr>
          <w:rStyle w:val="Heading4Char"/>
          <w:color w:val="auto"/>
          <w:sz w:val="22"/>
        </w:rPr>
        <w:t xml:space="preserve">Top </w:t>
      </w:r>
      <w:r w:rsidR="00730C7F" w:rsidRPr="002A344A">
        <w:rPr>
          <w:rStyle w:val="Heading4Char"/>
          <w:color w:val="auto"/>
          <w:sz w:val="22"/>
        </w:rPr>
        <w:t>Mar</w:t>
      </w:r>
      <w:r w:rsidR="00E82FD3" w:rsidRPr="002A344A">
        <w:rPr>
          <w:rStyle w:val="Heading4Char"/>
          <w:color w:val="auto"/>
          <w:sz w:val="22"/>
        </w:rPr>
        <w:t>kets for</w:t>
      </w:r>
      <w:r w:rsidR="00730C7F" w:rsidRPr="002A344A">
        <w:rPr>
          <w:rStyle w:val="Heading4Char"/>
          <w:color w:val="auto"/>
          <w:sz w:val="22"/>
        </w:rPr>
        <w:t xml:space="preserve"> Electrical Equipment </w:t>
      </w:r>
    </w:p>
    <w:p w14:paraId="47198E3A" w14:textId="77777777" w:rsidR="00730C7F" w:rsidRPr="002A344A" w:rsidRDefault="00730C7F" w:rsidP="002A344A">
      <w:pPr>
        <w:tabs>
          <w:tab w:val="left" w:pos="3330"/>
        </w:tabs>
        <w:spacing w:line="269" w:lineRule="auto"/>
        <w:ind w:left="90" w:right="54"/>
      </w:pPr>
      <w:r w:rsidRPr="002A344A">
        <w:rPr>
          <w:noProof/>
          <w:shd w:val="clear" w:color="auto" w:fill="E6E6E6"/>
        </w:rPr>
        <w:drawing>
          <wp:inline distT="0" distB="0" distL="0" distR="0" wp14:anchorId="5FDD19BE" wp14:editId="5E24E8DC">
            <wp:extent cx="2790825" cy="1828800"/>
            <wp:effectExtent l="0" t="0" r="0" b="0"/>
            <wp:docPr id="52543106" name="Chart 52543106" descr="pie chart&#10;MN exports of Electrical equipment products, by country 2025&#10;Mexico 11%&#10;Canada 10%&#10;Thailand 8%&#10;China 8%&#10;UK 7%&#10;Japan 5%&#10;Switzerland 5%&#10;Germany 4%&#10;Other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FC0EE9" w14:textId="77777777" w:rsidR="00F96EA1" w:rsidRPr="002A344A" w:rsidRDefault="00F96EA1" w:rsidP="007606AA">
      <w:pPr>
        <w:pStyle w:val="ListParagraph"/>
        <w:numPr>
          <w:ilvl w:val="0"/>
          <w:numId w:val="7"/>
        </w:numPr>
        <w:spacing w:before="80" w:after="80" w:line="271" w:lineRule="auto"/>
        <w:ind w:left="450" w:right="18"/>
        <w:rPr>
          <w:b/>
        </w:rPr>
        <w:sectPr w:rsidR="00F96EA1" w:rsidRPr="002A344A" w:rsidSect="00F96EA1">
          <w:footerReference w:type="default" r:id="rId16"/>
          <w:footnotePr>
            <w:numRestart w:val="eachSect"/>
          </w:footnotePr>
          <w:endnotePr>
            <w:numFmt w:val="decimal"/>
          </w:endnotePr>
          <w:type w:val="continuous"/>
          <w:pgSz w:w="12240" w:h="15840" w:code="1"/>
          <w:pgMar w:top="1152" w:right="1152" w:bottom="1152" w:left="1152" w:header="720" w:footer="720" w:gutter="0"/>
          <w:cols w:num="2" w:space="720"/>
          <w:titlePg/>
          <w:docGrid w:linePitch="299"/>
        </w:sectPr>
      </w:pPr>
    </w:p>
    <w:p w14:paraId="52ED2A67" w14:textId="769BDBF3" w:rsidR="00AE0993" w:rsidRPr="002A344A" w:rsidRDefault="000D4012" w:rsidP="000D4012">
      <w:pPr>
        <w:pStyle w:val="ListParagraph"/>
        <w:numPr>
          <w:ilvl w:val="0"/>
          <w:numId w:val="7"/>
        </w:numPr>
        <w:spacing w:before="80" w:after="80" w:line="271" w:lineRule="auto"/>
        <w:ind w:left="450" w:right="18"/>
      </w:pPr>
      <w:r w:rsidRPr="002A344A">
        <w:rPr>
          <w:bCs/>
        </w:rPr>
        <w:t>Slu</w:t>
      </w:r>
      <w:r w:rsidR="00AE0993" w:rsidRPr="002A344A">
        <w:rPr>
          <w:bCs/>
        </w:rPr>
        <w:t>mping</w:t>
      </w:r>
      <w:r w:rsidRPr="002A344A">
        <w:rPr>
          <w:bCs/>
        </w:rPr>
        <w:t xml:space="preserve"> </w:t>
      </w:r>
      <w:r w:rsidRPr="002A344A">
        <w:rPr>
          <w:b/>
        </w:rPr>
        <w:t>machinery</w:t>
      </w:r>
      <w:r w:rsidR="00AE0993" w:rsidRPr="002A344A">
        <w:rPr>
          <w:bCs/>
        </w:rPr>
        <w:t xml:space="preserve"> sales </w:t>
      </w:r>
      <w:r w:rsidRPr="002A344A">
        <w:rPr>
          <w:bCs/>
        </w:rPr>
        <w:t>to core</w:t>
      </w:r>
      <w:r w:rsidR="00AE0993" w:rsidRPr="002A344A">
        <w:rPr>
          <w:bCs/>
        </w:rPr>
        <w:t xml:space="preserve"> </w:t>
      </w:r>
      <w:r w:rsidRPr="002A344A">
        <w:t>markets –</w:t>
      </w:r>
      <w:r w:rsidR="00AE0993" w:rsidRPr="002A344A">
        <w:t xml:space="preserve"> </w:t>
      </w:r>
      <w:r w:rsidRPr="002A344A">
        <w:rPr>
          <w:b/>
          <w:bCs/>
        </w:rPr>
        <w:t>Mexico, China</w:t>
      </w:r>
      <w:r w:rsidR="008B608D" w:rsidRPr="002A344A">
        <w:rPr>
          <w:b/>
          <w:bCs/>
        </w:rPr>
        <w:t xml:space="preserve"> </w:t>
      </w:r>
      <w:r w:rsidRPr="002A344A">
        <w:t>and</w:t>
      </w:r>
      <w:r w:rsidRPr="002A344A">
        <w:rPr>
          <w:b/>
          <w:bCs/>
        </w:rPr>
        <w:t xml:space="preserve"> Canada – </w:t>
      </w:r>
      <w:r w:rsidR="00AE0993" w:rsidRPr="002A344A">
        <w:t>contrasted with strong gains</w:t>
      </w:r>
      <w:r w:rsidR="008B608D" w:rsidRPr="002A344A">
        <w:t xml:space="preserve"> to </w:t>
      </w:r>
      <w:r w:rsidRPr="002A344A">
        <w:rPr>
          <w:b/>
          <w:bCs/>
        </w:rPr>
        <w:t>Saudi Arabia</w:t>
      </w:r>
      <w:r w:rsidRPr="002A344A">
        <w:t xml:space="preserve"> (up 280%),</w:t>
      </w:r>
      <w:r w:rsidRPr="002A344A">
        <w:rPr>
          <w:b/>
          <w:bCs/>
        </w:rPr>
        <w:t xml:space="preserve"> Korea</w:t>
      </w:r>
      <w:r w:rsidRPr="002A344A">
        <w:t xml:space="preserve"> (up 35%) and the </w:t>
      </w:r>
      <w:r w:rsidRPr="002A344A">
        <w:rPr>
          <w:b/>
          <w:bCs/>
        </w:rPr>
        <w:t>Dominican Republic</w:t>
      </w:r>
      <w:r w:rsidRPr="002A344A">
        <w:t xml:space="preserve"> (up 126%).</w:t>
      </w:r>
      <w:r w:rsidR="00AE0993" w:rsidRPr="002A344A">
        <w:t xml:space="preserve"> </w:t>
      </w:r>
      <w:r w:rsidR="00B94644" w:rsidRPr="002A344A">
        <w:t>S</w:t>
      </w:r>
      <w:r w:rsidR="00AE0993" w:rsidRPr="002A344A">
        <w:rPr>
          <w:bCs/>
        </w:rPr>
        <w:t xml:space="preserve">ales of </w:t>
      </w:r>
      <w:r w:rsidR="00AE0993" w:rsidRPr="002A344A">
        <w:rPr>
          <w:b/>
        </w:rPr>
        <w:t>computers, engines</w:t>
      </w:r>
      <w:r w:rsidR="00AE0993" w:rsidRPr="002A344A">
        <w:rPr>
          <w:bCs/>
        </w:rPr>
        <w:t xml:space="preserve"> and </w:t>
      </w:r>
      <w:r w:rsidR="00AE0993" w:rsidRPr="002A344A">
        <w:rPr>
          <w:b/>
        </w:rPr>
        <w:t xml:space="preserve">specialized machinery </w:t>
      </w:r>
      <w:r w:rsidR="00AE0993" w:rsidRPr="002A344A">
        <w:rPr>
          <w:bCs/>
        </w:rPr>
        <w:t xml:space="preserve">slid, </w:t>
      </w:r>
      <w:r w:rsidR="00B94644" w:rsidRPr="002A344A">
        <w:rPr>
          <w:bCs/>
        </w:rPr>
        <w:t xml:space="preserve">while </w:t>
      </w:r>
      <w:r w:rsidR="00AE0993" w:rsidRPr="002A344A">
        <w:rPr>
          <w:bCs/>
        </w:rPr>
        <w:t xml:space="preserve">those of </w:t>
      </w:r>
      <w:r w:rsidR="00AE0993" w:rsidRPr="002A344A">
        <w:rPr>
          <w:b/>
        </w:rPr>
        <w:t>heating machinery</w:t>
      </w:r>
      <w:r w:rsidR="00B94644" w:rsidRPr="002A344A">
        <w:rPr>
          <w:bCs/>
        </w:rPr>
        <w:t xml:space="preserve"> and</w:t>
      </w:r>
      <w:r w:rsidR="00AE0993" w:rsidRPr="002A344A">
        <w:t xml:space="preserve"> </w:t>
      </w:r>
      <w:r w:rsidR="00AE0993" w:rsidRPr="002A344A">
        <w:rPr>
          <w:b/>
        </w:rPr>
        <w:t xml:space="preserve">computer parts </w:t>
      </w:r>
      <w:r w:rsidR="00AE0993" w:rsidRPr="002A344A">
        <w:rPr>
          <w:bCs/>
        </w:rPr>
        <w:t xml:space="preserve">swelled. </w:t>
      </w:r>
    </w:p>
    <w:p w14:paraId="18A10295" w14:textId="1BE33A0A" w:rsidR="005C3ECD" w:rsidRPr="002A344A" w:rsidRDefault="005C3ECD" w:rsidP="007606AA">
      <w:pPr>
        <w:pStyle w:val="ListParagraph"/>
        <w:numPr>
          <w:ilvl w:val="0"/>
          <w:numId w:val="7"/>
        </w:numPr>
        <w:spacing w:before="80" w:after="80" w:line="271" w:lineRule="auto"/>
        <w:ind w:left="450" w:right="18"/>
      </w:pPr>
      <w:r w:rsidRPr="002A344A">
        <w:t xml:space="preserve">Markets for </w:t>
      </w:r>
      <w:r w:rsidRPr="002A344A">
        <w:rPr>
          <w:b/>
          <w:bCs/>
        </w:rPr>
        <w:t>optic, medical goods</w:t>
      </w:r>
      <w:r w:rsidRPr="002A344A">
        <w:t xml:space="preserve"> were mixed: declines in </w:t>
      </w:r>
      <w:r w:rsidRPr="002A344A">
        <w:rPr>
          <w:b/>
          <w:bCs/>
        </w:rPr>
        <w:t>China, Taiwan</w:t>
      </w:r>
      <w:r w:rsidRPr="002A344A">
        <w:t xml:space="preserve"> and </w:t>
      </w:r>
      <w:r w:rsidRPr="002A344A">
        <w:rPr>
          <w:b/>
          <w:bCs/>
        </w:rPr>
        <w:t xml:space="preserve">Korea </w:t>
      </w:r>
      <w:r w:rsidR="00E82FD3" w:rsidRPr="002A344A">
        <w:t>far exceeded</w:t>
      </w:r>
      <w:r w:rsidRPr="002A344A">
        <w:t xml:space="preserve"> gains to </w:t>
      </w:r>
      <w:r w:rsidRPr="002A344A">
        <w:rPr>
          <w:b/>
          <w:bCs/>
        </w:rPr>
        <w:t xml:space="preserve">Belgium, Costa Rica </w:t>
      </w:r>
      <w:r w:rsidRPr="002A344A">
        <w:t xml:space="preserve">and </w:t>
      </w:r>
      <w:r w:rsidRPr="002A344A">
        <w:rPr>
          <w:b/>
          <w:bCs/>
        </w:rPr>
        <w:t>Singapore</w:t>
      </w:r>
      <w:r w:rsidRPr="002A344A">
        <w:t>. Weak</w:t>
      </w:r>
      <w:r w:rsidR="00E82FD3" w:rsidRPr="002A344A">
        <w:t>er</w:t>
      </w:r>
      <w:r w:rsidRPr="002A344A">
        <w:t xml:space="preserve"> sales of </w:t>
      </w:r>
      <w:r w:rsidRPr="002A344A">
        <w:rPr>
          <w:b/>
          <w:bCs/>
        </w:rPr>
        <w:t>testing</w:t>
      </w:r>
      <w:r w:rsidRPr="002A344A">
        <w:t xml:space="preserve"> </w:t>
      </w:r>
      <w:r w:rsidR="000D4012" w:rsidRPr="002A344A">
        <w:rPr>
          <w:b/>
          <w:bCs/>
        </w:rPr>
        <w:t>devices</w:t>
      </w:r>
      <w:r w:rsidR="000D4012" w:rsidRPr="002A344A">
        <w:t xml:space="preserve"> </w:t>
      </w:r>
      <w:r w:rsidR="00651C8B" w:rsidRPr="002A344A">
        <w:t xml:space="preserve">(down 51%) </w:t>
      </w:r>
      <w:r w:rsidRPr="002A344A">
        <w:t xml:space="preserve">and </w:t>
      </w:r>
      <w:r w:rsidRPr="002A344A">
        <w:rPr>
          <w:b/>
          <w:bCs/>
        </w:rPr>
        <w:t>measuring</w:t>
      </w:r>
      <w:r w:rsidR="000D4012" w:rsidRPr="002A344A">
        <w:rPr>
          <w:b/>
          <w:bCs/>
        </w:rPr>
        <w:t xml:space="preserve"> instruments</w:t>
      </w:r>
      <w:r w:rsidR="000D4012" w:rsidRPr="002A344A">
        <w:t xml:space="preserve"> </w:t>
      </w:r>
      <w:r w:rsidR="00651C8B" w:rsidRPr="002A344A">
        <w:t xml:space="preserve">(down 30%) </w:t>
      </w:r>
      <w:r w:rsidR="000D4012" w:rsidRPr="002A344A">
        <w:t xml:space="preserve">outweighed the </w:t>
      </w:r>
      <w:r w:rsidR="00651C8B" w:rsidRPr="002A344A">
        <w:t>not</w:t>
      </w:r>
      <w:r w:rsidRPr="002A344A">
        <w:t xml:space="preserve">able </w:t>
      </w:r>
      <w:r w:rsidR="00E82FD3" w:rsidRPr="002A344A">
        <w:t>growth</w:t>
      </w:r>
      <w:r w:rsidRPr="002A344A">
        <w:t xml:space="preserve"> of </w:t>
      </w:r>
      <w:r w:rsidRPr="002A344A">
        <w:rPr>
          <w:b/>
          <w:bCs/>
        </w:rPr>
        <w:t>medical</w:t>
      </w:r>
      <w:r w:rsidR="00E82FD3" w:rsidRPr="002A344A">
        <w:rPr>
          <w:b/>
          <w:bCs/>
        </w:rPr>
        <w:t xml:space="preserve"> and</w:t>
      </w:r>
      <w:r w:rsidRPr="002A344A">
        <w:rPr>
          <w:b/>
          <w:bCs/>
        </w:rPr>
        <w:t xml:space="preserve"> surgical instruments</w:t>
      </w:r>
      <w:r w:rsidRPr="002A344A">
        <w:t xml:space="preserve"> (up 9%). </w:t>
      </w:r>
    </w:p>
    <w:p w14:paraId="07EB6505" w14:textId="4C50E92E" w:rsidR="0073270D" w:rsidRPr="002A344A" w:rsidRDefault="00A63C53" w:rsidP="007606AA">
      <w:pPr>
        <w:pStyle w:val="ListParagraph"/>
        <w:numPr>
          <w:ilvl w:val="0"/>
          <w:numId w:val="7"/>
        </w:numPr>
        <w:spacing w:before="120" w:after="0" w:line="271" w:lineRule="auto"/>
        <w:ind w:left="450"/>
      </w:pPr>
      <w:r w:rsidRPr="002A344A">
        <w:rPr>
          <w:b/>
          <w:bCs/>
        </w:rPr>
        <w:t>E</w:t>
      </w:r>
      <w:r w:rsidR="00641E97" w:rsidRPr="002A344A">
        <w:rPr>
          <w:b/>
          <w:bCs/>
        </w:rPr>
        <w:t xml:space="preserve">lectrical equipment </w:t>
      </w:r>
      <w:r w:rsidR="00651C8B" w:rsidRPr="002A344A">
        <w:t>exports</w:t>
      </w:r>
      <w:r w:rsidR="00651C8B" w:rsidRPr="002A344A">
        <w:rPr>
          <w:b/>
          <w:bCs/>
        </w:rPr>
        <w:t xml:space="preserve"> </w:t>
      </w:r>
      <w:r w:rsidRPr="002A344A">
        <w:t xml:space="preserve">showed </w:t>
      </w:r>
      <w:r w:rsidR="00651C8B" w:rsidRPr="002A344A">
        <w:t>strength and resilience, boost</w:t>
      </w:r>
      <w:r w:rsidRPr="002A344A">
        <w:t xml:space="preserve">ed by </w:t>
      </w:r>
      <w:r w:rsidR="00641E97" w:rsidRPr="002A344A">
        <w:t xml:space="preserve">robust </w:t>
      </w:r>
      <w:r w:rsidRPr="002A344A">
        <w:t xml:space="preserve">markets </w:t>
      </w:r>
      <w:r w:rsidR="00651C8B" w:rsidRPr="002A344A">
        <w:t>like</w:t>
      </w:r>
      <w:r w:rsidR="00641E97" w:rsidRPr="002A344A">
        <w:t xml:space="preserve"> </w:t>
      </w:r>
      <w:r w:rsidR="00641E97" w:rsidRPr="002A344A">
        <w:rPr>
          <w:b/>
          <w:bCs/>
        </w:rPr>
        <w:t>the U.K.</w:t>
      </w:r>
      <w:r w:rsidR="00641E97" w:rsidRPr="002A344A">
        <w:t xml:space="preserve"> (up 101%), </w:t>
      </w:r>
      <w:r w:rsidR="00641E97" w:rsidRPr="002A344A">
        <w:rPr>
          <w:b/>
          <w:bCs/>
        </w:rPr>
        <w:t>Korea</w:t>
      </w:r>
      <w:r w:rsidR="00641E97" w:rsidRPr="002A344A">
        <w:t xml:space="preserve"> (up 62%),</w:t>
      </w:r>
      <w:r w:rsidR="00641E97" w:rsidRPr="002A344A">
        <w:rPr>
          <w:b/>
          <w:bCs/>
        </w:rPr>
        <w:t xml:space="preserve"> </w:t>
      </w:r>
      <w:r w:rsidR="00AB63B7">
        <w:rPr>
          <w:b/>
          <w:bCs/>
        </w:rPr>
        <w:t xml:space="preserve">Ireland </w:t>
      </w:r>
      <w:r w:rsidR="00AB63B7">
        <w:t xml:space="preserve">(up 51%) and </w:t>
      </w:r>
      <w:r w:rsidR="00641E97" w:rsidRPr="002A344A">
        <w:rPr>
          <w:b/>
          <w:bCs/>
        </w:rPr>
        <w:t>Switzerland</w:t>
      </w:r>
      <w:r w:rsidR="00641E97" w:rsidRPr="002A344A">
        <w:t xml:space="preserve"> (up 30%). </w:t>
      </w:r>
      <w:r w:rsidRPr="002A344A">
        <w:rPr>
          <w:bCs/>
        </w:rPr>
        <w:t>Critical growth segments included</w:t>
      </w:r>
      <w:r w:rsidR="006A4AB4" w:rsidRPr="002A344A">
        <w:rPr>
          <w:b/>
        </w:rPr>
        <w:t xml:space="preserve"> </w:t>
      </w:r>
      <w:r w:rsidRPr="002A344A">
        <w:rPr>
          <w:b/>
        </w:rPr>
        <w:t>integrated circuits</w:t>
      </w:r>
      <w:r w:rsidR="006A4AB4" w:rsidRPr="002A344A">
        <w:rPr>
          <w:bCs/>
        </w:rPr>
        <w:t xml:space="preserve"> (up </w:t>
      </w:r>
      <w:r w:rsidRPr="002A344A">
        <w:rPr>
          <w:bCs/>
        </w:rPr>
        <w:t>24</w:t>
      </w:r>
      <w:r w:rsidR="006A4AB4" w:rsidRPr="002A344A">
        <w:rPr>
          <w:bCs/>
        </w:rPr>
        <w:t>%)</w:t>
      </w:r>
      <w:r w:rsidRPr="002A344A">
        <w:t xml:space="preserve">, </w:t>
      </w:r>
      <w:r w:rsidRPr="002A344A">
        <w:rPr>
          <w:b/>
          <w:bCs/>
        </w:rPr>
        <w:t xml:space="preserve">batteries </w:t>
      </w:r>
      <w:r w:rsidRPr="002A344A">
        <w:t xml:space="preserve">(up 40%), </w:t>
      </w:r>
      <w:r w:rsidRPr="002A344A">
        <w:rPr>
          <w:b/>
          <w:bCs/>
        </w:rPr>
        <w:t>switches</w:t>
      </w:r>
      <w:r w:rsidRPr="002A344A">
        <w:t xml:space="preserve"> (up 20%) and </w:t>
      </w:r>
      <w:r w:rsidRPr="002A344A">
        <w:rPr>
          <w:b/>
          <w:bCs/>
        </w:rPr>
        <w:t>generators</w:t>
      </w:r>
      <w:r w:rsidRPr="002A344A">
        <w:t xml:space="preserve"> (up 14%).</w:t>
      </w:r>
    </w:p>
    <w:p w14:paraId="443F0E74" w14:textId="78BB2CB1" w:rsidR="00801D27" w:rsidRPr="002A344A" w:rsidRDefault="00AE0993" w:rsidP="007606AA">
      <w:pPr>
        <w:pStyle w:val="ListParagraph"/>
        <w:numPr>
          <w:ilvl w:val="0"/>
          <w:numId w:val="7"/>
        </w:numPr>
        <w:spacing w:before="120" w:after="0" w:line="271" w:lineRule="auto"/>
        <w:ind w:left="450"/>
      </w:pPr>
      <w:r w:rsidRPr="002A344A">
        <w:t xml:space="preserve">Notable </w:t>
      </w:r>
      <w:r w:rsidR="0023291F" w:rsidRPr="002A344A">
        <w:t xml:space="preserve">high-performing </w:t>
      </w:r>
      <w:r w:rsidRPr="002A344A">
        <w:rPr>
          <w:b/>
          <w:bCs/>
        </w:rPr>
        <w:t xml:space="preserve">food &amp; </w:t>
      </w:r>
      <w:proofErr w:type="gramStart"/>
      <w:r w:rsidRPr="002A344A">
        <w:rPr>
          <w:b/>
          <w:bCs/>
        </w:rPr>
        <w:t>ag</w:t>
      </w:r>
      <w:proofErr w:type="gramEnd"/>
      <w:r w:rsidRPr="002A344A">
        <w:t>-related exports</w:t>
      </w:r>
      <w:r w:rsidR="0023291F" w:rsidRPr="002A344A">
        <w:t xml:space="preserve"> </w:t>
      </w:r>
      <w:r w:rsidR="00801D27" w:rsidRPr="002A344A">
        <w:t xml:space="preserve">included </w:t>
      </w:r>
      <w:r w:rsidRPr="002A344A">
        <w:rPr>
          <w:b/>
          <w:bCs/>
        </w:rPr>
        <w:t>dairy, eggs, honey</w:t>
      </w:r>
      <w:r w:rsidR="00801D27" w:rsidRPr="002A344A">
        <w:t xml:space="preserve"> ($</w:t>
      </w:r>
      <w:r w:rsidRPr="002A344A">
        <w:t>22</w:t>
      </w:r>
      <w:r w:rsidR="00E82FD3" w:rsidRPr="002A344A">
        <w:t>2</w:t>
      </w:r>
      <w:r w:rsidR="00801D27" w:rsidRPr="002A344A">
        <w:t xml:space="preserve"> million, up </w:t>
      </w:r>
      <w:r w:rsidRPr="002A344A">
        <w:t>62</w:t>
      </w:r>
      <w:r w:rsidR="00801D27" w:rsidRPr="002A344A">
        <w:t xml:space="preserve">%), </w:t>
      </w:r>
      <w:r w:rsidR="00801D27" w:rsidRPr="002A344A">
        <w:rPr>
          <w:b/>
          <w:bCs/>
        </w:rPr>
        <w:t>oil seeds, misc. grains</w:t>
      </w:r>
      <w:r w:rsidR="00801D27" w:rsidRPr="002A344A">
        <w:t xml:space="preserve"> ($3</w:t>
      </w:r>
      <w:r w:rsidRPr="002A344A">
        <w:t>96</w:t>
      </w:r>
      <w:r w:rsidR="00801D27" w:rsidRPr="002A344A">
        <w:t xml:space="preserve"> million, up 1</w:t>
      </w:r>
      <w:r w:rsidRPr="002A344A">
        <w:t>5</w:t>
      </w:r>
      <w:r w:rsidR="00801D27" w:rsidRPr="002A344A">
        <w:t>%)</w:t>
      </w:r>
      <w:r w:rsidRPr="002A344A">
        <w:t xml:space="preserve"> and</w:t>
      </w:r>
      <w:r w:rsidR="00801D27" w:rsidRPr="002A344A">
        <w:t xml:space="preserve"> </w:t>
      </w:r>
      <w:r w:rsidRPr="002A344A">
        <w:rPr>
          <w:b/>
          <w:bCs/>
        </w:rPr>
        <w:t>misc. food ingredients</w:t>
      </w:r>
      <w:r w:rsidR="00801D27" w:rsidRPr="002A344A">
        <w:t xml:space="preserve"> ($</w:t>
      </w:r>
      <w:r w:rsidRPr="002A344A">
        <w:t>137</w:t>
      </w:r>
      <w:r w:rsidR="00801D27" w:rsidRPr="002A344A">
        <w:t xml:space="preserve"> million, up </w:t>
      </w:r>
      <w:r w:rsidRPr="002A344A">
        <w:t>28</w:t>
      </w:r>
      <w:r w:rsidR="00801D27" w:rsidRPr="002A344A">
        <w:t>%).</w:t>
      </w:r>
      <w:r w:rsidR="0023291F" w:rsidRPr="002A344A">
        <w:t xml:space="preserve"> </w:t>
      </w:r>
    </w:p>
    <w:p w14:paraId="253F0BC5" w14:textId="3414FFB5" w:rsidR="00BA6E80" w:rsidRPr="002A344A" w:rsidRDefault="00BA6E80" w:rsidP="00612C9C">
      <w:pPr>
        <w:pStyle w:val="ListParagraph"/>
        <w:numPr>
          <w:ilvl w:val="0"/>
          <w:numId w:val="7"/>
        </w:numPr>
        <w:spacing w:before="120" w:after="0" w:line="271" w:lineRule="auto"/>
        <w:ind w:left="450" w:right="18"/>
      </w:pPr>
      <w:r w:rsidRPr="002A344A">
        <w:t xml:space="preserve">Exporters of </w:t>
      </w:r>
      <w:r w:rsidR="00AE0993" w:rsidRPr="002A344A">
        <w:rPr>
          <w:b/>
        </w:rPr>
        <w:t>pharmaceuticals</w:t>
      </w:r>
      <w:r w:rsidR="0038252D" w:rsidRPr="002A344A">
        <w:t xml:space="preserve"> (up </w:t>
      </w:r>
      <w:r w:rsidR="00AE0993" w:rsidRPr="002A344A">
        <w:t>23</w:t>
      </w:r>
      <w:r w:rsidR="0038252D" w:rsidRPr="002A344A">
        <w:t xml:space="preserve">%) </w:t>
      </w:r>
      <w:r w:rsidRPr="002A344A">
        <w:t>branched out</w:t>
      </w:r>
      <w:r w:rsidR="0023291F" w:rsidRPr="002A344A">
        <w:t xml:space="preserve"> </w:t>
      </w:r>
      <w:r w:rsidR="00612C9C" w:rsidRPr="002A344A">
        <w:t>in</w:t>
      </w:r>
      <w:r w:rsidR="0038252D" w:rsidRPr="002A344A">
        <w:t xml:space="preserve"> </w:t>
      </w:r>
      <w:r w:rsidR="00612C9C" w:rsidRPr="002A344A">
        <w:rPr>
          <w:b/>
        </w:rPr>
        <w:t xml:space="preserve">the U.K. </w:t>
      </w:r>
      <w:r w:rsidR="00612C9C" w:rsidRPr="002A344A">
        <w:rPr>
          <w:bCs/>
        </w:rPr>
        <w:t>(up 389%)</w:t>
      </w:r>
      <w:r w:rsidR="00612C9C" w:rsidRPr="002A344A">
        <w:rPr>
          <w:b/>
        </w:rPr>
        <w:t xml:space="preserve"> </w:t>
      </w:r>
      <w:r w:rsidR="00612C9C" w:rsidRPr="002A344A">
        <w:rPr>
          <w:bCs/>
        </w:rPr>
        <w:t>and</w:t>
      </w:r>
      <w:r w:rsidR="00612C9C" w:rsidRPr="002A344A">
        <w:rPr>
          <w:b/>
        </w:rPr>
        <w:t xml:space="preserve"> Italy</w:t>
      </w:r>
      <w:r w:rsidR="00612C9C" w:rsidRPr="002A344A">
        <w:rPr>
          <w:bCs/>
        </w:rPr>
        <w:t xml:space="preserve"> (up 852%), </w:t>
      </w:r>
      <w:r w:rsidRPr="002A344A">
        <w:t>while those of</w:t>
      </w:r>
      <w:r w:rsidR="00BF7790" w:rsidRPr="002A344A">
        <w:t xml:space="preserve"> </w:t>
      </w:r>
      <w:r w:rsidR="00612C9C" w:rsidRPr="002A344A">
        <w:rPr>
          <w:b/>
          <w:bCs/>
        </w:rPr>
        <w:t>albumin, starch, glue</w:t>
      </w:r>
      <w:r w:rsidR="0088746C" w:rsidRPr="002A344A">
        <w:rPr>
          <w:b/>
          <w:bCs/>
        </w:rPr>
        <w:t xml:space="preserve"> </w:t>
      </w:r>
      <w:r w:rsidR="0088746C" w:rsidRPr="002A344A">
        <w:t>(</w:t>
      </w:r>
      <w:r w:rsidR="003E7BE4" w:rsidRPr="002A344A">
        <w:t xml:space="preserve">up </w:t>
      </w:r>
      <w:r w:rsidR="00612C9C" w:rsidRPr="002A344A">
        <w:t>19</w:t>
      </w:r>
      <w:r w:rsidR="0038252D" w:rsidRPr="002A344A">
        <w:t>%)</w:t>
      </w:r>
      <w:r w:rsidRPr="002A344A">
        <w:t xml:space="preserve"> </w:t>
      </w:r>
      <w:r w:rsidR="00612C9C" w:rsidRPr="002A344A">
        <w:t>made large strides</w:t>
      </w:r>
      <w:r w:rsidRPr="002A344A">
        <w:t xml:space="preserve"> in </w:t>
      </w:r>
      <w:r w:rsidR="00612C9C" w:rsidRPr="002A344A">
        <w:rPr>
          <w:b/>
          <w:bCs/>
        </w:rPr>
        <w:t xml:space="preserve">Germany </w:t>
      </w:r>
      <w:r w:rsidR="00612C9C" w:rsidRPr="002A344A">
        <w:t xml:space="preserve">(up 100%) and </w:t>
      </w:r>
      <w:r w:rsidR="00612C9C" w:rsidRPr="002A344A">
        <w:rPr>
          <w:b/>
          <w:bCs/>
        </w:rPr>
        <w:t xml:space="preserve">India </w:t>
      </w:r>
      <w:r w:rsidR="00612C9C" w:rsidRPr="002A344A">
        <w:t>(up 131%)</w:t>
      </w:r>
      <w:r w:rsidR="00AE0993" w:rsidRPr="002A344A">
        <w:t>.</w:t>
      </w:r>
    </w:p>
    <w:p w14:paraId="7A324B63" w14:textId="71847700" w:rsidR="000D50BF" w:rsidRPr="002A344A" w:rsidRDefault="00C72BBA" w:rsidP="00BA6E80">
      <w:pPr>
        <w:pStyle w:val="Heading4"/>
        <w:spacing w:before="120"/>
        <w:rPr>
          <w:color w:val="auto"/>
        </w:rPr>
      </w:pPr>
      <w:r w:rsidRPr="002A344A">
        <w:rPr>
          <w:color w:val="auto"/>
        </w:rPr>
        <w:t>Figure 4</w:t>
      </w:r>
      <w:r w:rsidR="00542EF2" w:rsidRPr="002A344A">
        <w:rPr>
          <w:color w:val="auto"/>
        </w:rPr>
        <w:t xml:space="preserve">. Exports </w:t>
      </w:r>
      <w:r w:rsidR="0029293B" w:rsidRPr="002A344A">
        <w:rPr>
          <w:color w:val="auto"/>
        </w:rPr>
        <w:t>of</w:t>
      </w:r>
      <w:r w:rsidR="007F1C4A" w:rsidRPr="002A344A">
        <w:rPr>
          <w:color w:val="auto"/>
        </w:rPr>
        <w:t xml:space="preserve"> Minnesota’s Top 10 Products</w:t>
      </w:r>
      <w:r w:rsidR="001130EE" w:rsidRPr="002A344A">
        <w:rPr>
          <w:color w:val="auto"/>
        </w:rPr>
        <w:t xml:space="preserve"> in</w:t>
      </w:r>
      <w:r w:rsidR="007F1C4A" w:rsidRPr="002A344A">
        <w:rPr>
          <w:color w:val="auto"/>
        </w:rPr>
        <w:t xml:space="preserve"> </w:t>
      </w:r>
      <w:r w:rsidR="000922F2" w:rsidRPr="002A344A">
        <w:rPr>
          <w:color w:val="auto"/>
        </w:rPr>
        <w:t>2025</w:t>
      </w:r>
    </w:p>
    <w:tbl>
      <w:tblPr>
        <w:tblpPr w:leftFromText="180" w:rightFromText="180" w:vertAnchor="page" w:horzAnchor="margin" w:tblpY="1260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FBB"/>
        <w:tblLook w:val="04A0" w:firstRow="1" w:lastRow="0" w:firstColumn="1" w:lastColumn="0" w:noHBand="0" w:noVBand="1"/>
        <w:tblCaption w:val="Additional information"/>
        <w:tblDescription w:val="Minnesota Export Statistics is the most current resource available for tracking the state’s trends of exports of goods and is prepared for the Minnesota Trade Office (MTO) by the Department of Employment and Economic Development’s (DEED) Economic Analysis Unit (by Thu-Mai Ho-Kim).  The quarterly and annual statistics reports primarily cover export data based on the Harmonized Tariff System (Schedule B), collected by the U.S. Department of Commerce (USDOC) and distributed by IHS Markit. Reports are available on DEED’s website at “Export and Trade Statistics” (http://mn.gov/deed/data/export-stats/).  Additional Notes: The U.S. Department of Agriculture (USDA) publishes alternate annual agricultural export estimates based on different methodology. USDA estimated that Minnesota exported $6.9 billion in agricultural and related food products in 2017, ranking fifth highest among all states. Data on services exports are limited. The Coalition of Services Industries, a national industry group, estimated Minnesota services exports at $11 billion in 2017. DEED estimated Minnesota’s services exports at $14 billion for 2019, based on pro-rating U.S. services exports data, using the state’s GDP industry shares."/>
      </w:tblPr>
      <w:tblGrid>
        <w:gridCol w:w="10165"/>
      </w:tblGrid>
      <w:tr w:rsidR="002A344A" w:rsidRPr="002A344A" w14:paraId="6E2A326D" w14:textId="77777777" w:rsidTr="00612C9C">
        <w:trPr>
          <w:trHeight w:val="440"/>
        </w:trPr>
        <w:tc>
          <w:tcPr>
            <w:tcW w:w="10165" w:type="dxa"/>
            <w:shd w:val="clear" w:color="auto" w:fill="DAEFBB"/>
          </w:tcPr>
          <w:p w14:paraId="59F6DA86" w14:textId="03329D79" w:rsidR="00612C9C" w:rsidRPr="002A344A" w:rsidRDefault="00612C9C" w:rsidP="00612C9C">
            <w:pPr>
              <w:spacing w:after="0"/>
              <w:rPr>
                <w:rFonts w:asciiTheme="majorHAnsi" w:hAnsiTheme="majorHAnsi" w:cstheme="minorHAnsi"/>
                <w:sz w:val="16"/>
                <w:szCs w:val="16"/>
              </w:rPr>
            </w:pPr>
            <w:r w:rsidRPr="002A344A">
              <w:rPr>
                <w:rStyle w:val="Emphasis"/>
                <w:rFonts w:asciiTheme="majorHAnsi" w:hAnsiTheme="majorHAnsi" w:cstheme="minorHAnsi"/>
                <w:sz w:val="16"/>
                <w:szCs w:val="16"/>
              </w:rPr>
              <w:t xml:space="preserve">Minnesota Export Statistics </w:t>
            </w:r>
            <w:r w:rsidRPr="002A344A">
              <w:rPr>
                <w:rFonts w:asciiTheme="majorHAnsi" w:hAnsiTheme="majorHAnsi" w:cstheme="minorHAnsi"/>
                <w:sz w:val="16"/>
                <w:szCs w:val="16"/>
              </w:rPr>
              <w:t>tracks the state’s trends in exports of goods and is prepared for the Minnesota Trade Office by DEED’s Economic Analysis Unit (by Thu-Mai Ho-Kim). The quarterly and annual reports primarily cover export data based on the Harmonized Tariff System (Schedule B), collected by the Foreign Trade Division, Census Bureau, U.S. Dept of Commerce and accessed through USA Trade Online (Census Bureau) and Trade Data Monitor (TDM). Historical reports are available on DEED’s website at “Export and Trade Statistics” (</w:t>
            </w:r>
            <w:hyperlink r:id="rId17" w:history="1">
              <w:r w:rsidRPr="002A344A">
                <w:rPr>
                  <w:rStyle w:val="Hyperlink"/>
                  <w:rFonts w:asciiTheme="majorHAnsi" w:hAnsiTheme="majorHAnsi" w:cstheme="minorHAnsi"/>
                  <w:color w:val="auto"/>
                  <w:sz w:val="16"/>
                  <w:szCs w:val="16"/>
                </w:rPr>
                <w:t>http://mn.gov/deed/data/export-stats/</w:t>
              </w:r>
            </w:hyperlink>
            <w:r w:rsidRPr="002A344A">
              <w:rPr>
                <w:rFonts w:asciiTheme="majorHAnsi" w:hAnsiTheme="majorHAnsi" w:cstheme="minorHAnsi"/>
                <w:sz w:val="16"/>
                <w:szCs w:val="16"/>
              </w:rPr>
              <w:t>).  The U.S. Department of Agriculture (USDA) publishes alternate agricultural export data based on different methodology. USDA estimated that Minnesota exported $</w:t>
            </w:r>
            <w:r w:rsidR="002A344A">
              <w:rPr>
                <w:rFonts w:asciiTheme="majorHAnsi" w:hAnsiTheme="majorHAnsi" w:cstheme="minorHAnsi"/>
                <w:sz w:val="16"/>
                <w:szCs w:val="16"/>
              </w:rPr>
              <w:t>8</w:t>
            </w:r>
            <w:r w:rsidRPr="002A344A">
              <w:rPr>
                <w:rFonts w:asciiTheme="majorHAnsi" w:hAnsiTheme="majorHAnsi" w:cstheme="minorHAnsi"/>
                <w:sz w:val="16"/>
                <w:szCs w:val="16"/>
              </w:rPr>
              <w:t xml:space="preserve"> billion in </w:t>
            </w:r>
            <w:proofErr w:type="gramStart"/>
            <w:r w:rsidRPr="002A344A">
              <w:rPr>
                <w:rFonts w:asciiTheme="majorHAnsi" w:hAnsiTheme="majorHAnsi" w:cstheme="minorHAnsi"/>
                <w:sz w:val="16"/>
                <w:szCs w:val="16"/>
              </w:rPr>
              <w:t>ag</w:t>
            </w:r>
            <w:proofErr w:type="gramEnd"/>
            <w:r w:rsidRPr="002A344A">
              <w:rPr>
                <w:rFonts w:asciiTheme="majorHAnsi" w:hAnsiTheme="majorHAnsi" w:cstheme="minorHAnsi"/>
                <w:sz w:val="16"/>
                <w:szCs w:val="16"/>
              </w:rPr>
              <w:t xml:space="preserve"> and food products in 202</w:t>
            </w:r>
            <w:r w:rsidR="002A344A">
              <w:rPr>
                <w:rFonts w:asciiTheme="majorHAnsi" w:hAnsiTheme="majorHAnsi" w:cstheme="minorHAnsi"/>
                <w:sz w:val="16"/>
                <w:szCs w:val="16"/>
              </w:rPr>
              <w:t>4</w:t>
            </w:r>
            <w:r w:rsidRPr="002A344A">
              <w:rPr>
                <w:rFonts w:asciiTheme="majorHAnsi" w:hAnsiTheme="majorHAnsi" w:cstheme="minorHAnsi"/>
                <w:sz w:val="16"/>
                <w:szCs w:val="16"/>
              </w:rPr>
              <w:t xml:space="preserve"> and ranked 4th highest among states. The International Trade Administration estimates jobs supported by U.S. exports of goods and services, while the Census Bureau collects data on the number of identified exporters.  Export data on services industries are limited; Minnesota’s services exports were estimated at $1</w:t>
            </w:r>
            <w:r w:rsidR="002A344A">
              <w:rPr>
                <w:rFonts w:asciiTheme="majorHAnsi" w:hAnsiTheme="majorHAnsi" w:cstheme="minorHAnsi"/>
                <w:sz w:val="16"/>
                <w:szCs w:val="16"/>
              </w:rPr>
              <w:t>3</w:t>
            </w:r>
            <w:r w:rsidRPr="002A344A">
              <w:rPr>
                <w:rFonts w:asciiTheme="majorHAnsi" w:hAnsiTheme="majorHAnsi" w:cstheme="minorHAnsi"/>
                <w:sz w:val="16"/>
                <w:szCs w:val="16"/>
              </w:rPr>
              <w:t xml:space="preserve"> billion in 202</w:t>
            </w:r>
            <w:r w:rsidR="002A344A">
              <w:rPr>
                <w:rFonts w:asciiTheme="majorHAnsi" w:hAnsiTheme="majorHAnsi" w:cstheme="minorHAnsi"/>
                <w:sz w:val="16"/>
                <w:szCs w:val="16"/>
              </w:rPr>
              <w:t>3</w:t>
            </w:r>
            <w:r w:rsidRPr="002A344A">
              <w:rPr>
                <w:rFonts w:asciiTheme="majorHAnsi" w:hAnsiTheme="majorHAnsi" w:cstheme="minorHAnsi"/>
                <w:sz w:val="16"/>
                <w:szCs w:val="16"/>
              </w:rPr>
              <w:t xml:space="preserve"> by the Coalition of Services Industries.  </w:t>
            </w:r>
          </w:p>
        </w:tc>
      </w:tr>
    </w:tbl>
    <w:p w14:paraId="37A30B84" w14:textId="63DD6114" w:rsidR="00A729A4" w:rsidRPr="002A344A" w:rsidRDefault="00730C7F" w:rsidP="00612C9C">
      <w:pPr>
        <w:spacing w:after="0"/>
      </w:pPr>
      <w:r w:rsidRPr="002A344A">
        <w:rPr>
          <w:noProof/>
        </w:rPr>
        <w:drawing>
          <wp:inline distT="0" distB="0" distL="0" distR="0" wp14:anchorId="0238C082" wp14:editId="7300E188">
            <wp:extent cx="6309360" cy="1772092"/>
            <wp:effectExtent l="0" t="0" r="0" b="0"/>
            <wp:docPr id="1109674351" name="Picture 3" descr="double bar chart&#10;Exports of Minnesota's top 10 products in 2025&#10;Product Exports (millions) Percent Change, 2024 to 2025&#10;Total  $23,506  -13%&#10;Optic, Medical  $4,456  -5%&#10;Electrical Equipment  $3,788  7%&#10;Machinery  $3,562  -10%&#10;Vehicles  $1,634  -19%&#10;Plastics  $1,212  -5%&#10;Mineral Fuel, Oil  $758  -69%&#10;Food By-Products  $629  -18%&#10;Aircraft, Spacecraft  $583  -2%&#10;Cereals  $442  -17%&#10;Misc. Chemicals  $424  -19%&#10;Other  $6,019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74351" name="Picture 3" descr="double bar chart&#10;Exports of Minnesota's top 10 products in 2025&#10;Product Exports (millions) Percent Change, 2024 to 2025&#10;Total  $23,506  -13%&#10;Optic, Medical  $4,456  -5%&#10;Electrical Equipment  $3,788  7%&#10;Machinery  $3,562  -10%&#10;Vehicles  $1,634  -19%&#10;Plastics  $1,212  -5%&#10;Mineral Fuel, Oil  $758  -69%&#10;Food By-Products  $629  -18%&#10;Aircraft, Spacecraft  $583  -2%&#10;Cereals  $442  -17%&#10;Misc. Chemicals  $424  -19%&#10;Other  $6,019  -8%&#10;"/>
                    <pic:cNvPicPr>
                      <a:picLocks noChangeAspect="1" noChangeArrowheads="1"/>
                    </pic:cNvPicPr>
                  </pic:nvPicPr>
                  <pic:blipFill rotWithShape="1">
                    <a:blip r:embed="rId18">
                      <a:extLst>
                        <a:ext uri="{28A0092B-C50C-407E-A947-70E740481C1C}">
                          <a14:useLocalDpi xmlns:a14="http://schemas.microsoft.com/office/drawing/2010/main" val="0"/>
                        </a:ext>
                      </a:extLst>
                    </a:blip>
                    <a:srcRect t="5911"/>
                    <a:stretch>
                      <a:fillRect/>
                    </a:stretch>
                  </pic:blipFill>
                  <pic:spPr bwMode="auto">
                    <a:xfrm>
                      <a:off x="0" y="0"/>
                      <a:ext cx="6309360" cy="1772092"/>
                    </a:xfrm>
                    <a:prstGeom prst="rect">
                      <a:avLst/>
                    </a:prstGeom>
                    <a:noFill/>
                    <a:ln>
                      <a:noFill/>
                    </a:ln>
                    <a:extLst>
                      <a:ext uri="{53640926-AAD7-44D8-BBD7-CCE9431645EC}">
                        <a14:shadowObscured xmlns:a14="http://schemas.microsoft.com/office/drawing/2010/main"/>
                      </a:ext>
                    </a:extLst>
                  </pic:spPr>
                </pic:pic>
              </a:graphicData>
            </a:graphic>
          </wp:inline>
        </w:drawing>
      </w:r>
    </w:p>
    <w:sectPr w:rsidR="00A729A4" w:rsidRPr="002A344A" w:rsidSect="007606AA">
      <w:footnotePr>
        <w:numRestart w:val="eachSect"/>
      </w:footnotePr>
      <w:endnotePr>
        <w:numFmt w:val="decimal"/>
      </w:endnotePr>
      <w:type w:val="continuous"/>
      <w:pgSz w:w="12240" w:h="15840" w:code="1"/>
      <w:pgMar w:top="1152" w:right="1152" w:bottom="1152" w:left="115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F873" w14:textId="77777777" w:rsidR="00E4638C" w:rsidRDefault="00E4638C">
      <w:r>
        <w:separator/>
      </w:r>
    </w:p>
  </w:endnote>
  <w:endnote w:type="continuationSeparator" w:id="0">
    <w:p w14:paraId="3C2299F0" w14:textId="77777777" w:rsidR="00E4638C" w:rsidRDefault="00E4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EC55" w14:textId="4333A254" w:rsidR="00CC1B7D" w:rsidRDefault="00CC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2478">
      <w:rPr>
        <w:rStyle w:val="PageNumber"/>
        <w:noProof/>
      </w:rPr>
      <w:t>2</w:t>
    </w:r>
    <w:r>
      <w:rPr>
        <w:rStyle w:val="PageNumber"/>
      </w:rPr>
      <w:fldChar w:fldCharType="end"/>
    </w:r>
  </w:p>
  <w:p w14:paraId="54D5374B" w14:textId="77777777" w:rsidR="00CC1B7D" w:rsidRDefault="00CC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F35D" w14:textId="77777777" w:rsidR="00A14E15" w:rsidRPr="009D4735" w:rsidRDefault="00A14E15" w:rsidP="009D4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835635"/>
      <w:docPartObj>
        <w:docPartGallery w:val="Page Numbers (Bottom of Page)"/>
        <w:docPartUnique/>
      </w:docPartObj>
    </w:sdtPr>
    <w:sdtEndPr>
      <w:rPr>
        <w:noProof/>
      </w:rPr>
    </w:sdtEndPr>
    <w:sdtContent>
      <w:p w14:paraId="69CAE3AE" w14:textId="77777777" w:rsidR="00EF688D" w:rsidRDefault="00EF688D">
        <w:pPr>
          <w:pStyle w:val="Footer"/>
          <w:jc w:val="right"/>
        </w:pPr>
        <w:r>
          <w:fldChar w:fldCharType="begin"/>
        </w:r>
        <w:r>
          <w:instrText xml:space="preserve"> PAGE   \* MERGEFORMAT </w:instrText>
        </w:r>
        <w:r>
          <w:fldChar w:fldCharType="separate"/>
        </w:r>
        <w:r w:rsidR="00275CD0">
          <w:rPr>
            <w:noProof/>
          </w:rPr>
          <w:t>3</w:t>
        </w:r>
        <w:r>
          <w:rPr>
            <w:noProof/>
          </w:rPr>
          <w:fldChar w:fldCharType="end"/>
        </w:r>
      </w:p>
    </w:sdtContent>
  </w:sdt>
  <w:p w14:paraId="278D84B8" w14:textId="77777777" w:rsidR="00C72BBA" w:rsidRPr="00A14E15" w:rsidRDefault="00C72BBA" w:rsidP="00A14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F309" w14:textId="77777777" w:rsidR="00E4638C" w:rsidRDefault="00E4638C">
      <w:r>
        <w:separator/>
      </w:r>
    </w:p>
  </w:footnote>
  <w:footnote w:type="continuationSeparator" w:id="0">
    <w:p w14:paraId="3954C3AF" w14:textId="77777777" w:rsidR="00E4638C" w:rsidRDefault="00E4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E364" w14:textId="77777777" w:rsidR="00CC1B7D" w:rsidRDefault="00CC1B7D" w:rsidP="00E014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1361D9" w14:textId="77777777" w:rsidR="00CC1B7D" w:rsidRDefault="00CC1B7D" w:rsidP="00E014F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948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D003E"/>
    <w:multiLevelType w:val="hybridMultilevel"/>
    <w:tmpl w:val="EFA8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D06D6"/>
    <w:multiLevelType w:val="hybridMultilevel"/>
    <w:tmpl w:val="D708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D7251"/>
    <w:multiLevelType w:val="hybridMultilevel"/>
    <w:tmpl w:val="A20C3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8A56C3"/>
    <w:multiLevelType w:val="hybridMultilevel"/>
    <w:tmpl w:val="9BE2D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055FB0"/>
    <w:multiLevelType w:val="hybridMultilevel"/>
    <w:tmpl w:val="39F01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9B22E7"/>
    <w:multiLevelType w:val="hybridMultilevel"/>
    <w:tmpl w:val="3D58A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9E1423"/>
    <w:multiLevelType w:val="hybridMultilevel"/>
    <w:tmpl w:val="47CE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21A5E"/>
    <w:multiLevelType w:val="hybridMultilevel"/>
    <w:tmpl w:val="787C9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7B210F"/>
    <w:multiLevelType w:val="hybridMultilevel"/>
    <w:tmpl w:val="EF88C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61121C"/>
    <w:multiLevelType w:val="hybridMultilevel"/>
    <w:tmpl w:val="CFAA2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A22BE2"/>
    <w:multiLevelType w:val="hybridMultilevel"/>
    <w:tmpl w:val="52E8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7674F"/>
    <w:multiLevelType w:val="hybridMultilevel"/>
    <w:tmpl w:val="28C6AC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D731D63"/>
    <w:multiLevelType w:val="hybridMultilevel"/>
    <w:tmpl w:val="0FB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81A19"/>
    <w:multiLevelType w:val="hybridMultilevel"/>
    <w:tmpl w:val="B832D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73CB2"/>
    <w:multiLevelType w:val="hybridMultilevel"/>
    <w:tmpl w:val="B27CD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1704E9"/>
    <w:multiLevelType w:val="hybridMultilevel"/>
    <w:tmpl w:val="187CA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6C2E21"/>
    <w:multiLevelType w:val="hybridMultilevel"/>
    <w:tmpl w:val="BB483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38056F"/>
    <w:multiLevelType w:val="hybridMultilevel"/>
    <w:tmpl w:val="88CEE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DA42E3"/>
    <w:multiLevelType w:val="hybridMultilevel"/>
    <w:tmpl w:val="8A0ED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554E84"/>
    <w:multiLevelType w:val="hybridMultilevel"/>
    <w:tmpl w:val="0A9C833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64DC224F"/>
    <w:multiLevelType w:val="hybridMultilevel"/>
    <w:tmpl w:val="4D589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02F2B"/>
    <w:multiLevelType w:val="hybridMultilevel"/>
    <w:tmpl w:val="92C4D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975A35"/>
    <w:multiLevelType w:val="hybridMultilevel"/>
    <w:tmpl w:val="E5021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F11FFB"/>
    <w:multiLevelType w:val="hybridMultilevel"/>
    <w:tmpl w:val="4CDAD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E717D2"/>
    <w:multiLevelType w:val="hybridMultilevel"/>
    <w:tmpl w:val="D22C9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131549">
    <w:abstractNumId w:val="0"/>
  </w:num>
  <w:num w:numId="2" w16cid:durableId="952709957">
    <w:abstractNumId w:val="19"/>
  </w:num>
  <w:num w:numId="3" w16cid:durableId="1884754658">
    <w:abstractNumId w:val="18"/>
  </w:num>
  <w:num w:numId="4" w16cid:durableId="449662904">
    <w:abstractNumId w:val="8"/>
  </w:num>
  <w:num w:numId="5" w16cid:durableId="1460957330">
    <w:abstractNumId w:val="3"/>
  </w:num>
  <w:num w:numId="6" w16cid:durableId="1206873112">
    <w:abstractNumId w:val="13"/>
  </w:num>
  <w:num w:numId="7" w16cid:durableId="2123065712">
    <w:abstractNumId w:val="25"/>
  </w:num>
  <w:num w:numId="8" w16cid:durableId="581717029">
    <w:abstractNumId w:val="23"/>
  </w:num>
  <w:num w:numId="9" w16cid:durableId="2118088977">
    <w:abstractNumId w:val="15"/>
  </w:num>
  <w:num w:numId="10" w16cid:durableId="1771394721">
    <w:abstractNumId w:val="14"/>
  </w:num>
  <w:num w:numId="11" w16cid:durableId="1801680926">
    <w:abstractNumId w:val="10"/>
  </w:num>
  <w:num w:numId="12" w16cid:durableId="978191781">
    <w:abstractNumId w:val="5"/>
  </w:num>
  <w:num w:numId="13" w16cid:durableId="633293954">
    <w:abstractNumId w:val="24"/>
  </w:num>
  <w:num w:numId="14" w16cid:durableId="219097138">
    <w:abstractNumId w:val="17"/>
  </w:num>
  <w:num w:numId="15" w16cid:durableId="1375232504">
    <w:abstractNumId w:val="12"/>
  </w:num>
  <w:num w:numId="16" w16cid:durableId="1619481738">
    <w:abstractNumId w:val="16"/>
  </w:num>
  <w:num w:numId="17" w16cid:durableId="1329282912">
    <w:abstractNumId w:val="7"/>
  </w:num>
  <w:num w:numId="18" w16cid:durableId="962614777">
    <w:abstractNumId w:val="1"/>
  </w:num>
  <w:num w:numId="19" w16cid:durableId="1818254638">
    <w:abstractNumId w:val="6"/>
  </w:num>
  <w:num w:numId="20" w16cid:durableId="2070762075">
    <w:abstractNumId w:val="6"/>
  </w:num>
  <w:num w:numId="21" w16cid:durableId="737945085">
    <w:abstractNumId w:val="22"/>
  </w:num>
  <w:num w:numId="22" w16cid:durableId="1878081607">
    <w:abstractNumId w:val="9"/>
  </w:num>
  <w:num w:numId="23" w16cid:durableId="1845968903">
    <w:abstractNumId w:val="11"/>
  </w:num>
  <w:num w:numId="24" w16cid:durableId="2013607395">
    <w:abstractNumId w:val="20"/>
  </w:num>
  <w:num w:numId="25" w16cid:durableId="1284194146">
    <w:abstractNumId w:val="2"/>
  </w:num>
  <w:num w:numId="26" w16cid:durableId="946087402">
    <w:abstractNumId w:val="4"/>
  </w:num>
  <w:num w:numId="27" w16cid:durableId="126885107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AB"/>
    <w:rsid w:val="00002128"/>
    <w:rsid w:val="0000336A"/>
    <w:rsid w:val="000041CC"/>
    <w:rsid w:val="00007266"/>
    <w:rsid w:val="000115BA"/>
    <w:rsid w:val="00011B6A"/>
    <w:rsid w:val="0001235B"/>
    <w:rsid w:val="00013522"/>
    <w:rsid w:val="00013717"/>
    <w:rsid w:val="000146CA"/>
    <w:rsid w:val="00017FE0"/>
    <w:rsid w:val="000215A5"/>
    <w:rsid w:val="000218A0"/>
    <w:rsid w:val="00024BB5"/>
    <w:rsid w:val="00026206"/>
    <w:rsid w:val="00031168"/>
    <w:rsid w:val="00034C5A"/>
    <w:rsid w:val="00034FBE"/>
    <w:rsid w:val="00035328"/>
    <w:rsid w:val="00036238"/>
    <w:rsid w:val="00041A07"/>
    <w:rsid w:val="00041E17"/>
    <w:rsid w:val="00045958"/>
    <w:rsid w:val="00046117"/>
    <w:rsid w:val="00051FE0"/>
    <w:rsid w:val="00051FF7"/>
    <w:rsid w:val="00055A2D"/>
    <w:rsid w:val="00055A45"/>
    <w:rsid w:val="0005790D"/>
    <w:rsid w:val="0006144E"/>
    <w:rsid w:val="00070016"/>
    <w:rsid w:val="000716AC"/>
    <w:rsid w:val="0007242D"/>
    <w:rsid w:val="000731F2"/>
    <w:rsid w:val="00073511"/>
    <w:rsid w:val="00073987"/>
    <w:rsid w:val="00073E4C"/>
    <w:rsid w:val="00074355"/>
    <w:rsid w:val="000750C3"/>
    <w:rsid w:val="00076DF3"/>
    <w:rsid w:val="00077712"/>
    <w:rsid w:val="00077989"/>
    <w:rsid w:val="00077EF4"/>
    <w:rsid w:val="0008038B"/>
    <w:rsid w:val="00084F9F"/>
    <w:rsid w:val="000859F2"/>
    <w:rsid w:val="00085EED"/>
    <w:rsid w:val="000903C9"/>
    <w:rsid w:val="00090665"/>
    <w:rsid w:val="00090B7B"/>
    <w:rsid w:val="0009219A"/>
    <w:rsid w:val="000922F2"/>
    <w:rsid w:val="00092621"/>
    <w:rsid w:val="0009348A"/>
    <w:rsid w:val="00096FFD"/>
    <w:rsid w:val="000A409A"/>
    <w:rsid w:val="000A491B"/>
    <w:rsid w:val="000A4AB3"/>
    <w:rsid w:val="000A5664"/>
    <w:rsid w:val="000A7EF0"/>
    <w:rsid w:val="000B2A85"/>
    <w:rsid w:val="000B2D86"/>
    <w:rsid w:val="000B3506"/>
    <w:rsid w:val="000B38B1"/>
    <w:rsid w:val="000B3EC3"/>
    <w:rsid w:val="000B445D"/>
    <w:rsid w:val="000B518F"/>
    <w:rsid w:val="000B5390"/>
    <w:rsid w:val="000B61DB"/>
    <w:rsid w:val="000B6477"/>
    <w:rsid w:val="000C1CB0"/>
    <w:rsid w:val="000C2181"/>
    <w:rsid w:val="000C3AE5"/>
    <w:rsid w:val="000C7D1B"/>
    <w:rsid w:val="000D18A9"/>
    <w:rsid w:val="000D4012"/>
    <w:rsid w:val="000D50BF"/>
    <w:rsid w:val="000D5400"/>
    <w:rsid w:val="000D5C2B"/>
    <w:rsid w:val="000D5D94"/>
    <w:rsid w:val="000D6FAF"/>
    <w:rsid w:val="000E0786"/>
    <w:rsid w:val="000E3376"/>
    <w:rsid w:val="000E5242"/>
    <w:rsid w:val="000E5D90"/>
    <w:rsid w:val="000E6BD9"/>
    <w:rsid w:val="000E7ED0"/>
    <w:rsid w:val="000F0519"/>
    <w:rsid w:val="000F1844"/>
    <w:rsid w:val="000F19B5"/>
    <w:rsid w:val="000F1B22"/>
    <w:rsid w:val="000F3E1F"/>
    <w:rsid w:val="000F4677"/>
    <w:rsid w:val="000F54F2"/>
    <w:rsid w:val="000F6660"/>
    <w:rsid w:val="000F6CDA"/>
    <w:rsid w:val="00100204"/>
    <w:rsid w:val="00104038"/>
    <w:rsid w:val="00107686"/>
    <w:rsid w:val="001104C3"/>
    <w:rsid w:val="001127F8"/>
    <w:rsid w:val="00112A1D"/>
    <w:rsid w:val="00112A91"/>
    <w:rsid w:val="001130EE"/>
    <w:rsid w:val="00114D4B"/>
    <w:rsid w:val="00116C04"/>
    <w:rsid w:val="00117F52"/>
    <w:rsid w:val="001214D7"/>
    <w:rsid w:val="00121B5D"/>
    <w:rsid w:val="0012471B"/>
    <w:rsid w:val="001250AB"/>
    <w:rsid w:val="001263E2"/>
    <w:rsid w:val="00130080"/>
    <w:rsid w:val="00131B23"/>
    <w:rsid w:val="00131EDB"/>
    <w:rsid w:val="00132A66"/>
    <w:rsid w:val="00133985"/>
    <w:rsid w:val="00134ECC"/>
    <w:rsid w:val="00134F20"/>
    <w:rsid w:val="001360E3"/>
    <w:rsid w:val="001403DF"/>
    <w:rsid w:val="001406DC"/>
    <w:rsid w:val="00142003"/>
    <w:rsid w:val="0014228E"/>
    <w:rsid w:val="00147356"/>
    <w:rsid w:val="00155169"/>
    <w:rsid w:val="00155C52"/>
    <w:rsid w:val="00160C41"/>
    <w:rsid w:val="00162EF3"/>
    <w:rsid w:val="0016340E"/>
    <w:rsid w:val="00170A9E"/>
    <w:rsid w:val="00171E5B"/>
    <w:rsid w:val="00173478"/>
    <w:rsid w:val="00173D78"/>
    <w:rsid w:val="00176E55"/>
    <w:rsid w:val="00177D5B"/>
    <w:rsid w:val="0018019E"/>
    <w:rsid w:val="0018375B"/>
    <w:rsid w:val="0018461A"/>
    <w:rsid w:val="001866EF"/>
    <w:rsid w:val="00191624"/>
    <w:rsid w:val="00192539"/>
    <w:rsid w:val="00192CA0"/>
    <w:rsid w:val="001942D2"/>
    <w:rsid w:val="001968E6"/>
    <w:rsid w:val="001978D1"/>
    <w:rsid w:val="001979B1"/>
    <w:rsid w:val="001A0504"/>
    <w:rsid w:val="001A08C3"/>
    <w:rsid w:val="001A52A7"/>
    <w:rsid w:val="001B0716"/>
    <w:rsid w:val="001B0D71"/>
    <w:rsid w:val="001B1416"/>
    <w:rsid w:val="001B344A"/>
    <w:rsid w:val="001B3687"/>
    <w:rsid w:val="001B3ED7"/>
    <w:rsid w:val="001B6B06"/>
    <w:rsid w:val="001C28D2"/>
    <w:rsid w:val="001C3A93"/>
    <w:rsid w:val="001C6967"/>
    <w:rsid w:val="001C6C05"/>
    <w:rsid w:val="001D0609"/>
    <w:rsid w:val="001D101E"/>
    <w:rsid w:val="001D704D"/>
    <w:rsid w:val="001E3D72"/>
    <w:rsid w:val="001E4570"/>
    <w:rsid w:val="001E4F28"/>
    <w:rsid w:val="001E53CF"/>
    <w:rsid w:val="001E6B49"/>
    <w:rsid w:val="001E6F3B"/>
    <w:rsid w:val="001E79C1"/>
    <w:rsid w:val="001F3A7C"/>
    <w:rsid w:val="001F56E0"/>
    <w:rsid w:val="001F5C09"/>
    <w:rsid w:val="001F62FF"/>
    <w:rsid w:val="002003FA"/>
    <w:rsid w:val="0020291D"/>
    <w:rsid w:val="00202963"/>
    <w:rsid w:val="00203298"/>
    <w:rsid w:val="002040F2"/>
    <w:rsid w:val="00204236"/>
    <w:rsid w:val="0020462B"/>
    <w:rsid w:val="00205084"/>
    <w:rsid w:val="0021036F"/>
    <w:rsid w:val="00211025"/>
    <w:rsid w:val="0021231E"/>
    <w:rsid w:val="00214302"/>
    <w:rsid w:val="0021557D"/>
    <w:rsid w:val="002158EE"/>
    <w:rsid w:val="00215DA6"/>
    <w:rsid w:val="00217960"/>
    <w:rsid w:val="00221D2D"/>
    <w:rsid w:val="002224AE"/>
    <w:rsid w:val="00222FBC"/>
    <w:rsid w:val="0022389E"/>
    <w:rsid w:val="00225F0B"/>
    <w:rsid w:val="00226A71"/>
    <w:rsid w:val="002303BC"/>
    <w:rsid w:val="0023239F"/>
    <w:rsid w:val="0023291F"/>
    <w:rsid w:val="00235FD0"/>
    <w:rsid w:val="002408B6"/>
    <w:rsid w:val="00245025"/>
    <w:rsid w:val="0024609E"/>
    <w:rsid w:val="00247785"/>
    <w:rsid w:val="002503A5"/>
    <w:rsid w:val="00250661"/>
    <w:rsid w:val="00253674"/>
    <w:rsid w:val="002538D5"/>
    <w:rsid w:val="00254B81"/>
    <w:rsid w:val="002607E0"/>
    <w:rsid w:val="00262FF8"/>
    <w:rsid w:val="0026310F"/>
    <w:rsid w:val="00267A87"/>
    <w:rsid w:val="00270CC6"/>
    <w:rsid w:val="00271EFA"/>
    <w:rsid w:val="00272910"/>
    <w:rsid w:val="00275B48"/>
    <w:rsid w:val="00275CD0"/>
    <w:rsid w:val="00275F40"/>
    <w:rsid w:val="00277973"/>
    <w:rsid w:val="00277C67"/>
    <w:rsid w:val="0028048A"/>
    <w:rsid w:val="00281C4F"/>
    <w:rsid w:val="00282533"/>
    <w:rsid w:val="002831FE"/>
    <w:rsid w:val="002840D8"/>
    <w:rsid w:val="00284EDE"/>
    <w:rsid w:val="00287234"/>
    <w:rsid w:val="002907B4"/>
    <w:rsid w:val="0029293B"/>
    <w:rsid w:val="00294EDA"/>
    <w:rsid w:val="002969E6"/>
    <w:rsid w:val="00297DBE"/>
    <w:rsid w:val="002A27D6"/>
    <w:rsid w:val="002A2F54"/>
    <w:rsid w:val="002A344A"/>
    <w:rsid w:val="002A3F50"/>
    <w:rsid w:val="002A4808"/>
    <w:rsid w:val="002A52FC"/>
    <w:rsid w:val="002B1415"/>
    <w:rsid w:val="002B36A6"/>
    <w:rsid w:val="002B38F3"/>
    <w:rsid w:val="002B6B53"/>
    <w:rsid w:val="002B6EBF"/>
    <w:rsid w:val="002C0C4E"/>
    <w:rsid w:val="002C164C"/>
    <w:rsid w:val="002C19E9"/>
    <w:rsid w:val="002C52C4"/>
    <w:rsid w:val="002C6521"/>
    <w:rsid w:val="002C724E"/>
    <w:rsid w:val="002C74B4"/>
    <w:rsid w:val="002C7DF6"/>
    <w:rsid w:val="002D12D7"/>
    <w:rsid w:val="002D22E6"/>
    <w:rsid w:val="002D2A7E"/>
    <w:rsid w:val="002D2EF5"/>
    <w:rsid w:val="002D4A79"/>
    <w:rsid w:val="002D6206"/>
    <w:rsid w:val="002D6A99"/>
    <w:rsid w:val="002D6F33"/>
    <w:rsid w:val="002D73E6"/>
    <w:rsid w:val="002E12C5"/>
    <w:rsid w:val="002E3F44"/>
    <w:rsid w:val="002E54F1"/>
    <w:rsid w:val="002E71A7"/>
    <w:rsid w:val="002E7C23"/>
    <w:rsid w:val="002F018D"/>
    <w:rsid w:val="002F0687"/>
    <w:rsid w:val="002F1C0E"/>
    <w:rsid w:val="002F1FEC"/>
    <w:rsid w:val="002F285F"/>
    <w:rsid w:val="002F5753"/>
    <w:rsid w:val="002F7ABC"/>
    <w:rsid w:val="002F7EDF"/>
    <w:rsid w:val="00302918"/>
    <w:rsid w:val="003041F0"/>
    <w:rsid w:val="003047CE"/>
    <w:rsid w:val="00304E7F"/>
    <w:rsid w:val="0031398E"/>
    <w:rsid w:val="003139FE"/>
    <w:rsid w:val="0031458A"/>
    <w:rsid w:val="00314865"/>
    <w:rsid w:val="00314D15"/>
    <w:rsid w:val="00314EBD"/>
    <w:rsid w:val="00320905"/>
    <w:rsid w:val="0032597F"/>
    <w:rsid w:val="00326558"/>
    <w:rsid w:val="00326E34"/>
    <w:rsid w:val="00327817"/>
    <w:rsid w:val="0033034E"/>
    <w:rsid w:val="00330852"/>
    <w:rsid w:val="00332036"/>
    <w:rsid w:val="003329A5"/>
    <w:rsid w:val="00332B6B"/>
    <w:rsid w:val="00334BF5"/>
    <w:rsid w:val="00337018"/>
    <w:rsid w:val="00337315"/>
    <w:rsid w:val="003413C6"/>
    <w:rsid w:val="003415A0"/>
    <w:rsid w:val="00342DD3"/>
    <w:rsid w:val="00343C68"/>
    <w:rsid w:val="00344A16"/>
    <w:rsid w:val="0034596F"/>
    <w:rsid w:val="00351C1E"/>
    <w:rsid w:val="00352999"/>
    <w:rsid w:val="00353947"/>
    <w:rsid w:val="0035427F"/>
    <w:rsid w:val="003608E7"/>
    <w:rsid w:val="00361002"/>
    <w:rsid w:val="003610A2"/>
    <w:rsid w:val="00365F97"/>
    <w:rsid w:val="00370F35"/>
    <w:rsid w:val="00371C8B"/>
    <w:rsid w:val="00373CD5"/>
    <w:rsid w:val="00374F2A"/>
    <w:rsid w:val="003754FD"/>
    <w:rsid w:val="00375BF0"/>
    <w:rsid w:val="0037721A"/>
    <w:rsid w:val="003816E0"/>
    <w:rsid w:val="0038252D"/>
    <w:rsid w:val="0038303E"/>
    <w:rsid w:val="003833B0"/>
    <w:rsid w:val="00383D01"/>
    <w:rsid w:val="0038665A"/>
    <w:rsid w:val="003870FB"/>
    <w:rsid w:val="0039075E"/>
    <w:rsid w:val="0039082F"/>
    <w:rsid w:val="00390F3B"/>
    <w:rsid w:val="00391815"/>
    <w:rsid w:val="00391E28"/>
    <w:rsid w:val="00392609"/>
    <w:rsid w:val="00396483"/>
    <w:rsid w:val="0039728A"/>
    <w:rsid w:val="003A0A16"/>
    <w:rsid w:val="003A2478"/>
    <w:rsid w:val="003A3D11"/>
    <w:rsid w:val="003B0B33"/>
    <w:rsid w:val="003B2771"/>
    <w:rsid w:val="003B3B3A"/>
    <w:rsid w:val="003B4BE4"/>
    <w:rsid w:val="003B4D8B"/>
    <w:rsid w:val="003B62FF"/>
    <w:rsid w:val="003B6AD7"/>
    <w:rsid w:val="003C316B"/>
    <w:rsid w:val="003C3E3E"/>
    <w:rsid w:val="003C57B0"/>
    <w:rsid w:val="003C7165"/>
    <w:rsid w:val="003D03FE"/>
    <w:rsid w:val="003D044E"/>
    <w:rsid w:val="003D23DD"/>
    <w:rsid w:val="003D2B14"/>
    <w:rsid w:val="003D4F5D"/>
    <w:rsid w:val="003D744B"/>
    <w:rsid w:val="003D7C4C"/>
    <w:rsid w:val="003E1B39"/>
    <w:rsid w:val="003E6250"/>
    <w:rsid w:val="003E7BE4"/>
    <w:rsid w:val="003E7EAB"/>
    <w:rsid w:val="003F11AE"/>
    <w:rsid w:val="003F24D7"/>
    <w:rsid w:val="003F27BF"/>
    <w:rsid w:val="003F35AF"/>
    <w:rsid w:val="003F41C6"/>
    <w:rsid w:val="003F44C1"/>
    <w:rsid w:val="004003DF"/>
    <w:rsid w:val="0040053E"/>
    <w:rsid w:val="0040062C"/>
    <w:rsid w:val="00402A86"/>
    <w:rsid w:val="00405F36"/>
    <w:rsid w:val="004061B1"/>
    <w:rsid w:val="00406C81"/>
    <w:rsid w:val="00406E6D"/>
    <w:rsid w:val="00407310"/>
    <w:rsid w:val="00411E0D"/>
    <w:rsid w:val="00412776"/>
    <w:rsid w:val="00415D0D"/>
    <w:rsid w:val="00420D04"/>
    <w:rsid w:val="0042279B"/>
    <w:rsid w:val="0042285F"/>
    <w:rsid w:val="00426066"/>
    <w:rsid w:val="00426DC1"/>
    <w:rsid w:val="004303E8"/>
    <w:rsid w:val="004304CD"/>
    <w:rsid w:val="00433DBF"/>
    <w:rsid w:val="004344C8"/>
    <w:rsid w:val="0043482D"/>
    <w:rsid w:val="00435C4F"/>
    <w:rsid w:val="004362B0"/>
    <w:rsid w:val="004362F3"/>
    <w:rsid w:val="00437CB6"/>
    <w:rsid w:val="0044214A"/>
    <w:rsid w:val="004430A9"/>
    <w:rsid w:val="00445385"/>
    <w:rsid w:val="00447207"/>
    <w:rsid w:val="00447943"/>
    <w:rsid w:val="00447B4E"/>
    <w:rsid w:val="00450EC4"/>
    <w:rsid w:val="004527A6"/>
    <w:rsid w:val="00453DF8"/>
    <w:rsid w:val="00455C32"/>
    <w:rsid w:val="0045745E"/>
    <w:rsid w:val="0045753E"/>
    <w:rsid w:val="00457D79"/>
    <w:rsid w:val="00464190"/>
    <w:rsid w:val="0046423E"/>
    <w:rsid w:val="00464C8D"/>
    <w:rsid w:val="00464CC9"/>
    <w:rsid w:val="0046665A"/>
    <w:rsid w:val="0047028E"/>
    <w:rsid w:val="00470FED"/>
    <w:rsid w:val="004713E0"/>
    <w:rsid w:val="004736AA"/>
    <w:rsid w:val="0047469E"/>
    <w:rsid w:val="00475201"/>
    <w:rsid w:val="00475D79"/>
    <w:rsid w:val="0047760E"/>
    <w:rsid w:val="00480418"/>
    <w:rsid w:val="00481845"/>
    <w:rsid w:val="0048185B"/>
    <w:rsid w:val="00481E39"/>
    <w:rsid w:val="0048260A"/>
    <w:rsid w:val="00482FFB"/>
    <w:rsid w:val="00484906"/>
    <w:rsid w:val="00485683"/>
    <w:rsid w:val="004867A4"/>
    <w:rsid w:val="00486B23"/>
    <w:rsid w:val="00487935"/>
    <w:rsid w:val="00487C0D"/>
    <w:rsid w:val="004900B8"/>
    <w:rsid w:val="004907DB"/>
    <w:rsid w:val="004910BF"/>
    <w:rsid w:val="00491AC8"/>
    <w:rsid w:val="00493958"/>
    <w:rsid w:val="00493DF8"/>
    <w:rsid w:val="004944A7"/>
    <w:rsid w:val="00497570"/>
    <w:rsid w:val="00497998"/>
    <w:rsid w:val="004A106F"/>
    <w:rsid w:val="004A3CC9"/>
    <w:rsid w:val="004A43B9"/>
    <w:rsid w:val="004A5B9A"/>
    <w:rsid w:val="004A7FE8"/>
    <w:rsid w:val="004B3151"/>
    <w:rsid w:val="004B44E3"/>
    <w:rsid w:val="004B4BD6"/>
    <w:rsid w:val="004B6E42"/>
    <w:rsid w:val="004B74F8"/>
    <w:rsid w:val="004B7C0E"/>
    <w:rsid w:val="004C46FF"/>
    <w:rsid w:val="004C58F4"/>
    <w:rsid w:val="004D1EAB"/>
    <w:rsid w:val="004D23D5"/>
    <w:rsid w:val="004D2FBE"/>
    <w:rsid w:val="004D4C85"/>
    <w:rsid w:val="004D6223"/>
    <w:rsid w:val="004D75DA"/>
    <w:rsid w:val="004E1A2B"/>
    <w:rsid w:val="004E209A"/>
    <w:rsid w:val="004E2649"/>
    <w:rsid w:val="004E7051"/>
    <w:rsid w:val="004E7967"/>
    <w:rsid w:val="004F046B"/>
    <w:rsid w:val="004F0B2F"/>
    <w:rsid w:val="004F169E"/>
    <w:rsid w:val="004F5228"/>
    <w:rsid w:val="004F5A09"/>
    <w:rsid w:val="004F5A6F"/>
    <w:rsid w:val="004F5CE6"/>
    <w:rsid w:val="00500A5C"/>
    <w:rsid w:val="005014EB"/>
    <w:rsid w:val="005026CC"/>
    <w:rsid w:val="00502DA5"/>
    <w:rsid w:val="00502E58"/>
    <w:rsid w:val="00503AD1"/>
    <w:rsid w:val="0050449A"/>
    <w:rsid w:val="005061AE"/>
    <w:rsid w:val="005109CF"/>
    <w:rsid w:val="00511827"/>
    <w:rsid w:val="00511E71"/>
    <w:rsid w:val="00513720"/>
    <w:rsid w:val="0051607A"/>
    <w:rsid w:val="00520464"/>
    <w:rsid w:val="005205F4"/>
    <w:rsid w:val="00524378"/>
    <w:rsid w:val="0052593E"/>
    <w:rsid w:val="005269B7"/>
    <w:rsid w:val="00526AD1"/>
    <w:rsid w:val="005315EA"/>
    <w:rsid w:val="00535283"/>
    <w:rsid w:val="00535508"/>
    <w:rsid w:val="005363FA"/>
    <w:rsid w:val="00542EF2"/>
    <w:rsid w:val="00545F38"/>
    <w:rsid w:val="00546280"/>
    <w:rsid w:val="0054634E"/>
    <w:rsid w:val="005510E2"/>
    <w:rsid w:val="00552465"/>
    <w:rsid w:val="0055424F"/>
    <w:rsid w:val="00555E17"/>
    <w:rsid w:val="00557377"/>
    <w:rsid w:val="00560599"/>
    <w:rsid w:val="0056138D"/>
    <w:rsid w:val="00563721"/>
    <w:rsid w:val="00564014"/>
    <w:rsid w:val="0056477B"/>
    <w:rsid w:val="00565776"/>
    <w:rsid w:val="00566508"/>
    <w:rsid w:val="00570ACF"/>
    <w:rsid w:val="00573535"/>
    <w:rsid w:val="0057365F"/>
    <w:rsid w:val="00573C2D"/>
    <w:rsid w:val="00575BB7"/>
    <w:rsid w:val="00576FFD"/>
    <w:rsid w:val="00580E08"/>
    <w:rsid w:val="00585250"/>
    <w:rsid w:val="00586622"/>
    <w:rsid w:val="00586F18"/>
    <w:rsid w:val="00587796"/>
    <w:rsid w:val="005911D1"/>
    <w:rsid w:val="0059345E"/>
    <w:rsid w:val="00593AA7"/>
    <w:rsid w:val="005940DB"/>
    <w:rsid w:val="00594587"/>
    <w:rsid w:val="00595776"/>
    <w:rsid w:val="005968B2"/>
    <w:rsid w:val="005A1B0C"/>
    <w:rsid w:val="005A2891"/>
    <w:rsid w:val="005A2AAC"/>
    <w:rsid w:val="005A3C50"/>
    <w:rsid w:val="005A61AB"/>
    <w:rsid w:val="005B0E04"/>
    <w:rsid w:val="005B0E05"/>
    <w:rsid w:val="005B17CE"/>
    <w:rsid w:val="005B23D6"/>
    <w:rsid w:val="005B2781"/>
    <w:rsid w:val="005B6872"/>
    <w:rsid w:val="005B6B09"/>
    <w:rsid w:val="005C3ECD"/>
    <w:rsid w:val="005C4DE0"/>
    <w:rsid w:val="005C5B41"/>
    <w:rsid w:val="005C61D6"/>
    <w:rsid w:val="005C7F9E"/>
    <w:rsid w:val="005D315F"/>
    <w:rsid w:val="005D605B"/>
    <w:rsid w:val="005D61FE"/>
    <w:rsid w:val="005D7A63"/>
    <w:rsid w:val="005D7C54"/>
    <w:rsid w:val="005E2D06"/>
    <w:rsid w:val="005F1D50"/>
    <w:rsid w:val="005F2A2C"/>
    <w:rsid w:val="005F3BCE"/>
    <w:rsid w:val="005F4010"/>
    <w:rsid w:val="005F5087"/>
    <w:rsid w:val="005F5CDA"/>
    <w:rsid w:val="005F69A9"/>
    <w:rsid w:val="00600502"/>
    <w:rsid w:val="0060091E"/>
    <w:rsid w:val="00603AFF"/>
    <w:rsid w:val="0060605E"/>
    <w:rsid w:val="006104D9"/>
    <w:rsid w:val="006107AB"/>
    <w:rsid w:val="00612C9C"/>
    <w:rsid w:val="006139EC"/>
    <w:rsid w:val="00613CC2"/>
    <w:rsid w:val="00615CB4"/>
    <w:rsid w:val="006177AE"/>
    <w:rsid w:val="00620C18"/>
    <w:rsid w:val="0062175F"/>
    <w:rsid w:val="00621A26"/>
    <w:rsid w:val="00621A4A"/>
    <w:rsid w:val="00623165"/>
    <w:rsid w:val="00624E22"/>
    <w:rsid w:val="00626765"/>
    <w:rsid w:val="006267B7"/>
    <w:rsid w:val="006267C6"/>
    <w:rsid w:val="00626D4E"/>
    <w:rsid w:val="0063143F"/>
    <w:rsid w:val="00632673"/>
    <w:rsid w:val="006339F5"/>
    <w:rsid w:val="00634377"/>
    <w:rsid w:val="0063551B"/>
    <w:rsid w:val="00635F82"/>
    <w:rsid w:val="00636B16"/>
    <w:rsid w:val="00636B6E"/>
    <w:rsid w:val="00640620"/>
    <w:rsid w:val="00641D3B"/>
    <w:rsid w:val="00641E97"/>
    <w:rsid w:val="00642531"/>
    <w:rsid w:val="006428C0"/>
    <w:rsid w:val="00646942"/>
    <w:rsid w:val="006470D8"/>
    <w:rsid w:val="006479EA"/>
    <w:rsid w:val="006519AF"/>
    <w:rsid w:val="00651C8B"/>
    <w:rsid w:val="00654545"/>
    <w:rsid w:val="006549A6"/>
    <w:rsid w:val="0066058B"/>
    <w:rsid w:val="006618F7"/>
    <w:rsid w:val="00662222"/>
    <w:rsid w:val="00663755"/>
    <w:rsid w:val="006674D7"/>
    <w:rsid w:val="00674128"/>
    <w:rsid w:val="00674A82"/>
    <w:rsid w:val="00674D0B"/>
    <w:rsid w:val="0067509F"/>
    <w:rsid w:val="00675227"/>
    <w:rsid w:val="006754B7"/>
    <w:rsid w:val="00675630"/>
    <w:rsid w:val="006756C0"/>
    <w:rsid w:val="00676C69"/>
    <w:rsid w:val="00680F03"/>
    <w:rsid w:val="0068122B"/>
    <w:rsid w:val="006826BB"/>
    <w:rsid w:val="006830C9"/>
    <w:rsid w:val="0068364A"/>
    <w:rsid w:val="0068525B"/>
    <w:rsid w:val="00685D4F"/>
    <w:rsid w:val="00685DD6"/>
    <w:rsid w:val="006869A1"/>
    <w:rsid w:val="00686D73"/>
    <w:rsid w:val="00687B31"/>
    <w:rsid w:val="00690C1B"/>
    <w:rsid w:val="006918FD"/>
    <w:rsid w:val="00691D49"/>
    <w:rsid w:val="00692D3B"/>
    <w:rsid w:val="006A17BE"/>
    <w:rsid w:val="006A26EE"/>
    <w:rsid w:val="006A28F1"/>
    <w:rsid w:val="006A3E64"/>
    <w:rsid w:val="006A3EBB"/>
    <w:rsid w:val="006A4AB4"/>
    <w:rsid w:val="006A515F"/>
    <w:rsid w:val="006A56E4"/>
    <w:rsid w:val="006B029D"/>
    <w:rsid w:val="006B197C"/>
    <w:rsid w:val="006B2D41"/>
    <w:rsid w:val="006B6D8D"/>
    <w:rsid w:val="006B7D05"/>
    <w:rsid w:val="006C0226"/>
    <w:rsid w:val="006C1643"/>
    <w:rsid w:val="006C295B"/>
    <w:rsid w:val="006C3C15"/>
    <w:rsid w:val="006C7D4F"/>
    <w:rsid w:val="006D1BBC"/>
    <w:rsid w:val="006D28F6"/>
    <w:rsid w:val="006D46CE"/>
    <w:rsid w:val="006D47C5"/>
    <w:rsid w:val="006D66D6"/>
    <w:rsid w:val="006D6A44"/>
    <w:rsid w:val="006E75E2"/>
    <w:rsid w:val="006E7964"/>
    <w:rsid w:val="006F01B5"/>
    <w:rsid w:val="006F2A06"/>
    <w:rsid w:val="006F45EE"/>
    <w:rsid w:val="006F4AD5"/>
    <w:rsid w:val="006F5527"/>
    <w:rsid w:val="006F6211"/>
    <w:rsid w:val="00702DA8"/>
    <w:rsid w:val="007046F7"/>
    <w:rsid w:val="00705190"/>
    <w:rsid w:val="007076DF"/>
    <w:rsid w:val="007117CE"/>
    <w:rsid w:val="0071280F"/>
    <w:rsid w:val="0071326C"/>
    <w:rsid w:val="0071377D"/>
    <w:rsid w:val="007138EB"/>
    <w:rsid w:val="007144F6"/>
    <w:rsid w:val="00714F39"/>
    <w:rsid w:val="007163FD"/>
    <w:rsid w:val="00716EA8"/>
    <w:rsid w:val="00717F98"/>
    <w:rsid w:val="007218D3"/>
    <w:rsid w:val="0072390C"/>
    <w:rsid w:val="00723A6D"/>
    <w:rsid w:val="007258AB"/>
    <w:rsid w:val="007269AB"/>
    <w:rsid w:val="00727A28"/>
    <w:rsid w:val="0073043A"/>
    <w:rsid w:val="00730C7F"/>
    <w:rsid w:val="0073270D"/>
    <w:rsid w:val="00732F74"/>
    <w:rsid w:val="007332F9"/>
    <w:rsid w:val="00734ED0"/>
    <w:rsid w:val="0073594C"/>
    <w:rsid w:val="00736085"/>
    <w:rsid w:val="00740D9C"/>
    <w:rsid w:val="00741394"/>
    <w:rsid w:val="007418D9"/>
    <w:rsid w:val="00741FA2"/>
    <w:rsid w:val="00742173"/>
    <w:rsid w:val="00743CDA"/>
    <w:rsid w:val="00744252"/>
    <w:rsid w:val="00745488"/>
    <w:rsid w:val="00746FD8"/>
    <w:rsid w:val="00747332"/>
    <w:rsid w:val="00750450"/>
    <w:rsid w:val="00750FE0"/>
    <w:rsid w:val="007548E4"/>
    <w:rsid w:val="0075694F"/>
    <w:rsid w:val="00757335"/>
    <w:rsid w:val="007606AA"/>
    <w:rsid w:val="007613E1"/>
    <w:rsid w:val="00761522"/>
    <w:rsid w:val="00762E9C"/>
    <w:rsid w:val="00763AAD"/>
    <w:rsid w:val="007648FB"/>
    <w:rsid w:val="00764F3A"/>
    <w:rsid w:val="0076720B"/>
    <w:rsid w:val="00770689"/>
    <w:rsid w:val="00772951"/>
    <w:rsid w:val="007752C1"/>
    <w:rsid w:val="007761E6"/>
    <w:rsid w:val="0077623A"/>
    <w:rsid w:val="00776D3B"/>
    <w:rsid w:val="007771AD"/>
    <w:rsid w:val="00777893"/>
    <w:rsid w:val="00777BE5"/>
    <w:rsid w:val="00784103"/>
    <w:rsid w:val="00784C0B"/>
    <w:rsid w:val="00792FA5"/>
    <w:rsid w:val="00795196"/>
    <w:rsid w:val="00795A9B"/>
    <w:rsid w:val="007964A2"/>
    <w:rsid w:val="007970F7"/>
    <w:rsid w:val="007A0496"/>
    <w:rsid w:val="007A2D2F"/>
    <w:rsid w:val="007A6F27"/>
    <w:rsid w:val="007A7979"/>
    <w:rsid w:val="007A7D3B"/>
    <w:rsid w:val="007B0321"/>
    <w:rsid w:val="007B502E"/>
    <w:rsid w:val="007B5C21"/>
    <w:rsid w:val="007C024D"/>
    <w:rsid w:val="007C035E"/>
    <w:rsid w:val="007C165F"/>
    <w:rsid w:val="007C1DCB"/>
    <w:rsid w:val="007C2679"/>
    <w:rsid w:val="007C29FD"/>
    <w:rsid w:val="007D01BE"/>
    <w:rsid w:val="007D082D"/>
    <w:rsid w:val="007D2377"/>
    <w:rsid w:val="007D61CF"/>
    <w:rsid w:val="007E1CBA"/>
    <w:rsid w:val="007E22C2"/>
    <w:rsid w:val="007E3861"/>
    <w:rsid w:val="007E4433"/>
    <w:rsid w:val="007E4D02"/>
    <w:rsid w:val="007E5495"/>
    <w:rsid w:val="007F1C4A"/>
    <w:rsid w:val="007F3673"/>
    <w:rsid w:val="007F3B3E"/>
    <w:rsid w:val="007F507E"/>
    <w:rsid w:val="007F61BA"/>
    <w:rsid w:val="007F63B6"/>
    <w:rsid w:val="008002E1"/>
    <w:rsid w:val="00800885"/>
    <w:rsid w:val="00800E2F"/>
    <w:rsid w:val="0080162F"/>
    <w:rsid w:val="00801D27"/>
    <w:rsid w:val="0080204A"/>
    <w:rsid w:val="008022A8"/>
    <w:rsid w:val="008025ED"/>
    <w:rsid w:val="00802829"/>
    <w:rsid w:val="0080286D"/>
    <w:rsid w:val="00805821"/>
    <w:rsid w:val="00811627"/>
    <w:rsid w:val="008117B6"/>
    <w:rsid w:val="00813F99"/>
    <w:rsid w:val="00817E9E"/>
    <w:rsid w:val="0082399F"/>
    <w:rsid w:val="00823BB9"/>
    <w:rsid w:val="00824824"/>
    <w:rsid w:val="00826B94"/>
    <w:rsid w:val="0082792B"/>
    <w:rsid w:val="008303A2"/>
    <w:rsid w:val="00830532"/>
    <w:rsid w:val="00831E3F"/>
    <w:rsid w:val="00833612"/>
    <w:rsid w:val="00833913"/>
    <w:rsid w:val="008341D8"/>
    <w:rsid w:val="00835A94"/>
    <w:rsid w:val="00836835"/>
    <w:rsid w:val="00836FB4"/>
    <w:rsid w:val="00837B67"/>
    <w:rsid w:val="00837BEB"/>
    <w:rsid w:val="0084055A"/>
    <w:rsid w:val="00846AB1"/>
    <w:rsid w:val="00846B2F"/>
    <w:rsid w:val="00851C18"/>
    <w:rsid w:val="00861C24"/>
    <w:rsid w:val="00863611"/>
    <w:rsid w:val="00863EF0"/>
    <w:rsid w:val="00864EE6"/>
    <w:rsid w:val="00864F1C"/>
    <w:rsid w:val="00872803"/>
    <w:rsid w:val="00872BA2"/>
    <w:rsid w:val="00876C3E"/>
    <w:rsid w:val="008801AF"/>
    <w:rsid w:val="00881039"/>
    <w:rsid w:val="00882877"/>
    <w:rsid w:val="00883AAA"/>
    <w:rsid w:val="00883CEC"/>
    <w:rsid w:val="0088746C"/>
    <w:rsid w:val="00890980"/>
    <w:rsid w:val="00892EBC"/>
    <w:rsid w:val="00893DD6"/>
    <w:rsid w:val="00895418"/>
    <w:rsid w:val="0089788C"/>
    <w:rsid w:val="00897A7F"/>
    <w:rsid w:val="00897AF8"/>
    <w:rsid w:val="008A09F3"/>
    <w:rsid w:val="008A37E5"/>
    <w:rsid w:val="008A5515"/>
    <w:rsid w:val="008A56A8"/>
    <w:rsid w:val="008A5FCC"/>
    <w:rsid w:val="008B4846"/>
    <w:rsid w:val="008B558F"/>
    <w:rsid w:val="008B608D"/>
    <w:rsid w:val="008B749E"/>
    <w:rsid w:val="008C09B5"/>
    <w:rsid w:val="008C1D0C"/>
    <w:rsid w:val="008C2D17"/>
    <w:rsid w:val="008C3E75"/>
    <w:rsid w:val="008C3F62"/>
    <w:rsid w:val="008C560F"/>
    <w:rsid w:val="008C5F38"/>
    <w:rsid w:val="008C6A20"/>
    <w:rsid w:val="008C7870"/>
    <w:rsid w:val="008D2E08"/>
    <w:rsid w:val="008D4733"/>
    <w:rsid w:val="008D4971"/>
    <w:rsid w:val="008D6805"/>
    <w:rsid w:val="008D77FD"/>
    <w:rsid w:val="008E1E77"/>
    <w:rsid w:val="008E6A92"/>
    <w:rsid w:val="008F4C17"/>
    <w:rsid w:val="008F5F07"/>
    <w:rsid w:val="008F7897"/>
    <w:rsid w:val="0090296E"/>
    <w:rsid w:val="00905BBE"/>
    <w:rsid w:val="009078DB"/>
    <w:rsid w:val="009106E6"/>
    <w:rsid w:val="00910785"/>
    <w:rsid w:val="0091354B"/>
    <w:rsid w:val="00913E49"/>
    <w:rsid w:val="00914B6D"/>
    <w:rsid w:val="00916358"/>
    <w:rsid w:val="009204BB"/>
    <w:rsid w:val="0092107D"/>
    <w:rsid w:val="009214D3"/>
    <w:rsid w:val="009225DE"/>
    <w:rsid w:val="00922AFC"/>
    <w:rsid w:val="00922F72"/>
    <w:rsid w:val="009237A5"/>
    <w:rsid w:val="009271CA"/>
    <w:rsid w:val="009301DE"/>
    <w:rsid w:val="009315F5"/>
    <w:rsid w:val="009320D3"/>
    <w:rsid w:val="00933571"/>
    <w:rsid w:val="00933919"/>
    <w:rsid w:val="00934718"/>
    <w:rsid w:val="009370E2"/>
    <w:rsid w:val="009379AA"/>
    <w:rsid w:val="00940535"/>
    <w:rsid w:val="0094275A"/>
    <w:rsid w:val="00945F19"/>
    <w:rsid w:val="00950841"/>
    <w:rsid w:val="00954414"/>
    <w:rsid w:val="00957BCF"/>
    <w:rsid w:val="00961671"/>
    <w:rsid w:val="00961E35"/>
    <w:rsid w:val="00961E58"/>
    <w:rsid w:val="00962B5C"/>
    <w:rsid w:val="009658D6"/>
    <w:rsid w:val="00970CFD"/>
    <w:rsid w:val="00975F96"/>
    <w:rsid w:val="0098324A"/>
    <w:rsid w:val="009832CB"/>
    <w:rsid w:val="00985FFB"/>
    <w:rsid w:val="00987CAC"/>
    <w:rsid w:val="00990CFC"/>
    <w:rsid w:val="00993516"/>
    <w:rsid w:val="0099535F"/>
    <w:rsid w:val="00995C10"/>
    <w:rsid w:val="00995DD7"/>
    <w:rsid w:val="00995E0E"/>
    <w:rsid w:val="00996052"/>
    <w:rsid w:val="009960C9"/>
    <w:rsid w:val="00996C55"/>
    <w:rsid w:val="00996D25"/>
    <w:rsid w:val="00997193"/>
    <w:rsid w:val="00997DA9"/>
    <w:rsid w:val="009A2905"/>
    <w:rsid w:val="009A2C6B"/>
    <w:rsid w:val="009A2C9D"/>
    <w:rsid w:val="009A38CE"/>
    <w:rsid w:val="009A4A95"/>
    <w:rsid w:val="009A5690"/>
    <w:rsid w:val="009A5B58"/>
    <w:rsid w:val="009A6EB1"/>
    <w:rsid w:val="009A72B6"/>
    <w:rsid w:val="009B159B"/>
    <w:rsid w:val="009B2245"/>
    <w:rsid w:val="009B4294"/>
    <w:rsid w:val="009B430C"/>
    <w:rsid w:val="009B5295"/>
    <w:rsid w:val="009B7374"/>
    <w:rsid w:val="009B7C98"/>
    <w:rsid w:val="009B7CC1"/>
    <w:rsid w:val="009C03F9"/>
    <w:rsid w:val="009C0727"/>
    <w:rsid w:val="009C1EF7"/>
    <w:rsid w:val="009C2556"/>
    <w:rsid w:val="009C5011"/>
    <w:rsid w:val="009C52A7"/>
    <w:rsid w:val="009C6C52"/>
    <w:rsid w:val="009D0295"/>
    <w:rsid w:val="009D06AE"/>
    <w:rsid w:val="009D1486"/>
    <w:rsid w:val="009D162F"/>
    <w:rsid w:val="009D1776"/>
    <w:rsid w:val="009D2EA2"/>
    <w:rsid w:val="009D4735"/>
    <w:rsid w:val="009D58B8"/>
    <w:rsid w:val="009D5976"/>
    <w:rsid w:val="009D79AE"/>
    <w:rsid w:val="009E040A"/>
    <w:rsid w:val="009E2345"/>
    <w:rsid w:val="009E40AA"/>
    <w:rsid w:val="009E4E40"/>
    <w:rsid w:val="009E710F"/>
    <w:rsid w:val="009F5B77"/>
    <w:rsid w:val="009F6A10"/>
    <w:rsid w:val="00A0253A"/>
    <w:rsid w:val="00A02A94"/>
    <w:rsid w:val="00A02B06"/>
    <w:rsid w:val="00A03293"/>
    <w:rsid w:val="00A0443D"/>
    <w:rsid w:val="00A10193"/>
    <w:rsid w:val="00A14055"/>
    <w:rsid w:val="00A14E15"/>
    <w:rsid w:val="00A1620E"/>
    <w:rsid w:val="00A24540"/>
    <w:rsid w:val="00A25107"/>
    <w:rsid w:val="00A27388"/>
    <w:rsid w:val="00A300BF"/>
    <w:rsid w:val="00A30F95"/>
    <w:rsid w:val="00A3163E"/>
    <w:rsid w:val="00A3255E"/>
    <w:rsid w:val="00A331C8"/>
    <w:rsid w:val="00A420D4"/>
    <w:rsid w:val="00A43E28"/>
    <w:rsid w:val="00A46428"/>
    <w:rsid w:val="00A47436"/>
    <w:rsid w:val="00A5105C"/>
    <w:rsid w:val="00A5262D"/>
    <w:rsid w:val="00A54B31"/>
    <w:rsid w:val="00A5691B"/>
    <w:rsid w:val="00A63C53"/>
    <w:rsid w:val="00A729A4"/>
    <w:rsid w:val="00A76173"/>
    <w:rsid w:val="00A762E1"/>
    <w:rsid w:val="00A77AE4"/>
    <w:rsid w:val="00A801C4"/>
    <w:rsid w:val="00A806F4"/>
    <w:rsid w:val="00A81FA6"/>
    <w:rsid w:val="00A84237"/>
    <w:rsid w:val="00A84E31"/>
    <w:rsid w:val="00A8697D"/>
    <w:rsid w:val="00A86A1F"/>
    <w:rsid w:val="00A873DD"/>
    <w:rsid w:val="00A877F5"/>
    <w:rsid w:val="00A9059D"/>
    <w:rsid w:val="00A928F7"/>
    <w:rsid w:val="00A92ABE"/>
    <w:rsid w:val="00A949FF"/>
    <w:rsid w:val="00A955CC"/>
    <w:rsid w:val="00A957E0"/>
    <w:rsid w:val="00AA0175"/>
    <w:rsid w:val="00AA0A83"/>
    <w:rsid w:val="00AA25E4"/>
    <w:rsid w:val="00AA28FB"/>
    <w:rsid w:val="00AA3112"/>
    <w:rsid w:val="00AA5510"/>
    <w:rsid w:val="00AA6162"/>
    <w:rsid w:val="00AA733A"/>
    <w:rsid w:val="00AA7B6C"/>
    <w:rsid w:val="00AA7F1A"/>
    <w:rsid w:val="00AB1420"/>
    <w:rsid w:val="00AB25F9"/>
    <w:rsid w:val="00AB2F51"/>
    <w:rsid w:val="00AB3D47"/>
    <w:rsid w:val="00AB444F"/>
    <w:rsid w:val="00AB49F5"/>
    <w:rsid w:val="00AB63B7"/>
    <w:rsid w:val="00AC1689"/>
    <w:rsid w:val="00AC1FDD"/>
    <w:rsid w:val="00AC2DE2"/>
    <w:rsid w:val="00AC4D72"/>
    <w:rsid w:val="00AC4F4B"/>
    <w:rsid w:val="00AC639C"/>
    <w:rsid w:val="00AC71A6"/>
    <w:rsid w:val="00AD15E0"/>
    <w:rsid w:val="00AD20E9"/>
    <w:rsid w:val="00AD24FE"/>
    <w:rsid w:val="00AD362B"/>
    <w:rsid w:val="00AD4B24"/>
    <w:rsid w:val="00AD729C"/>
    <w:rsid w:val="00AD73C3"/>
    <w:rsid w:val="00AE0192"/>
    <w:rsid w:val="00AE0993"/>
    <w:rsid w:val="00AE2FF1"/>
    <w:rsid w:val="00AE36A3"/>
    <w:rsid w:val="00AE515D"/>
    <w:rsid w:val="00AF03EA"/>
    <w:rsid w:val="00AF3041"/>
    <w:rsid w:val="00AF3AAB"/>
    <w:rsid w:val="00AF48CD"/>
    <w:rsid w:val="00AF4BBA"/>
    <w:rsid w:val="00AF59D2"/>
    <w:rsid w:val="00AF5E69"/>
    <w:rsid w:val="00AF5FAD"/>
    <w:rsid w:val="00AF78AB"/>
    <w:rsid w:val="00AF7EC8"/>
    <w:rsid w:val="00B015A7"/>
    <w:rsid w:val="00B01F89"/>
    <w:rsid w:val="00B040D7"/>
    <w:rsid w:val="00B053D9"/>
    <w:rsid w:val="00B06556"/>
    <w:rsid w:val="00B07368"/>
    <w:rsid w:val="00B11F31"/>
    <w:rsid w:val="00B12C14"/>
    <w:rsid w:val="00B14C89"/>
    <w:rsid w:val="00B16F92"/>
    <w:rsid w:val="00B21E7A"/>
    <w:rsid w:val="00B21EA3"/>
    <w:rsid w:val="00B30072"/>
    <w:rsid w:val="00B31E11"/>
    <w:rsid w:val="00B3388D"/>
    <w:rsid w:val="00B345D9"/>
    <w:rsid w:val="00B34DF8"/>
    <w:rsid w:val="00B372BF"/>
    <w:rsid w:val="00B42940"/>
    <w:rsid w:val="00B43883"/>
    <w:rsid w:val="00B43D0A"/>
    <w:rsid w:val="00B43FEF"/>
    <w:rsid w:val="00B44303"/>
    <w:rsid w:val="00B44E06"/>
    <w:rsid w:val="00B47D07"/>
    <w:rsid w:val="00B507A0"/>
    <w:rsid w:val="00B5144B"/>
    <w:rsid w:val="00B5170B"/>
    <w:rsid w:val="00B53992"/>
    <w:rsid w:val="00B53D6E"/>
    <w:rsid w:val="00B56DF0"/>
    <w:rsid w:val="00B6337E"/>
    <w:rsid w:val="00B63DBF"/>
    <w:rsid w:val="00B64873"/>
    <w:rsid w:val="00B651E3"/>
    <w:rsid w:val="00B6620C"/>
    <w:rsid w:val="00B67FEA"/>
    <w:rsid w:val="00B710D2"/>
    <w:rsid w:val="00B7113C"/>
    <w:rsid w:val="00B712CC"/>
    <w:rsid w:val="00B723DF"/>
    <w:rsid w:val="00B731DE"/>
    <w:rsid w:val="00B74252"/>
    <w:rsid w:val="00B753FC"/>
    <w:rsid w:val="00B75E73"/>
    <w:rsid w:val="00B76132"/>
    <w:rsid w:val="00B77533"/>
    <w:rsid w:val="00B85149"/>
    <w:rsid w:val="00B85A12"/>
    <w:rsid w:val="00B86498"/>
    <w:rsid w:val="00B871F2"/>
    <w:rsid w:val="00B87E22"/>
    <w:rsid w:val="00B87E76"/>
    <w:rsid w:val="00B9063F"/>
    <w:rsid w:val="00B93F1B"/>
    <w:rsid w:val="00B945D4"/>
    <w:rsid w:val="00B94644"/>
    <w:rsid w:val="00B94BAD"/>
    <w:rsid w:val="00BA084B"/>
    <w:rsid w:val="00BA0B3A"/>
    <w:rsid w:val="00BA55C7"/>
    <w:rsid w:val="00BA5870"/>
    <w:rsid w:val="00BA679F"/>
    <w:rsid w:val="00BA6E80"/>
    <w:rsid w:val="00BB0399"/>
    <w:rsid w:val="00BB0EFB"/>
    <w:rsid w:val="00BB29C8"/>
    <w:rsid w:val="00BB3223"/>
    <w:rsid w:val="00BB3B1B"/>
    <w:rsid w:val="00BB4344"/>
    <w:rsid w:val="00BB5074"/>
    <w:rsid w:val="00BC25C1"/>
    <w:rsid w:val="00BC308B"/>
    <w:rsid w:val="00BC3B27"/>
    <w:rsid w:val="00BC4C10"/>
    <w:rsid w:val="00BC4C9B"/>
    <w:rsid w:val="00BC5D6C"/>
    <w:rsid w:val="00BC7BEA"/>
    <w:rsid w:val="00BD209D"/>
    <w:rsid w:val="00BD4BBB"/>
    <w:rsid w:val="00BE08C4"/>
    <w:rsid w:val="00BE0BE8"/>
    <w:rsid w:val="00BE467F"/>
    <w:rsid w:val="00BE4DAD"/>
    <w:rsid w:val="00BE5E4B"/>
    <w:rsid w:val="00BE6C2B"/>
    <w:rsid w:val="00BE716C"/>
    <w:rsid w:val="00BE7D73"/>
    <w:rsid w:val="00BF1AB9"/>
    <w:rsid w:val="00BF29E1"/>
    <w:rsid w:val="00BF2F12"/>
    <w:rsid w:val="00BF328B"/>
    <w:rsid w:val="00BF3A82"/>
    <w:rsid w:val="00BF3ADC"/>
    <w:rsid w:val="00BF4C9A"/>
    <w:rsid w:val="00BF58CF"/>
    <w:rsid w:val="00BF7554"/>
    <w:rsid w:val="00BF7790"/>
    <w:rsid w:val="00C0339F"/>
    <w:rsid w:val="00C039E9"/>
    <w:rsid w:val="00C042A6"/>
    <w:rsid w:val="00C07331"/>
    <w:rsid w:val="00C10955"/>
    <w:rsid w:val="00C128B5"/>
    <w:rsid w:val="00C13C70"/>
    <w:rsid w:val="00C15006"/>
    <w:rsid w:val="00C16D3F"/>
    <w:rsid w:val="00C16F89"/>
    <w:rsid w:val="00C20A34"/>
    <w:rsid w:val="00C22BC5"/>
    <w:rsid w:val="00C22CEA"/>
    <w:rsid w:val="00C24103"/>
    <w:rsid w:val="00C3073F"/>
    <w:rsid w:val="00C31877"/>
    <w:rsid w:val="00C31885"/>
    <w:rsid w:val="00C325D1"/>
    <w:rsid w:val="00C347A8"/>
    <w:rsid w:val="00C35F80"/>
    <w:rsid w:val="00C37101"/>
    <w:rsid w:val="00C4191F"/>
    <w:rsid w:val="00C4222C"/>
    <w:rsid w:val="00C42BB6"/>
    <w:rsid w:val="00C43515"/>
    <w:rsid w:val="00C43D97"/>
    <w:rsid w:val="00C46BC0"/>
    <w:rsid w:val="00C50F36"/>
    <w:rsid w:val="00C53B91"/>
    <w:rsid w:val="00C53E3A"/>
    <w:rsid w:val="00C5460D"/>
    <w:rsid w:val="00C5610C"/>
    <w:rsid w:val="00C60629"/>
    <w:rsid w:val="00C60694"/>
    <w:rsid w:val="00C620D3"/>
    <w:rsid w:val="00C62687"/>
    <w:rsid w:val="00C63D62"/>
    <w:rsid w:val="00C64195"/>
    <w:rsid w:val="00C64773"/>
    <w:rsid w:val="00C72BBA"/>
    <w:rsid w:val="00C73A21"/>
    <w:rsid w:val="00C76728"/>
    <w:rsid w:val="00C80771"/>
    <w:rsid w:val="00C836EC"/>
    <w:rsid w:val="00C83BB4"/>
    <w:rsid w:val="00C844F7"/>
    <w:rsid w:val="00C84D0E"/>
    <w:rsid w:val="00C859C7"/>
    <w:rsid w:val="00C860EF"/>
    <w:rsid w:val="00C8680A"/>
    <w:rsid w:val="00C87B56"/>
    <w:rsid w:val="00C87D7F"/>
    <w:rsid w:val="00C909D3"/>
    <w:rsid w:val="00C90E19"/>
    <w:rsid w:val="00C91002"/>
    <w:rsid w:val="00C91F78"/>
    <w:rsid w:val="00C93462"/>
    <w:rsid w:val="00C9375C"/>
    <w:rsid w:val="00C960E8"/>
    <w:rsid w:val="00C96EAD"/>
    <w:rsid w:val="00C97042"/>
    <w:rsid w:val="00C979F3"/>
    <w:rsid w:val="00CA0EED"/>
    <w:rsid w:val="00CA2318"/>
    <w:rsid w:val="00CA2794"/>
    <w:rsid w:val="00CA32A9"/>
    <w:rsid w:val="00CB1215"/>
    <w:rsid w:val="00CB1C21"/>
    <w:rsid w:val="00CB1FB4"/>
    <w:rsid w:val="00CB25EB"/>
    <w:rsid w:val="00CB322C"/>
    <w:rsid w:val="00CB630A"/>
    <w:rsid w:val="00CB65EF"/>
    <w:rsid w:val="00CB6DBB"/>
    <w:rsid w:val="00CB7903"/>
    <w:rsid w:val="00CC03E3"/>
    <w:rsid w:val="00CC0D0A"/>
    <w:rsid w:val="00CC0FBB"/>
    <w:rsid w:val="00CC1B7D"/>
    <w:rsid w:val="00CC2F73"/>
    <w:rsid w:val="00CC41DA"/>
    <w:rsid w:val="00CC4CE1"/>
    <w:rsid w:val="00CC5AB4"/>
    <w:rsid w:val="00CC6C4E"/>
    <w:rsid w:val="00CC6EA3"/>
    <w:rsid w:val="00CD0652"/>
    <w:rsid w:val="00CD31AC"/>
    <w:rsid w:val="00CD397A"/>
    <w:rsid w:val="00CD6700"/>
    <w:rsid w:val="00CD6C71"/>
    <w:rsid w:val="00CE0E91"/>
    <w:rsid w:val="00CE1F32"/>
    <w:rsid w:val="00CE313B"/>
    <w:rsid w:val="00CE496A"/>
    <w:rsid w:val="00CE5D2E"/>
    <w:rsid w:val="00CF0ECB"/>
    <w:rsid w:val="00CF1D5A"/>
    <w:rsid w:val="00CF2D75"/>
    <w:rsid w:val="00D00CB1"/>
    <w:rsid w:val="00D01CEF"/>
    <w:rsid w:val="00D02A61"/>
    <w:rsid w:val="00D038F3"/>
    <w:rsid w:val="00D0526A"/>
    <w:rsid w:val="00D060D7"/>
    <w:rsid w:val="00D06225"/>
    <w:rsid w:val="00D06537"/>
    <w:rsid w:val="00D075C8"/>
    <w:rsid w:val="00D11562"/>
    <w:rsid w:val="00D1367B"/>
    <w:rsid w:val="00D13DB2"/>
    <w:rsid w:val="00D14F5B"/>
    <w:rsid w:val="00D15973"/>
    <w:rsid w:val="00D17713"/>
    <w:rsid w:val="00D17CB6"/>
    <w:rsid w:val="00D200CF"/>
    <w:rsid w:val="00D20FFB"/>
    <w:rsid w:val="00D260F8"/>
    <w:rsid w:val="00D26D78"/>
    <w:rsid w:val="00D32E6E"/>
    <w:rsid w:val="00D350D0"/>
    <w:rsid w:val="00D41050"/>
    <w:rsid w:val="00D41699"/>
    <w:rsid w:val="00D42DF4"/>
    <w:rsid w:val="00D438A0"/>
    <w:rsid w:val="00D43A30"/>
    <w:rsid w:val="00D445FA"/>
    <w:rsid w:val="00D4503A"/>
    <w:rsid w:val="00D4520B"/>
    <w:rsid w:val="00D45E7D"/>
    <w:rsid w:val="00D46B21"/>
    <w:rsid w:val="00D4777B"/>
    <w:rsid w:val="00D52764"/>
    <w:rsid w:val="00D54752"/>
    <w:rsid w:val="00D56B8F"/>
    <w:rsid w:val="00D5791A"/>
    <w:rsid w:val="00D57C3C"/>
    <w:rsid w:val="00D60DC5"/>
    <w:rsid w:val="00D623EB"/>
    <w:rsid w:val="00D637FE"/>
    <w:rsid w:val="00D66D1C"/>
    <w:rsid w:val="00D67BB2"/>
    <w:rsid w:val="00D70AB4"/>
    <w:rsid w:val="00D70DBD"/>
    <w:rsid w:val="00D72133"/>
    <w:rsid w:val="00D73299"/>
    <w:rsid w:val="00D75FCF"/>
    <w:rsid w:val="00D7605F"/>
    <w:rsid w:val="00D76B66"/>
    <w:rsid w:val="00D773D0"/>
    <w:rsid w:val="00D77DC0"/>
    <w:rsid w:val="00D80073"/>
    <w:rsid w:val="00D8119D"/>
    <w:rsid w:val="00D811FA"/>
    <w:rsid w:val="00D81A8E"/>
    <w:rsid w:val="00D8329D"/>
    <w:rsid w:val="00D85ED0"/>
    <w:rsid w:val="00D86A3A"/>
    <w:rsid w:val="00D90957"/>
    <w:rsid w:val="00D90EBF"/>
    <w:rsid w:val="00D91EF5"/>
    <w:rsid w:val="00D9611D"/>
    <w:rsid w:val="00D97463"/>
    <w:rsid w:val="00D9773D"/>
    <w:rsid w:val="00D97C6C"/>
    <w:rsid w:val="00DA658C"/>
    <w:rsid w:val="00DA6F34"/>
    <w:rsid w:val="00DB17B0"/>
    <w:rsid w:val="00DB3AAA"/>
    <w:rsid w:val="00DB40DB"/>
    <w:rsid w:val="00DB5405"/>
    <w:rsid w:val="00DC1618"/>
    <w:rsid w:val="00DC1B40"/>
    <w:rsid w:val="00DC3046"/>
    <w:rsid w:val="00DC3253"/>
    <w:rsid w:val="00DC5FA6"/>
    <w:rsid w:val="00DC646D"/>
    <w:rsid w:val="00DC6760"/>
    <w:rsid w:val="00DD2AFB"/>
    <w:rsid w:val="00DD38FF"/>
    <w:rsid w:val="00DD4B3A"/>
    <w:rsid w:val="00DD60C4"/>
    <w:rsid w:val="00DD6A21"/>
    <w:rsid w:val="00DE184F"/>
    <w:rsid w:val="00DE4386"/>
    <w:rsid w:val="00DE5657"/>
    <w:rsid w:val="00DE7AA5"/>
    <w:rsid w:val="00DE7B47"/>
    <w:rsid w:val="00DF0316"/>
    <w:rsid w:val="00DF0BF2"/>
    <w:rsid w:val="00DF11D0"/>
    <w:rsid w:val="00DF4473"/>
    <w:rsid w:val="00DF519C"/>
    <w:rsid w:val="00DF57DB"/>
    <w:rsid w:val="00E00339"/>
    <w:rsid w:val="00E004EA"/>
    <w:rsid w:val="00E014FE"/>
    <w:rsid w:val="00E01CBD"/>
    <w:rsid w:val="00E04238"/>
    <w:rsid w:val="00E12E0B"/>
    <w:rsid w:val="00E14053"/>
    <w:rsid w:val="00E1539A"/>
    <w:rsid w:val="00E1624D"/>
    <w:rsid w:val="00E206EA"/>
    <w:rsid w:val="00E20875"/>
    <w:rsid w:val="00E22C4B"/>
    <w:rsid w:val="00E230B4"/>
    <w:rsid w:val="00E24CCA"/>
    <w:rsid w:val="00E25E62"/>
    <w:rsid w:val="00E25F82"/>
    <w:rsid w:val="00E2669F"/>
    <w:rsid w:val="00E2702D"/>
    <w:rsid w:val="00E30182"/>
    <w:rsid w:val="00E3229A"/>
    <w:rsid w:val="00E33D16"/>
    <w:rsid w:val="00E34520"/>
    <w:rsid w:val="00E36364"/>
    <w:rsid w:val="00E41451"/>
    <w:rsid w:val="00E415B8"/>
    <w:rsid w:val="00E427EE"/>
    <w:rsid w:val="00E45817"/>
    <w:rsid w:val="00E45BFB"/>
    <w:rsid w:val="00E4638C"/>
    <w:rsid w:val="00E46F93"/>
    <w:rsid w:val="00E47084"/>
    <w:rsid w:val="00E47A3B"/>
    <w:rsid w:val="00E560A6"/>
    <w:rsid w:val="00E6068D"/>
    <w:rsid w:val="00E609C4"/>
    <w:rsid w:val="00E61C32"/>
    <w:rsid w:val="00E629D1"/>
    <w:rsid w:val="00E6557B"/>
    <w:rsid w:val="00E66945"/>
    <w:rsid w:val="00E674D9"/>
    <w:rsid w:val="00E70C45"/>
    <w:rsid w:val="00E7213A"/>
    <w:rsid w:val="00E73382"/>
    <w:rsid w:val="00E75502"/>
    <w:rsid w:val="00E75ABE"/>
    <w:rsid w:val="00E7646B"/>
    <w:rsid w:val="00E77860"/>
    <w:rsid w:val="00E77F8B"/>
    <w:rsid w:val="00E8014F"/>
    <w:rsid w:val="00E81560"/>
    <w:rsid w:val="00E82FD3"/>
    <w:rsid w:val="00E83789"/>
    <w:rsid w:val="00E83838"/>
    <w:rsid w:val="00E849C9"/>
    <w:rsid w:val="00E850BA"/>
    <w:rsid w:val="00E8562C"/>
    <w:rsid w:val="00E859A2"/>
    <w:rsid w:val="00E86556"/>
    <w:rsid w:val="00E907EA"/>
    <w:rsid w:val="00E91310"/>
    <w:rsid w:val="00E92FA6"/>
    <w:rsid w:val="00E9477E"/>
    <w:rsid w:val="00E958D7"/>
    <w:rsid w:val="00E95B7E"/>
    <w:rsid w:val="00E9694D"/>
    <w:rsid w:val="00EA1AF6"/>
    <w:rsid w:val="00EA2EEB"/>
    <w:rsid w:val="00EA342A"/>
    <w:rsid w:val="00EA5D5D"/>
    <w:rsid w:val="00EA692F"/>
    <w:rsid w:val="00EB37A8"/>
    <w:rsid w:val="00EB3B15"/>
    <w:rsid w:val="00EB40B0"/>
    <w:rsid w:val="00EB4443"/>
    <w:rsid w:val="00EB532B"/>
    <w:rsid w:val="00EB5C34"/>
    <w:rsid w:val="00EC097B"/>
    <w:rsid w:val="00EC16F8"/>
    <w:rsid w:val="00EC1C7C"/>
    <w:rsid w:val="00EC336E"/>
    <w:rsid w:val="00EC4AEF"/>
    <w:rsid w:val="00EC7BBB"/>
    <w:rsid w:val="00ED249E"/>
    <w:rsid w:val="00ED2C08"/>
    <w:rsid w:val="00ED428E"/>
    <w:rsid w:val="00ED560D"/>
    <w:rsid w:val="00ED6B98"/>
    <w:rsid w:val="00ED6C94"/>
    <w:rsid w:val="00EE1040"/>
    <w:rsid w:val="00EE58ED"/>
    <w:rsid w:val="00EE5B40"/>
    <w:rsid w:val="00EE67F7"/>
    <w:rsid w:val="00EE7685"/>
    <w:rsid w:val="00EF029E"/>
    <w:rsid w:val="00EF0EA0"/>
    <w:rsid w:val="00EF35D0"/>
    <w:rsid w:val="00EF4385"/>
    <w:rsid w:val="00EF4396"/>
    <w:rsid w:val="00EF4C89"/>
    <w:rsid w:val="00EF4EBE"/>
    <w:rsid w:val="00EF5F9F"/>
    <w:rsid w:val="00EF64BD"/>
    <w:rsid w:val="00EF688D"/>
    <w:rsid w:val="00F00EB5"/>
    <w:rsid w:val="00F04897"/>
    <w:rsid w:val="00F05050"/>
    <w:rsid w:val="00F050F6"/>
    <w:rsid w:val="00F122FF"/>
    <w:rsid w:val="00F12FA6"/>
    <w:rsid w:val="00F141DF"/>
    <w:rsid w:val="00F15307"/>
    <w:rsid w:val="00F16041"/>
    <w:rsid w:val="00F17A7A"/>
    <w:rsid w:val="00F2130D"/>
    <w:rsid w:val="00F22538"/>
    <w:rsid w:val="00F25611"/>
    <w:rsid w:val="00F273E2"/>
    <w:rsid w:val="00F303CA"/>
    <w:rsid w:val="00F30A87"/>
    <w:rsid w:val="00F31DA3"/>
    <w:rsid w:val="00F3371D"/>
    <w:rsid w:val="00F33DBC"/>
    <w:rsid w:val="00F406A9"/>
    <w:rsid w:val="00F40BF4"/>
    <w:rsid w:val="00F41942"/>
    <w:rsid w:val="00F43BA6"/>
    <w:rsid w:val="00F43D8C"/>
    <w:rsid w:val="00F46882"/>
    <w:rsid w:val="00F513A5"/>
    <w:rsid w:val="00F5227C"/>
    <w:rsid w:val="00F52DF8"/>
    <w:rsid w:val="00F54C78"/>
    <w:rsid w:val="00F57850"/>
    <w:rsid w:val="00F6011C"/>
    <w:rsid w:val="00F61778"/>
    <w:rsid w:val="00F643DA"/>
    <w:rsid w:val="00F64763"/>
    <w:rsid w:val="00F656AF"/>
    <w:rsid w:val="00F65C61"/>
    <w:rsid w:val="00F6667B"/>
    <w:rsid w:val="00F67A1C"/>
    <w:rsid w:val="00F7027C"/>
    <w:rsid w:val="00F70333"/>
    <w:rsid w:val="00F73106"/>
    <w:rsid w:val="00F7494E"/>
    <w:rsid w:val="00F74B06"/>
    <w:rsid w:val="00F800CB"/>
    <w:rsid w:val="00F80AFA"/>
    <w:rsid w:val="00F8155F"/>
    <w:rsid w:val="00F82889"/>
    <w:rsid w:val="00F82D92"/>
    <w:rsid w:val="00F860A4"/>
    <w:rsid w:val="00F86357"/>
    <w:rsid w:val="00F87BF8"/>
    <w:rsid w:val="00F91CC1"/>
    <w:rsid w:val="00F93C02"/>
    <w:rsid w:val="00F95C7C"/>
    <w:rsid w:val="00F96126"/>
    <w:rsid w:val="00F96EA1"/>
    <w:rsid w:val="00FA08BA"/>
    <w:rsid w:val="00FA1228"/>
    <w:rsid w:val="00FA13BE"/>
    <w:rsid w:val="00FA35B2"/>
    <w:rsid w:val="00FA4229"/>
    <w:rsid w:val="00FA65D1"/>
    <w:rsid w:val="00FA6CA0"/>
    <w:rsid w:val="00FA701F"/>
    <w:rsid w:val="00FA7CEA"/>
    <w:rsid w:val="00FA7D40"/>
    <w:rsid w:val="00FA7FF2"/>
    <w:rsid w:val="00FB01B3"/>
    <w:rsid w:val="00FB06F3"/>
    <w:rsid w:val="00FB49ED"/>
    <w:rsid w:val="00FB5013"/>
    <w:rsid w:val="00FB6A28"/>
    <w:rsid w:val="00FC1241"/>
    <w:rsid w:val="00FC1311"/>
    <w:rsid w:val="00FC1F82"/>
    <w:rsid w:val="00FC260C"/>
    <w:rsid w:val="00FC662C"/>
    <w:rsid w:val="00FC7B75"/>
    <w:rsid w:val="00FC7FB2"/>
    <w:rsid w:val="00FD2F99"/>
    <w:rsid w:val="00FD3B61"/>
    <w:rsid w:val="00FD5E0B"/>
    <w:rsid w:val="00FD671E"/>
    <w:rsid w:val="00FD6BB7"/>
    <w:rsid w:val="00FE317E"/>
    <w:rsid w:val="00FE4B51"/>
    <w:rsid w:val="00FE752E"/>
    <w:rsid w:val="00FE7DFE"/>
    <w:rsid w:val="00FF06F1"/>
    <w:rsid w:val="00FF2C7A"/>
    <w:rsid w:val="00FF4869"/>
    <w:rsid w:val="00FF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8EE6"/>
  <w15:docId w15:val="{3A5DA09F-BFB4-4848-9451-EF5E8F85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65F"/>
  </w:style>
  <w:style w:type="paragraph" w:styleId="Heading1">
    <w:name w:val="heading 1"/>
    <w:basedOn w:val="Normal"/>
    <w:next w:val="Normal"/>
    <w:link w:val="Heading1Char"/>
    <w:uiPriority w:val="9"/>
    <w:qFormat/>
    <w:rsid w:val="00E849C9"/>
    <w:pPr>
      <w:keepNext/>
      <w:keepLines/>
      <w:spacing w:before="240"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DD6A21"/>
    <w:pPr>
      <w:keepNext/>
      <w:keepLines/>
      <w:spacing w:before="200" w:after="0"/>
      <w:outlineLvl w:val="1"/>
    </w:pPr>
    <w:rPr>
      <w:rFonts w:eastAsiaTheme="majorEastAsia" w:cstheme="majorBidi"/>
      <w:bCs/>
      <w:i/>
      <w:sz w:val="28"/>
      <w:szCs w:val="26"/>
    </w:rPr>
  </w:style>
  <w:style w:type="paragraph" w:styleId="Heading3">
    <w:name w:val="heading 3"/>
    <w:basedOn w:val="Normal"/>
    <w:next w:val="Normal"/>
    <w:link w:val="Heading3Char"/>
    <w:uiPriority w:val="9"/>
    <w:unhideWhenUsed/>
    <w:qFormat/>
    <w:rsid w:val="007C16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639C"/>
    <w:pPr>
      <w:keepNext/>
      <w:keepLines/>
      <w:spacing w:before="200" w:after="0"/>
      <w:outlineLvl w:val="3"/>
    </w:pPr>
    <w:rPr>
      <w:rFonts w:eastAsiaTheme="majorEastAsia" w:cstheme="majorBidi"/>
      <w:bCs/>
      <w:i/>
      <w:iCs/>
      <w:color w:val="4F81BD" w:themeColor="accent1"/>
      <w:sz w:val="24"/>
    </w:rPr>
  </w:style>
  <w:style w:type="paragraph" w:styleId="Heading5">
    <w:name w:val="heading 5"/>
    <w:basedOn w:val="Normal"/>
    <w:next w:val="Normal"/>
    <w:link w:val="Heading5Char"/>
    <w:uiPriority w:val="9"/>
    <w:unhideWhenUsed/>
    <w:qFormat/>
    <w:rsid w:val="007C165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C165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165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165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C165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rsid w:val="00E91310"/>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E91310"/>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E913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E913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E913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E913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E913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E913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riangles">
    <w:name w:val="1Triangles"/>
    <w:rsid w:val="00E91310"/>
    <w:pPr>
      <w:widowControl w:val="0"/>
      <w:tabs>
        <w:tab w:val="left" w:pos="720"/>
      </w:tabs>
      <w:autoSpaceDE w:val="0"/>
      <w:autoSpaceDN w:val="0"/>
      <w:adjustRightInd w:val="0"/>
      <w:ind w:left="720" w:hanging="720"/>
      <w:jc w:val="both"/>
    </w:pPr>
    <w:rPr>
      <w:sz w:val="24"/>
      <w:szCs w:val="24"/>
    </w:rPr>
  </w:style>
  <w:style w:type="paragraph" w:customStyle="1" w:styleId="2Triangles">
    <w:name w:val="2Triangles"/>
    <w:rsid w:val="00E91310"/>
    <w:pPr>
      <w:widowControl w:val="0"/>
      <w:tabs>
        <w:tab w:val="left" w:pos="720"/>
        <w:tab w:val="left" w:pos="1440"/>
      </w:tabs>
      <w:autoSpaceDE w:val="0"/>
      <w:autoSpaceDN w:val="0"/>
      <w:adjustRightInd w:val="0"/>
      <w:ind w:left="1440" w:hanging="720"/>
      <w:jc w:val="both"/>
    </w:pPr>
    <w:rPr>
      <w:sz w:val="24"/>
      <w:szCs w:val="24"/>
    </w:rPr>
  </w:style>
  <w:style w:type="paragraph" w:customStyle="1" w:styleId="3Triangles">
    <w:name w:val="3Triangles"/>
    <w:rsid w:val="00E913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Triangles">
    <w:name w:val="4Triangles"/>
    <w:rsid w:val="00E913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Triangles">
    <w:name w:val="5Triangles"/>
    <w:rsid w:val="00E913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Triangles">
    <w:name w:val="6Triangles"/>
    <w:rsid w:val="00E913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iangles">
    <w:name w:val="7Triangles"/>
    <w:rsid w:val="00E913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iangles">
    <w:name w:val="8Triangles"/>
    <w:rsid w:val="00E913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
    <w:name w:val="_"/>
    <w:rsid w:val="00E91310"/>
    <w:pPr>
      <w:widowControl w:val="0"/>
      <w:autoSpaceDE w:val="0"/>
      <w:autoSpaceDN w:val="0"/>
      <w:adjustRightInd w:val="0"/>
      <w:ind w:left="-1080"/>
    </w:pPr>
    <w:rPr>
      <w:sz w:val="24"/>
      <w:szCs w:val="24"/>
    </w:rPr>
  </w:style>
  <w:style w:type="character" w:customStyle="1" w:styleId="DefaultPara">
    <w:name w:val="Default Para"/>
    <w:rsid w:val="00E91310"/>
  </w:style>
  <w:style w:type="character" w:customStyle="1" w:styleId="SYSHYPERTEXT">
    <w:name w:val="SYS_HYPERTEXT"/>
    <w:rsid w:val="00E91310"/>
    <w:rPr>
      <w:color w:val="0000FF"/>
    </w:rPr>
  </w:style>
  <w:style w:type="paragraph" w:styleId="Header">
    <w:name w:val="header"/>
    <w:basedOn w:val="Normal"/>
    <w:rsid w:val="00E91310"/>
    <w:pPr>
      <w:tabs>
        <w:tab w:val="center" w:pos="4320"/>
        <w:tab w:val="right" w:pos="8640"/>
      </w:tabs>
    </w:pPr>
  </w:style>
  <w:style w:type="character" w:styleId="PageNumber">
    <w:name w:val="page number"/>
    <w:basedOn w:val="DefaultParagraphFont"/>
    <w:rsid w:val="00E91310"/>
  </w:style>
  <w:style w:type="paragraph" w:styleId="BodyText">
    <w:name w:val="Body Text"/>
    <w:basedOn w:val="Normal"/>
    <w:link w:val="BodyTextChar"/>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FF00FF"/>
    </w:rPr>
  </w:style>
  <w:style w:type="paragraph" w:styleId="Caption">
    <w:name w:val="caption"/>
    <w:basedOn w:val="Normal"/>
    <w:next w:val="Normal"/>
    <w:uiPriority w:val="35"/>
    <w:unhideWhenUsed/>
    <w:qFormat/>
    <w:rsid w:val="007C165F"/>
    <w:pPr>
      <w:spacing w:line="240" w:lineRule="auto"/>
    </w:pPr>
    <w:rPr>
      <w:b/>
      <w:bCs/>
      <w:color w:val="4F81BD" w:themeColor="accent1"/>
      <w:sz w:val="18"/>
      <w:szCs w:val="18"/>
    </w:rPr>
  </w:style>
  <w:style w:type="paragraph" w:styleId="BodyText2">
    <w:name w:val="Body Text 2"/>
    <w:basedOn w:val="Normal"/>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odyText3">
    <w:name w:val="Body Text 3"/>
    <w:basedOn w:val="Normal"/>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styleId="Hyperlink">
    <w:name w:val="Hyperlink"/>
    <w:rsid w:val="00E91310"/>
    <w:rPr>
      <w:color w:val="0000FF"/>
      <w:u w:val="single"/>
    </w:rPr>
  </w:style>
  <w:style w:type="character" w:styleId="FollowedHyperlink">
    <w:name w:val="FollowedHyperlink"/>
    <w:rsid w:val="00E91310"/>
    <w:rPr>
      <w:color w:val="800080"/>
      <w:u w:val="single"/>
    </w:rPr>
  </w:style>
  <w:style w:type="paragraph" w:styleId="Footer">
    <w:name w:val="footer"/>
    <w:basedOn w:val="Normal"/>
    <w:link w:val="FooterChar"/>
    <w:uiPriority w:val="99"/>
    <w:rsid w:val="00E91310"/>
    <w:pPr>
      <w:tabs>
        <w:tab w:val="center" w:pos="4320"/>
        <w:tab w:val="right" w:pos="8640"/>
      </w:tabs>
    </w:pPr>
  </w:style>
  <w:style w:type="paragraph" w:customStyle="1" w:styleId="Default">
    <w:name w:val="Default"/>
    <w:rsid w:val="0080088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5605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F4C89"/>
    <w:rPr>
      <w:rFonts w:ascii="Tahoma" w:hAnsi="Tahoma" w:cs="Tahoma"/>
      <w:sz w:val="16"/>
      <w:szCs w:val="16"/>
    </w:rPr>
  </w:style>
  <w:style w:type="paragraph" w:styleId="ListParagraph">
    <w:name w:val="List Paragraph"/>
    <w:basedOn w:val="Normal"/>
    <w:uiPriority w:val="34"/>
    <w:qFormat/>
    <w:rsid w:val="007C165F"/>
    <w:pPr>
      <w:ind w:left="720"/>
      <w:contextualSpacing/>
    </w:pPr>
  </w:style>
  <w:style w:type="paragraph" w:styleId="ListBullet">
    <w:name w:val="List Bullet"/>
    <w:basedOn w:val="Normal"/>
    <w:rsid w:val="00C4222C"/>
    <w:pPr>
      <w:numPr>
        <w:numId w:val="1"/>
      </w:numPr>
      <w:spacing w:after="120"/>
    </w:pPr>
  </w:style>
  <w:style w:type="character" w:customStyle="1" w:styleId="BodyTextChar">
    <w:name w:val="Body Text Char"/>
    <w:basedOn w:val="DefaultParagraphFont"/>
    <w:link w:val="BodyText"/>
    <w:rsid w:val="00CE313B"/>
    <w:rPr>
      <w:color w:val="FF00FF"/>
      <w:sz w:val="22"/>
      <w:szCs w:val="22"/>
    </w:rPr>
  </w:style>
  <w:style w:type="paragraph" w:customStyle="1" w:styleId="StyleListBulletAfter12pt">
    <w:name w:val="Style List Bullet + After:  12 pt"/>
    <w:basedOn w:val="ListBullet"/>
    <w:rsid w:val="00C4222C"/>
  </w:style>
  <w:style w:type="character" w:styleId="Strong">
    <w:name w:val="Strong"/>
    <w:basedOn w:val="DefaultParagraphFont"/>
    <w:uiPriority w:val="22"/>
    <w:qFormat/>
    <w:rsid w:val="007C165F"/>
    <w:rPr>
      <w:b/>
      <w:bCs/>
    </w:rPr>
  </w:style>
  <w:style w:type="character" w:styleId="Emphasis">
    <w:name w:val="Emphasis"/>
    <w:basedOn w:val="DefaultParagraphFont"/>
    <w:qFormat/>
    <w:rsid w:val="007C165F"/>
    <w:rPr>
      <w:i/>
      <w:iCs/>
    </w:rPr>
  </w:style>
  <w:style w:type="paragraph" w:styleId="Revision">
    <w:name w:val="Revision"/>
    <w:hidden/>
    <w:uiPriority w:val="99"/>
    <w:semiHidden/>
    <w:rsid w:val="00895418"/>
  </w:style>
  <w:style w:type="paragraph" w:styleId="NoSpacing">
    <w:name w:val="No Spacing"/>
    <w:uiPriority w:val="1"/>
    <w:qFormat/>
    <w:rsid w:val="007C165F"/>
    <w:pPr>
      <w:spacing w:after="0" w:line="240" w:lineRule="auto"/>
    </w:pPr>
  </w:style>
  <w:style w:type="character" w:customStyle="1" w:styleId="Heading1Char">
    <w:name w:val="Heading 1 Char"/>
    <w:basedOn w:val="DefaultParagraphFont"/>
    <w:link w:val="Heading1"/>
    <w:uiPriority w:val="9"/>
    <w:rsid w:val="00E849C9"/>
    <w:rPr>
      <w:rFonts w:eastAsiaTheme="majorEastAsia" w:cstheme="majorBidi"/>
      <w:b/>
      <w:bCs/>
      <w:sz w:val="36"/>
      <w:szCs w:val="28"/>
    </w:rPr>
  </w:style>
  <w:style w:type="character" w:customStyle="1" w:styleId="Heading2Char">
    <w:name w:val="Heading 2 Char"/>
    <w:basedOn w:val="DefaultParagraphFont"/>
    <w:link w:val="Heading2"/>
    <w:uiPriority w:val="9"/>
    <w:rsid w:val="00DD6A21"/>
    <w:rPr>
      <w:rFonts w:eastAsiaTheme="majorEastAsia" w:cstheme="majorBidi"/>
      <w:bCs/>
      <w:i/>
      <w:sz w:val="28"/>
      <w:szCs w:val="26"/>
    </w:rPr>
  </w:style>
  <w:style w:type="character" w:customStyle="1" w:styleId="Heading3Char">
    <w:name w:val="Heading 3 Char"/>
    <w:basedOn w:val="DefaultParagraphFont"/>
    <w:link w:val="Heading3"/>
    <w:uiPriority w:val="9"/>
    <w:rsid w:val="007C16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C639C"/>
    <w:rPr>
      <w:rFonts w:eastAsiaTheme="majorEastAsia" w:cstheme="majorBidi"/>
      <w:bCs/>
      <w:i/>
      <w:iCs/>
      <w:color w:val="4F81BD" w:themeColor="accent1"/>
      <w:sz w:val="24"/>
    </w:rPr>
  </w:style>
  <w:style w:type="character" w:customStyle="1" w:styleId="Heading5Char">
    <w:name w:val="Heading 5 Char"/>
    <w:basedOn w:val="DefaultParagraphFont"/>
    <w:link w:val="Heading5"/>
    <w:uiPriority w:val="9"/>
    <w:rsid w:val="007C16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C16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C16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C165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C165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C16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165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C16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C165F"/>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7C165F"/>
    <w:rPr>
      <w:i/>
      <w:iCs/>
      <w:color w:val="000000" w:themeColor="text1"/>
    </w:rPr>
  </w:style>
  <w:style w:type="character" w:customStyle="1" w:styleId="QuoteChar">
    <w:name w:val="Quote Char"/>
    <w:basedOn w:val="DefaultParagraphFont"/>
    <w:link w:val="Quote"/>
    <w:uiPriority w:val="29"/>
    <w:rsid w:val="007C165F"/>
    <w:rPr>
      <w:i/>
      <w:iCs/>
      <w:color w:val="000000" w:themeColor="text1"/>
    </w:rPr>
  </w:style>
  <w:style w:type="paragraph" w:styleId="IntenseQuote">
    <w:name w:val="Intense Quote"/>
    <w:basedOn w:val="Normal"/>
    <w:next w:val="Normal"/>
    <w:link w:val="IntenseQuoteChar"/>
    <w:uiPriority w:val="30"/>
    <w:qFormat/>
    <w:rsid w:val="007C16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C165F"/>
    <w:rPr>
      <w:b/>
      <w:bCs/>
      <w:i/>
      <w:iCs/>
      <w:color w:val="4F81BD" w:themeColor="accent1"/>
    </w:rPr>
  </w:style>
  <w:style w:type="character" w:styleId="SubtleEmphasis">
    <w:name w:val="Subtle Emphasis"/>
    <w:basedOn w:val="DefaultParagraphFont"/>
    <w:uiPriority w:val="19"/>
    <w:qFormat/>
    <w:rsid w:val="007C165F"/>
    <w:rPr>
      <w:i/>
      <w:iCs/>
      <w:color w:val="808080" w:themeColor="text1" w:themeTint="7F"/>
    </w:rPr>
  </w:style>
  <w:style w:type="character" w:styleId="IntenseEmphasis">
    <w:name w:val="Intense Emphasis"/>
    <w:basedOn w:val="DefaultParagraphFont"/>
    <w:uiPriority w:val="21"/>
    <w:qFormat/>
    <w:rsid w:val="007C165F"/>
    <w:rPr>
      <w:b/>
      <w:bCs/>
      <w:i/>
      <w:iCs/>
      <w:color w:val="4F81BD" w:themeColor="accent1"/>
    </w:rPr>
  </w:style>
  <w:style w:type="character" w:styleId="SubtleReference">
    <w:name w:val="Subtle Reference"/>
    <w:basedOn w:val="DefaultParagraphFont"/>
    <w:uiPriority w:val="31"/>
    <w:qFormat/>
    <w:rsid w:val="007C165F"/>
    <w:rPr>
      <w:smallCaps/>
      <w:color w:val="C0504D" w:themeColor="accent2"/>
      <w:u w:val="single"/>
    </w:rPr>
  </w:style>
  <w:style w:type="character" w:styleId="IntenseReference">
    <w:name w:val="Intense Reference"/>
    <w:basedOn w:val="DefaultParagraphFont"/>
    <w:uiPriority w:val="32"/>
    <w:qFormat/>
    <w:rsid w:val="007C165F"/>
    <w:rPr>
      <w:b/>
      <w:bCs/>
      <w:smallCaps/>
      <w:color w:val="C0504D" w:themeColor="accent2"/>
      <w:spacing w:val="5"/>
      <w:u w:val="single"/>
    </w:rPr>
  </w:style>
  <w:style w:type="character" w:styleId="BookTitle">
    <w:name w:val="Book Title"/>
    <w:basedOn w:val="DefaultParagraphFont"/>
    <w:uiPriority w:val="33"/>
    <w:qFormat/>
    <w:rsid w:val="007C165F"/>
    <w:rPr>
      <w:b/>
      <w:bCs/>
      <w:smallCaps/>
      <w:spacing w:val="5"/>
    </w:rPr>
  </w:style>
  <w:style w:type="paragraph" w:styleId="TOCHeading">
    <w:name w:val="TOC Heading"/>
    <w:basedOn w:val="Heading1"/>
    <w:next w:val="Normal"/>
    <w:uiPriority w:val="39"/>
    <w:semiHidden/>
    <w:unhideWhenUsed/>
    <w:qFormat/>
    <w:rsid w:val="007C165F"/>
    <w:pPr>
      <w:outlineLvl w:val="9"/>
    </w:pPr>
  </w:style>
  <w:style w:type="character" w:customStyle="1" w:styleId="FooterChar">
    <w:name w:val="Footer Char"/>
    <w:basedOn w:val="DefaultParagraphFont"/>
    <w:link w:val="Footer"/>
    <w:uiPriority w:val="99"/>
    <w:rsid w:val="001B6B06"/>
  </w:style>
  <w:style w:type="character" w:styleId="UnresolvedMention">
    <w:name w:val="Unresolved Mention"/>
    <w:basedOn w:val="DefaultParagraphFont"/>
    <w:uiPriority w:val="99"/>
    <w:semiHidden/>
    <w:unhideWhenUsed/>
    <w:rsid w:val="00F96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572">
      <w:bodyDiv w:val="1"/>
      <w:marLeft w:val="60"/>
      <w:marRight w:val="60"/>
      <w:marTop w:val="60"/>
      <w:marBottom w:val="15"/>
      <w:divBdr>
        <w:top w:val="none" w:sz="0" w:space="0" w:color="auto"/>
        <w:left w:val="none" w:sz="0" w:space="0" w:color="auto"/>
        <w:bottom w:val="none" w:sz="0" w:space="0" w:color="auto"/>
        <w:right w:val="none" w:sz="0" w:space="0" w:color="auto"/>
      </w:divBdr>
      <w:divsChild>
        <w:div w:id="130952323">
          <w:marLeft w:val="0"/>
          <w:marRight w:val="0"/>
          <w:marTop w:val="0"/>
          <w:marBottom w:val="0"/>
          <w:divBdr>
            <w:top w:val="none" w:sz="0" w:space="0" w:color="auto"/>
            <w:left w:val="none" w:sz="0" w:space="0" w:color="auto"/>
            <w:bottom w:val="none" w:sz="0" w:space="0" w:color="auto"/>
            <w:right w:val="none" w:sz="0" w:space="0" w:color="auto"/>
          </w:divBdr>
        </w:div>
        <w:div w:id="135029660">
          <w:marLeft w:val="0"/>
          <w:marRight w:val="0"/>
          <w:marTop w:val="0"/>
          <w:marBottom w:val="0"/>
          <w:divBdr>
            <w:top w:val="none" w:sz="0" w:space="0" w:color="auto"/>
            <w:left w:val="none" w:sz="0" w:space="0" w:color="auto"/>
            <w:bottom w:val="none" w:sz="0" w:space="0" w:color="auto"/>
            <w:right w:val="none" w:sz="0" w:space="0" w:color="auto"/>
          </w:divBdr>
        </w:div>
        <w:div w:id="140199586">
          <w:marLeft w:val="0"/>
          <w:marRight w:val="0"/>
          <w:marTop w:val="0"/>
          <w:marBottom w:val="0"/>
          <w:divBdr>
            <w:top w:val="none" w:sz="0" w:space="0" w:color="auto"/>
            <w:left w:val="none" w:sz="0" w:space="0" w:color="auto"/>
            <w:bottom w:val="none" w:sz="0" w:space="0" w:color="auto"/>
            <w:right w:val="none" w:sz="0" w:space="0" w:color="auto"/>
          </w:divBdr>
        </w:div>
        <w:div w:id="165025019">
          <w:marLeft w:val="0"/>
          <w:marRight w:val="0"/>
          <w:marTop w:val="0"/>
          <w:marBottom w:val="0"/>
          <w:divBdr>
            <w:top w:val="none" w:sz="0" w:space="0" w:color="auto"/>
            <w:left w:val="none" w:sz="0" w:space="0" w:color="auto"/>
            <w:bottom w:val="none" w:sz="0" w:space="0" w:color="auto"/>
            <w:right w:val="none" w:sz="0" w:space="0" w:color="auto"/>
          </w:divBdr>
        </w:div>
        <w:div w:id="233275361">
          <w:marLeft w:val="0"/>
          <w:marRight w:val="0"/>
          <w:marTop w:val="0"/>
          <w:marBottom w:val="0"/>
          <w:divBdr>
            <w:top w:val="none" w:sz="0" w:space="0" w:color="auto"/>
            <w:left w:val="none" w:sz="0" w:space="0" w:color="auto"/>
            <w:bottom w:val="none" w:sz="0" w:space="0" w:color="auto"/>
            <w:right w:val="none" w:sz="0" w:space="0" w:color="auto"/>
          </w:divBdr>
        </w:div>
        <w:div w:id="236519906">
          <w:marLeft w:val="0"/>
          <w:marRight w:val="0"/>
          <w:marTop w:val="0"/>
          <w:marBottom w:val="0"/>
          <w:divBdr>
            <w:top w:val="none" w:sz="0" w:space="0" w:color="auto"/>
            <w:left w:val="none" w:sz="0" w:space="0" w:color="auto"/>
            <w:bottom w:val="none" w:sz="0" w:space="0" w:color="auto"/>
            <w:right w:val="none" w:sz="0" w:space="0" w:color="auto"/>
          </w:divBdr>
        </w:div>
        <w:div w:id="274560804">
          <w:marLeft w:val="0"/>
          <w:marRight w:val="0"/>
          <w:marTop w:val="0"/>
          <w:marBottom w:val="0"/>
          <w:divBdr>
            <w:top w:val="none" w:sz="0" w:space="0" w:color="auto"/>
            <w:left w:val="none" w:sz="0" w:space="0" w:color="auto"/>
            <w:bottom w:val="none" w:sz="0" w:space="0" w:color="auto"/>
            <w:right w:val="none" w:sz="0" w:space="0" w:color="auto"/>
          </w:divBdr>
        </w:div>
        <w:div w:id="331493830">
          <w:marLeft w:val="0"/>
          <w:marRight w:val="0"/>
          <w:marTop w:val="0"/>
          <w:marBottom w:val="0"/>
          <w:divBdr>
            <w:top w:val="none" w:sz="0" w:space="0" w:color="auto"/>
            <w:left w:val="none" w:sz="0" w:space="0" w:color="auto"/>
            <w:bottom w:val="none" w:sz="0" w:space="0" w:color="auto"/>
            <w:right w:val="none" w:sz="0" w:space="0" w:color="auto"/>
          </w:divBdr>
        </w:div>
        <w:div w:id="444538856">
          <w:marLeft w:val="0"/>
          <w:marRight w:val="0"/>
          <w:marTop w:val="0"/>
          <w:marBottom w:val="0"/>
          <w:divBdr>
            <w:top w:val="none" w:sz="0" w:space="0" w:color="auto"/>
            <w:left w:val="none" w:sz="0" w:space="0" w:color="auto"/>
            <w:bottom w:val="none" w:sz="0" w:space="0" w:color="auto"/>
            <w:right w:val="none" w:sz="0" w:space="0" w:color="auto"/>
          </w:divBdr>
        </w:div>
        <w:div w:id="513375455">
          <w:marLeft w:val="0"/>
          <w:marRight w:val="0"/>
          <w:marTop w:val="0"/>
          <w:marBottom w:val="0"/>
          <w:divBdr>
            <w:top w:val="none" w:sz="0" w:space="0" w:color="auto"/>
            <w:left w:val="none" w:sz="0" w:space="0" w:color="auto"/>
            <w:bottom w:val="none" w:sz="0" w:space="0" w:color="auto"/>
            <w:right w:val="none" w:sz="0" w:space="0" w:color="auto"/>
          </w:divBdr>
        </w:div>
        <w:div w:id="514464967">
          <w:marLeft w:val="0"/>
          <w:marRight w:val="0"/>
          <w:marTop w:val="0"/>
          <w:marBottom w:val="0"/>
          <w:divBdr>
            <w:top w:val="none" w:sz="0" w:space="0" w:color="auto"/>
            <w:left w:val="none" w:sz="0" w:space="0" w:color="auto"/>
            <w:bottom w:val="none" w:sz="0" w:space="0" w:color="auto"/>
            <w:right w:val="none" w:sz="0" w:space="0" w:color="auto"/>
          </w:divBdr>
        </w:div>
        <w:div w:id="522091692">
          <w:marLeft w:val="0"/>
          <w:marRight w:val="0"/>
          <w:marTop w:val="0"/>
          <w:marBottom w:val="0"/>
          <w:divBdr>
            <w:top w:val="none" w:sz="0" w:space="0" w:color="auto"/>
            <w:left w:val="none" w:sz="0" w:space="0" w:color="auto"/>
            <w:bottom w:val="none" w:sz="0" w:space="0" w:color="auto"/>
            <w:right w:val="none" w:sz="0" w:space="0" w:color="auto"/>
          </w:divBdr>
        </w:div>
        <w:div w:id="549847490">
          <w:marLeft w:val="0"/>
          <w:marRight w:val="0"/>
          <w:marTop w:val="0"/>
          <w:marBottom w:val="0"/>
          <w:divBdr>
            <w:top w:val="none" w:sz="0" w:space="0" w:color="auto"/>
            <w:left w:val="none" w:sz="0" w:space="0" w:color="auto"/>
            <w:bottom w:val="none" w:sz="0" w:space="0" w:color="auto"/>
            <w:right w:val="none" w:sz="0" w:space="0" w:color="auto"/>
          </w:divBdr>
        </w:div>
        <w:div w:id="571158826">
          <w:marLeft w:val="0"/>
          <w:marRight w:val="0"/>
          <w:marTop w:val="0"/>
          <w:marBottom w:val="0"/>
          <w:divBdr>
            <w:top w:val="none" w:sz="0" w:space="0" w:color="auto"/>
            <w:left w:val="none" w:sz="0" w:space="0" w:color="auto"/>
            <w:bottom w:val="none" w:sz="0" w:space="0" w:color="auto"/>
            <w:right w:val="none" w:sz="0" w:space="0" w:color="auto"/>
          </w:divBdr>
        </w:div>
        <w:div w:id="734858534">
          <w:marLeft w:val="0"/>
          <w:marRight w:val="0"/>
          <w:marTop w:val="0"/>
          <w:marBottom w:val="0"/>
          <w:divBdr>
            <w:top w:val="none" w:sz="0" w:space="0" w:color="auto"/>
            <w:left w:val="none" w:sz="0" w:space="0" w:color="auto"/>
            <w:bottom w:val="none" w:sz="0" w:space="0" w:color="auto"/>
            <w:right w:val="none" w:sz="0" w:space="0" w:color="auto"/>
          </w:divBdr>
        </w:div>
        <w:div w:id="852917297">
          <w:marLeft w:val="0"/>
          <w:marRight w:val="0"/>
          <w:marTop w:val="0"/>
          <w:marBottom w:val="0"/>
          <w:divBdr>
            <w:top w:val="none" w:sz="0" w:space="0" w:color="auto"/>
            <w:left w:val="none" w:sz="0" w:space="0" w:color="auto"/>
            <w:bottom w:val="none" w:sz="0" w:space="0" w:color="auto"/>
            <w:right w:val="none" w:sz="0" w:space="0" w:color="auto"/>
          </w:divBdr>
        </w:div>
        <w:div w:id="885220769">
          <w:marLeft w:val="0"/>
          <w:marRight w:val="0"/>
          <w:marTop w:val="0"/>
          <w:marBottom w:val="0"/>
          <w:divBdr>
            <w:top w:val="none" w:sz="0" w:space="0" w:color="auto"/>
            <w:left w:val="none" w:sz="0" w:space="0" w:color="auto"/>
            <w:bottom w:val="none" w:sz="0" w:space="0" w:color="auto"/>
            <w:right w:val="none" w:sz="0" w:space="0" w:color="auto"/>
          </w:divBdr>
        </w:div>
        <w:div w:id="921719138">
          <w:marLeft w:val="0"/>
          <w:marRight w:val="0"/>
          <w:marTop w:val="0"/>
          <w:marBottom w:val="0"/>
          <w:divBdr>
            <w:top w:val="none" w:sz="0" w:space="0" w:color="auto"/>
            <w:left w:val="none" w:sz="0" w:space="0" w:color="auto"/>
            <w:bottom w:val="none" w:sz="0" w:space="0" w:color="auto"/>
            <w:right w:val="none" w:sz="0" w:space="0" w:color="auto"/>
          </w:divBdr>
        </w:div>
        <w:div w:id="1124808185">
          <w:marLeft w:val="0"/>
          <w:marRight w:val="0"/>
          <w:marTop w:val="0"/>
          <w:marBottom w:val="0"/>
          <w:divBdr>
            <w:top w:val="none" w:sz="0" w:space="0" w:color="auto"/>
            <w:left w:val="none" w:sz="0" w:space="0" w:color="auto"/>
            <w:bottom w:val="none" w:sz="0" w:space="0" w:color="auto"/>
            <w:right w:val="none" w:sz="0" w:space="0" w:color="auto"/>
          </w:divBdr>
        </w:div>
        <w:div w:id="1298149345">
          <w:marLeft w:val="0"/>
          <w:marRight w:val="0"/>
          <w:marTop w:val="0"/>
          <w:marBottom w:val="0"/>
          <w:divBdr>
            <w:top w:val="none" w:sz="0" w:space="0" w:color="auto"/>
            <w:left w:val="none" w:sz="0" w:space="0" w:color="auto"/>
            <w:bottom w:val="none" w:sz="0" w:space="0" w:color="auto"/>
            <w:right w:val="none" w:sz="0" w:space="0" w:color="auto"/>
          </w:divBdr>
        </w:div>
        <w:div w:id="1319269194">
          <w:marLeft w:val="0"/>
          <w:marRight w:val="0"/>
          <w:marTop w:val="0"/>
          <w:marBottom w:val="0"/>
          <w:divBdr>
            <w:top w:val="none" w:sz="0" w:space="0" w:color="auto"/>
            <w:left w:val="none" w:sz="0" w:space="0" w:color="auto"/>
            <w:bottom w:val="none" w:sz="0" w:space="0" w:color="auto"/>
            <w:right w:val="none" w:sz="0" w:space="0" w:color="auto"/>
          </w:divBdr>
        </w:div>
        <w:div w:id="1368215720">
          <w:marLeft w:val="0"/>
          <w:marRight w:val="0"/>
          <w:marTop w:val="0"/>
          <w:marBottom w:val="0"/>
          <w:divBdr>
            <w:top w:val="none" w:sz="0" w:space="0" w:color="auto"/>
            <w:left w:val="none" w:sz="0" w:space="0" w:color="auto"/>
            <w:bottom w:val="none" w:sz="0" w:space="0" w:color="auto"/>
            <w:right w:val="none" w:sz="0" w:space="0" w:color="auto"/>
          </w:divBdr>
        </w:div>
        <w:div w:id="1411851049">
          <w:marLeft w:val="0"/>
          <w:marRight w:val="0"/>
          <w:marTop w:val="0"/>
          <w:marBottom w:val="0"/>
          <w:divBdr>
            <w:top w:val="none" w:sz="0" w:space="0" w:color="auto"/>
            <w:left w:val="none" w:sz="0" w:space="0" w:color="auto"/>
            <w:bottom w:val="none" w:sz="0" w:space="0" w:color="auto"/>
            <w:right w:val="none" w:sz="0" w:space="0" w:color="auto"/>
          </w:divBdr>
        </w:div>
        <w:div w:id="1519932120">
          <w:marLeft w:val="0"/>
          <w:marRight w:val="0"/>
          <w:marTop w:val="0"/>
          <w:marBottom w:val="0"/>
          <w:divBdr>
            <w:top w:val="none" w:sz="0" w:space="0" w:color="auto"/>
            <w:left w:val="none" w:sz="0" w:space="0" w:color="auto"/>
            <w:bottom w:val="none" w:sz="0" w:space="0" w:color="auto"/>
            <w:right w:val="none" w:sz="0" w:space="0" w:color="auto"/>
          </w:divBdr>
        </w:div>
        <w:div w:id="1557472255">
          <w:marLeft w:val="0"/>
          <w:marRight w:val="0"/>
          <w:marTop w:val="0"/>
          <w:marBottom w:val="0"/>
          <w:divBdr>
            <w:top w:val="none" w:sz="0" w:space="0" w:color="auto"/>
            <w:left w:val="none" w:sz="0" w:space="0" w:color="auto"/>
            <w:bottom w:val="none" w:sz="0" w:space="0" w:color="auto"/>
            <w:right w:val="none" w:sz="0" w:space="0" w:color="auto"/>
          </w:divBdr>
        </w:div>
        <w:div w:id="1582105048">
          <w:marLeft w:val="0"/>
          <w:marRight w:val="0"/>
          <w:marTop w:val="0"/>
          <w:marBottom w:val="0"/>
          <w:divBdr>
            <w:top w:val="none" w:sz="0" w:space="0" w:color="auto"/>
            <w:left w:val="none" w:sz="0" w:space="0" w:color="auto"/>
            <w:bottom w:val="none" w:sz="0" w:space="0" w:color="auto"/>
            <w:right w:val="none" w:sz="0" w:space="0" w:color="auto"/>
          </w:divBdr>
        </w:div>
        <w:div w:id="1710063345">
          <w:marLeft w:val="0"/>
          <w:marRight w:val="0"/>
          <w:marTop w:val="0"/>
          <w:marBottom w:val="0"/>
          <w:divBdr>
            <w:top w:val="none" w:sz="0" w:space="0" w:color="auto"/>
            <w:left w:val="none" w:sz="0" w:space="0" w:color="auto"/>
            <w:bottom w:val="none" w:sz="0" w:space="0" w:color="auto"/>
            <w:right w:val="none" w:sz="0" w:space="0" w:color="auto"/>
          </w:divBdr>
        </w:div>
        <w:div w:id="1752772614">
          <w:marLeft w:val="0"/>
          <w:marRight w:val="0"/>
          <w:marTop w:val="0"/>
          <w:marBottom w:val="0"/>
          <w:divBdr>
            <w:top w:val="none" w:sz="0" w:space="0" w:color="auto"/>
            <w:left w:val="none" w:sz="0" w:space="0" w:color="auto"/>
            <w:bottom w:val="none" w:sz="0" w:space="0" w:color="auto"/>
            <w:right w:val="none" w:sz="0" w:space="0" w:color="auto"/>
          </w:divBdr>
        </w:div>
        <w:div w:id="1813214408">
          <w:marLeft w:val="0"/>
          <w:marRight w:val="0"/>
          <w:marTop w:val="0"/>
          <w:marBottom w:val="0"/>
          <w:divBdr>
            <w:top w:val="none" w:sz="0" w:space="0" w:color="auto"/>
            <w:left w:val="none" w:sz="0" w:space="0" w:color="auto"/>
            <w:bottom w:val="none" w:sz="0" w:space="0" w:color="auto"/>
            <w:right w:val="none" w:sz="0" w:space="0" w:color="auto"/>
          </w:divBdr>
        </w:div>
        <w:div w:id="1819223066">
          <w:marLeft w:val="0"/>
          <w:marRight w:val="0"/>
          <w:marTop w:val="0"/>
          <w:marBottom w:val="0"/>
          <w:divBdr>
            <w:top w:val="none" w:sz="0" w:space="0" w:color="auto"/>
            <w:left w:val="none" w:sz="0" w:space="0" w:color="auto"/>
            <w:bottom w:val="none" w:sz="0" w:space="0" w:color="auto"/>
            <w:right w:val="none" w:sz="0" w:space="0" w:color="auto"/>
          </w:divBdr>
        </w:div>
        <w:div w:id="1850943744">
          <w:marLeft w:val="0"/>
          <w:marRight w:val="0"/>
          <w:marTop w:val="0"/>
          <w:marBottom w:val="0"/>
          <w:divBdr>
            <w:top w:val="none" w:sz="0" w:space="0" w:color="auto"/>
            <w:left w:val="none" w:sz="0" w:space="0" w:color="auto"/>
            <w:bottom w:val="none" w:sz="0" w:space="0" w:color="auto"/>
            <w:right w:val="none" w:sz="0" w:space="0" w:color="auto"/>
          </w:divBdr>
        </w:div>
        <w:div w:id="1886482137">
          <w:marLeft w:val="0"/>
          <w:marRight w:val="0"/>
          <w:marTop w:val="0"/>
          <w:marBottom w:val="0"/>
          <w:divBdr>
            <w:top w:val="none" w:sz="0" w:space="0" w:color="auto"/>
            <w:left w:val="none" w:sz="0" w:space="0" w:color="auto"/>
            <w:bottom w:val="none" w:sz="0" w:space="0" w:color="auto"/>
            <w:right w:val="none" w:sz="0" w:space="0" w:color="auto"/>
          </w:divBdr>
        </w:div>
        <w:div w:id="1978029152">
          <w:marLeft w:val="0"/>
          <w:marRight w:val="0"/>
          <w:marTop w:val="0"/>
          <w:marBottom w:val="0"/>
          <w:divBdr>
            <w:top w:val="none" w:sz="0" w:space="0" w:color="auto"/>
            <w:left w:val="none" w:sz="0" w:space="0" w:color="auto"/>
            <w:bottom w:val="none" w:sz="0" w:space="0" w:color="auto"/>
            <w:right w:val="none" w:sz="0" w:space="0" w:color="auto"/>
          </w:divBdr>
        </w:div>
        <w:div w:id="2045397593">
          <w:marLeft w:val="0"/>
          <w:marRight w:val="0"/>
          <w:marTop w:val="0"/>
          <w:marBottom w:val="0"/>
          <w:divBdr>
            <w:top w:val="none" w:sz="0" w:space="0" w:color="auto"/>
            <w:left w:val="none" w:sz="0" w:space="0" w:color="auto"/>
            <w:bottom w:val="none" w:sz="0" w:space="0" w:color="auto"/>
            <w:right w:val="none" w:sz="0" w:space="0" w:color="auto"/>
          </w:divBdr>
        </w:div>
      </w:divsChild>
    </w:div>
    <w:div w:id="148258125">
      <w:bodyDiv w:val="1"/>
      <w:marLeft w:val="0"/>
      <w:marRight w:val="0"/>
      <w:marTop w:val="0"/>
      <w:marBottom w:val="0"/>
      <w:divBdr>
        <w:top w:val="none" w:sz="0" w:space="0" w:color="auto"/>
        <w:left w:val="none" w:sz="0" w:space="0" w:color="auto"/>
        <w:bottom w:val="none" w:sz="0" w:space="0" w:color="auto"/>
        <w:right w:val="none" w:sz="0" w:space="0" w:color="auto"/>
      </w:divBdr>
    </w:div>
    <w:div w:id="507446586">
      <w:bodyDiv w:val="1"/>
      <w:marLeft w:val="0"/>
      <w:marRight w:val="0"/>
      <w:marTop w:val="0"/>
      <w:marBottom w:val="0"/>
      <w:divBdr>
        <w:top w:val="none" w:sz="0" w:space="0" w:color="auto"/>
        <w:left w:val="none" w:sz="0" w:space="0" w:color="auto"/>
        <w:bottom w:val="none" w:sz="0" w:space="0" w:color="auto"/>
        <w:right w:val="none" w:sz="0" w:space="0" w:color="auto"/>
      </w:divBdr>
    </w:div>
    <w:div w:id="556091595">
      <w:bodyDiv w:val="1"/>
      <w:marLeft w:val="0"/>
      <w:marRight w:val="0"/>
      <w:marTop w:val="0"/>
      <w:marBottom w:val="0"/>
      <w:divBdr>
        <w:top w:val="none" w:sz="0" w:space="0" w:color="auto"/>
        <w:left w:val="none" w:sz="0" w:space="0" w:color="auto"/>
        <w:bottom w:val="none" w:sz="0" w:space="0" w:color="auto"/>
        <w:right w:val="none" w:sz="0" w:space="0" w:color="auto"/>
      </w:divBdr>
    </w:div>
    <w:div w:id="569192947">
      <w:bodyDiv w:val="1"/>
      <w:marLeft w:val="0"/>
      <w:marRight w:val="0"/>
      <w:marTop w:val="0"/>
      <w:marBottom w:val="0"/>
      <w:divBdr>
        <w:top w:val="none" w:sz="0" w:space="0" w:color="auto"/>
        <w:left w:val="none" w:sz="0" w:space="0" w:color="auto"/>
        <w:bottom w:val="none" w:sz="0" w:space="0" w:color="auto"/>
        <w:right w:val="none" w:sz="0" w:space="0" w:color="auto"/>
      </w:divBdr>
    </w:div>
    <w:div w:id="617833075">
      <w:bodyDiv w:val="1"/>
      <w:marLeft w:val="0"/>
      <w:marRight w:val="0"/>
      <w:marTop w:val="0"/>
      <w:marBottom w:val="0"/>
      <w:divBdr>
        <w:top w:val="none" w:sz="0" w:space="0" w:color="auto"/>
        <w:left w:val="none" w:sz="0" w:space="0" w:color="auto"/>
        <w:bottom w:val="none" w:sz="0" w:space="0" w:color="auto"/>
        <w:right w:val="none" w:sz="0" w:space="0" w:color="auto"/>
      </w:divBdr>
    </w:div>
    <w:div w:id="692461976">
      <w:bodyDiv w:val="1"/>
      <w:marLeft w:val="0"/>
      <w:marRight w:val="0"/>
      <w:marTop w:val="0"/>
      <w:marBottom w:val="0"/>
      <w:divBdr>
        <w:top w:val="none" w:sz="0" w:space="0" w:color="auto"/>
        <w:left w:val="none" w:sz="0" w:space="0" w:color="auto"/>
        <w:bottom w:val="none" w:sz="0" w:space="0" w:color="auto"/>
        <w:right w:val="none" w:sz="0" w:space="0" w:color="auto"/>
      </w:divBdr>
    </w:div>
    <w:div w:id="799149858">
      <w:bodyDiv w:val="1"/>
      <w:marLeft w:val="0"/>
      <w:marRight w:val="0"/>
      <w:marTop w:val="0"/>
      <w:marBottom w:val="0"/>
      <w:divBdr>
        <w:top w:val="none" w:sz="0" w:space="0" w:color="auto"/>
        <w:left w:val="none" w:sz="0" w:space="0" w:color="auto"/>
        <w:bottom w:val="none" w:sz="0" w:space="0" w:color="auto"/>
        <w:right w:val="none" w:sz="0" w:space="0" w:color="auto"/>
      </w:divBdr>
    </w:div>
    <w:div w:id="846596447">
      <w:bodyDiv w:val="1"/>
      <w:marLeft w:val="0"/>
      <w:marRight w:val="0"/>
      <w:marTop w:val="0"/>
      <w:marBottom w:val="0"/>
      <w:divBdr>
        <w:top w:val="none" w:sz="0" w:space="0" w:color="auto"/>
        <w:left w:val="none" w:sz="0" w:space="0" w:color="auto"/>
        <w:bottom w:val="none" w:sz="0" w:space="0" w:color="auto"/>
        <w:right w:val="none" w:sz="0" w:space="0" w:color="auto"/>
      </w:divBdr>
    </w:div>
    <w:div w:id="1491678343">
      <w:bodyDiv w:val="1"/>
      <w:marLeft w:val="60"/>
      <w:marRight w:val="60"/>
      <w:marTop w:val="60"/>
      <w:marBottom w:val="15"/>
      <w:divBdr>
        <w:top w:val="none" w:sz="0" w:space="0" w:color="auto"/>
        <w:left w:val="none" w:sz="0" w:space="0" w:color="auto"/>
        <w:bottom w:val="none" w:sz="0" w:space="0" w:color="auto"/>
        <w:right w:val="none" w:sz="0" w:space="0" w:color="auto"/>
      </w:divBdr>
      <w:divsChild>
        <w:div w:id="6180454">
          <w:marLeft w:val="0"/>
          <w:marRight w:val="0"/>
          <w:marTop w:val="0"/>
          <w:marBottom w:val="0"/>
          <w:divBdr>
            <w:top w:val="none" w:sz="0" w:space="0" w:color="auto"/>
            <w:left w:val="none" w:sz="0" w:space="0" w:color="auto"/>
            <w:bottom w:val="none" w:sz="0" w:space="0" w:color="auto"/>
            <w:right w:val="none" w:sz="0" w:space="0" w:color="auto"/>
          </w:divBdr>
        </w:div>
        <w:div w:id="48652241">
          <w:marLeft w:val="0"/>
          <w:marRight w:val="0"/>
          <w:marTop w:val="0"/>
          <w:marBottom w:val="0"/>
          <w:divBdr>
            <w:top w:val="none" w:sz="0" w:space="0" w:color="auto"/>
            <w:left w:val="none" w:sz="0" w:space="0" w:color="auto"/>
            <w:bottom w:val="none" w:sz="0" w:space="0" w:color="auto"/>
            <w:right w:val="none" w:sz="0" w:space="0" w:color="auto"/>
          </w:divBdr>
        </w:div>
        <w:div w:id="75983683">
          <w:marLeft w:val="0"/>
          <w:marRight w:val="0"/>
          <w:marTop w:val="0"/>
          <w:marBottom w:val="0"/>
          <w:divBdr>
            <w:top w:val="none" w:sz="0" w:space="0" w:color="auto"/>
            <w:left w:val="none" w:sz="0" w:space="0" w:color="auto"/>
            <w:bottom w:val="none" w:sz="0" w:space="0" w:color="auto"/>
            <w:right w:val="none" w:sz="0" w:space="0" w:color="auto"/>
          </w:divBdr>
        </w:div>
        <w:div w:id="264308144">
          <w:marLeft w:val="0"/>
          <w:marRight w:val="0"/>
          <w:marTop w:val="0"/>
          <w:marBottom w:val="0"/>
          <w:divBdr>
            <w:top w:val="none" w:sz="0" w:space="0" w:color="auto"/>
            <w:left w:val="none" w:sz="0" w:space="0" w:color="auto"/>
            <w:bottom w:val="none" w:sz="0" w:space="0" w:color="auto"/>
            <w:right w:val="none" w:sz="0" w:space="0" w:color="auto"/>
          </w:divBdr>
        </w:div>
        <w:div w:id="320622269">
          <w:marLeft w:val="0"/>
          <w:marRight w:val="0"/>
          <w:marTop w:val="0"/>
          <w:marBottom w:val="0"/>
          <w:divBdr>
            <w:top w:val="none" w:sz="0" w:space="0" w:color="auto"/>
            <w:left w:val="none" w:sz="0" w:space="0" w:color="auto"/>
            <w:bottom w:val="none" w:sz="0" w:space="0" w:color="auto"/>
            <w:right w:val="none" w:sz="0" w:space="0" w:color="auto"/>
          </w:divBdr>
        </w:div>
        <w:div w:id="379676130">
          <w:marLeft w:val="0"/>
          <w:marRight w:val="0"/>
          <w:marTop w:val="0"/>
          <w:marBottom w:val="0"/>
          <w:divBdr>
            <w:top w:val="none" w:sz="0" w:space="0" w:color="auto"/>
            <w:left w:val="none" w:sz="0" w:space="0" w:color="auto"/>
            <w:bottom w:val="none" w:sz="0" w:space="0" w:color="auto"/>
            <w:right w:val="none" w:sz="0" w:space="0" w:color="auto"/>
          </w:divBdr>
        </w:div>
        <w:div w:id="433013661">
          <w:marLeft w:val="0"/>
          <w:marRight w:val="0"/>
          <w:marTop w:val="0"/>
          <w:marBottom w:val="0"/>
          <w:divBdr>
            <w:top w:val="none" w:sz="0" w:space="0" w:color="auto"/>
            <w:left w:val="none" w:sz="0" w:space="0" w:color="auto"/>
            <w:bottom w:val="none" w:sz="0" w:space="0" w:color="auto"/>
            <w:right w:val="none" w:sz="0" w:space="0" w:color="auto"/>
          </w:divBdr>
        </w:div>
        <w:div w:id="491798577">
          <w:marLeft w:val="0"/>
          <w:marRight w:val="0"/>
          <w:marTop w:val="0"/>
          <w:marBottom w:val="0"/>
          <w:divBdr>
            <w:top w:val="none" w:sz="0" w:space="0" w:color="auto"/>
            <w:left w:val="none" w:sz="0" w:space="0" w:color="auto"/>
            <w:bottom w:val="none" w:sz="0" w:space="0" w:color="auto"/>
            <w:right w:val="none" w:sz="0" w:space="0" w:color="auto"/>
          </w:divBdr>
        </w:div>
        <w:div w:id="533082959">
          <w:marLeft w:val="0"/>
          <w:marRight w:val="0"/>
          <w:marTop w:val="0"/>
          <w:marBottom w:val="0"/>
          <w:divBdr>
            <w:top w:val="none" w:sz="0" w:space="0" w:color="auto"/>
            <w:left w:val="none" w:sz="0" w:space="0" w:color="auto"/>
            <w:bottom w:val="none" w:sz="0" w:space="0" w:color="auto"/>
            <w:right w:val="none" w:sz="0" w:space="0" w:color="auto"/>
          </w:divBdr>
        </w:div>
        <w:div w:id="549615924">
          <w:marLeft w:val="0"/>
          <w:marRight w:val="0"/>
          <w:marTop w:val="0"/>
          <w:marBottom w:val="0"/>
          <w:divBdr>
            <w:top w:val="none" w:sz="0" w:space="0" w:color="auto"/>
            <w:left w:val="none" w:sz="0" w:space="0" w:color="auto"/>
            <w:bottom w:val="none" w:sz="0" w:space="0" w:color="auto"/>
            <w:right w:val="none" w:sz="0" w:space="0" w:color="auto"/>
          </w:divBdr>
        </w:div>
        <w:div w:id="693576273">
          <w:marLeft w:val="0"/>
          <w:marRight w:val="0"/>
          <w:marTop w:val="0"/>
          <w:marBottom w:val="0"/>
          <w:divBdr>
            <w:top w:val="none" w:sz="0" w:space="0" w:color="auto"/>
            <w:left w:val="none" w:sz="0" w:space="0" w:color="auto"/>
            <w:bottom w:val="none" w:sz="0" w:space="0" w:color="auto"/>
            <w:right w:val="none" w:sz="0" w:space="0" w:color="auto"/>
          </w:divBdr>
        </w:div>
        <w:div w:id="733507878">
          <w:marLeft w:val="0"/>
          <w:marRight w:val="0"/>
          <w:marTop w:val="0"/>
          <w:marBottom w:val="0"/>
          <w:divBdr>
            <w:top w:val="none" w:sz="0" w:space="0" w:color="auto"/>
            <w:left w:val="none" w:sz="0" w:space="0" w:color="auto"/>
            <w:bottom w:val="none" w:sz="0" w:space="0" w:color="auto"/>
            <w:right w:val="none" w:sz="0" w:space="0" w:color="auto"/>
          </w:divBdr>
        </w:div>
        <w:div w:id="738329561">
          <w:marLeft w:val="0"/>
          <w:marRight w:val="0"/>
          <w:marTop w:val="0"/>
          <w:marBottom w:val="0"/>
          <w:divBdr>
            <w:top w:val="none" w:sz="0" w:space="0" w:color="auto"/>
            <w:left w:val="none" w:sz="0" w:space="0" w:color="auto"/>
            <w:bottom w:val="none" w:sz="0" w:space="0" w:color="auto"/>
            <w:right w:val="none" w:sz="0" w:space="0" w:color="auto"/>
          </w:divBdr>
        </w:div>
        <w:div w:id="766539687">
          <w:marLeft w:val="0"/>
          <w:marRight w:val="0"/>
          <w:marTop w:val="0"/>
          <w:marBottom w:val="0"/>
          <w:divBdr>
            <w:top w:val="none" w:sz="0" w:space="0" w:color="auto"/>
            <w:left w:val="none" w:sz="0" w:space="0" w:color="auto"/>
            <w:bottom w:val="none" w:sz="0" w:space="0" w:color="auto"/>
            <w:right w:val="none" w:sz="0" w:space="0" w:color="auto"/>
          </w:divBdr>
        </w:div>
        <w:div w:id="814761948">
          <w:marLeft w:val="0"/>
          <w:marRight w:val="0"/>
          <w:marTop w:val="0"/>
          <w:marBottom w:val="0"/>
          <w:divBdr>
            <w:top w:val="none" w:sz="0" w:space="0" w:color="auto"/>
            <w:left w:val="none" w:sz="0" w:space="0" w:color="auto"/>
            <w:bottom w:val="none" w:sz="0" w:space="0" w:color="auto"/>
            <w:right w:val="none" w:sz="0" w:space="0" w:color="auto"/>
          </w:divBdr>
        </w:div>
        <w:div w:id="897323485">
          <w:marLeft w:val="0"/>
          <w:marRight w:val="0"/>
          <w:marTop w:val="0"/>
          <w:marBottom w:val="0"/>
          <w:divBdr>
            <w:top w:val="none" w:sz="0" w:space="0" w:color="auto"/>
            <w:left w:val="none" w:sz="0" w:space="0" w:color="auto"/>
            <w:bottom w:val="none" w:sz="0" w:space="0" w:color="auto"/>
            <w:right w:val="none" w:sz="0" w:space="0" w:color="auto"/>
          </w:divBdr>
        </w:div>
        <w:div w:id="956451479">
          <w:marLeft w:val="0"/>
          <w:marRight w:val="0"/>
          <w:marTop w:val="0"/>
          <w:marBottom w:val="0"/>
          <w:divBdr>
            <w:top w:val="none" w:sz="0" w:space="0" w:color="auto"/>
            <w:left w:val="none" w:sz="0" w:space="0" w:color="auto"/>
            <w:bottom w:val="none" w:sz="0" w:space="0" w:color="auto"/>
            <w:right w:val="none" w:sz="0" w:space="0" w:color="auto"/>
          </w:divBdr>
        </w:div>
        <w:div w:id="1027292865">
          <w:marLeft w:val="0"/>
          <w:marRight w:val="0"/>
          <w:marTop w:val="0"/>
          <w:marBottom w:val="0"/>
          <w:divBdr>
            <w:top w:val="none" w:sz="0" w:space="0" w:color="auto"/>
            <w:left w:val="none" w:sz="0" w:space="0" w:color="auto"/>
            <w:bottom w:val="none" w:sz="0" w:space="0" w:color="auto"/>
            <w:right w:val="none" w:sz="0" w:space="0" w:color="auto"/>
          </w:divBdr>
        </w:div>
        <w:div w:id="1049381007">
          <w:marLeft w:val="0"/>
          <w:marRight w:val="0"/>
          <w:marTop w:val="0"/>
          <w:marBottom w:val="0"/>
          <w:divBdr>
            <w:top w:val="none" w:sz="0" w:space="0" w:color="auto"/>
            <w:left w:val="none" w:sz="0" w:space="0" w:color="auto"/>
            <w:bottom w:val="none" w:sz="0" w:space="0" w:color="auto"/>
            <w:right w:val="none" w:sz="0" w:space="0" w:color="auto"/>
          </w:divBdr>
        </w:div>
        <w:div w:id="1226143700">
          <w:marLeft w:val="0"/>
          <w:marRight w:val="0"/>
          <w:marTop w:val="0"/>
          <w:marBottom w:val="0"/>
          <w:divBdr>
            <w:top w:val="none" w:sz="0" w:space="0" w:color="auto"/>
            <w:left w:val="none" w:sz="0" w:space="0" w:color="auto"/>
            <w:bottom w:val="none" w:sz="0" w:space="0" w:color="auto"/>
            <w:right w:val="none" w:sz="0" w:space="0" w:color="auto"/>
          </w:divBdr>
        </w:div>
        <w:div w:id="1273366763">
          <w:marLeft w:val="0"/>
          <w:marRight w:val="0"/>
          <w:marTop w:val="0"/>
          <w:marBottom w:val="0"/>
          <w:divBdr>
            <w:top w:val="none" w:sz="0" w:space="0" w:color="auto"/>
            <w:left w:val="none" w:sz="0" w:space="0" w:color="auto"/>
            <w:bottom w:val="none" w:sz="0" w:space="0" w:color="auto"/>
            <w:right w:val="none" w:sz="0" w:space="0" w:color="auto"/>
          </w:divBdr>
        </w:div>
        <w:div w:id="1293752070">
          <w:marLeft w:val="0"/>
          <w:marRight w:val="0"/>
          <w:marTop w:val="0"/>
          <w:marBottom w:val="0"/>
          <w:divBdr>
            <w:top w:val="none" w:sz="0" w:space="0" w:color="auto"/>
            <w:left w:val="none" w:sz="0" w:space="0" w:color="auto"/>
            <w:bottom w:val="none" w:sz="0" w:space="0" w:color="auto"/>
            <w:right w:val="none" w:sz="0" w:space="0" w:color="auto"/>
          </w:divBdr>
        </w:div>
        <w:div w:id="1295713079">
          <w:marLeft w:val="0"/>
          <w:marRight w:val="0"/>
          <w:marTop w:val="0"/>
          <w:marBottom w:val="0"/>
          <w:divBdr>
            <w:top w:val="none" w:sz="0" w:space="0" w:color="auto"/>
            <w:left w:val="none" w:sz="0" w:space="0" w:color="auto"/>
            <w:bottom w:val="none" w:sz="0" w:space="0" w:color="auto"/>
            <w:right w:val="none" w:sz="0" w:space="0" w:color="auto"/>
          </w:divBdr>
        </w:div>
        <w:div w:id="1302806349">
          <w:marLeft w:val="0"/>
          <w:marRight w:val="0"/>
          <w:marTop w:val="0"/>
          <w:marBottom w:val="0"/>
          <w:divBdr>
            <w:top w:val="none" w:sz="0" w:space="0" w:color="auto"/>
            <w:left w:val="none" w:sz="0" w:space="0" w:color="auto"/>
            <w:bottom w:val="none" w:sz="0" w:space="0" w:color="auto"/>
            <w:right w:val="none" w:sz="0" w:space="0" w:color="auto"/>
          </w:divBdr>
        </w:div>
        <w:div w:id="1509902587">
          <w:marLeft w:val="0"/>
          <w:marRight w:val="0"/>
          <w:marTop w:val="0"/>
          <w:marBottom w:val="0"/>
          <w:divBdr>
            <w:top w:val="none" w:sz="0" w:space="0" w:color="auto"/>
            <w:left w:val="none" w:sz="0" w:space="0" w:color="auto"/>
            <w:bottom w:val="none" w:sz="0" w:space="0" w:color="auto"/>
            <w:right w:val="none" w:sz="0" w:space="0" w:color="auto"/>
          </w:divBdr>
        </w:div>
        <w:div w:id="1553730171">
          <w:marLeft w:val="0"/>
          <w:marRight w:val="0"/>
          <w:marTop w:val="0"/>
          <w:marBottom w:val="0"/>
          <w:divBdr>
            <w:top w:val="none" w:sz="0" w:space="0" w:color="auto"/>
            <w:left w:val="none" w:sz="0" w:space="0" w:color="auto"/>
            <w:bottom w:val="none" w:sz="0" w:space="0" w:color="auto"/>
            <w:right w:val="none" w:sz="0" w:space="0" w:color="auto"/>
          </w:divBdr>
        </w:div>
        <w:div w:id="1627736823">
          <w:marLeft w:val="0"/>
          <w:marRight w:val="0"/>
          <w:marTop w:val="0"/>
          <w:marBottom w:val="0"/>
          <w:divBdr>
            <w:top w:val="none" w:sz="0" w:space="0" w:color="auto"/>
            <w:left w:val="none" w:sz="0" w:space="0" w:color="auto"/>
            <w:bottom w:val="none" w:sz="0" w:space="0" w:color="auto"/>
            <w:right w:val="none" w:sz="0" w:space="0" w:color="auto"/>
          </w:divBdr>
        </w:div>
        <w:div w:id="1653365614">
          <w:marLeft w:val="0"/>
          <w:marRight w:val="0"/>
          <w:marTop w:val="0"/>
          <w:marBottom w:val="0"/>
          <w:divBdr>
            <w:top w:val="none" w:sz="0" w:space="0" w:color="auto"/>
            <w:left w:val="none" w:sz="0" w:space="0" w:color="auto"/>
            <w:bottom w:val="none" w:sz="0" w:space="0" w:color="auto"/>
            <w:right w:val="none" w:sz="0" w:space="0" w:color="auto"/>
          </w:divBdr>
        </w:div>
        <w:div w:id="1741712463">
          <w:marLeft w:val="0"/>
          <w:marRight w:val="0"/>
          <w:marTop w:val="0"/>
          <w:marBottom w:val="0"/>
          <w:divBdr>
            <w:top w:val="none" w:sz="0" w:space="0" w:color="auto"/>
            <w:left w:val="none" w:sz="0" w:space="0" w:color="auto"/>
            <w:bottom w:val="none" w:sz="0" w:space="0" w:color="auto"/>
            <w:right w:val="none" w:sz="0" w:space="0" w:color="auto"/>
          </w:divBdr>
        </w:div>
        <w:div w:id="1887374909">
          <w:marLeft w:val="0"/>
          <w:marRight w:val="0"/>
          <w:marTop w:val="0"/>
          <w:marBottom w:val="0"/>
          <w:divBdr>
            <w:top w:val="none" w:sz="0" w:space="0" w:color="auto"/>
            <w:left w:val="none" w:sz="0" w:space="0" w:color="auto"/>
            <w:bottom w:val="none" w:sz="0" w:space="0" w:color="auto"/>
            <w:right w:val="none" w:sz="0" w:space="0" w:color="auto"/>
          </w:divBdr>
        </w:div>
        <w:div w:id="1951157452">
          <w:marLeft w:val="0"/>
          <w:marRight w:val="0"/>
          <w:marTop w:val="0"/>
          <w:marBottom w:val="0"/>
          <w:divBdr>
            <w:top w:val="none" w:sz="0" w:space="0" w:color="auto"/>
            <w:left w:val="none" w:sz="0" w:space="0" w:color="auto"/>
            <w:bottom w:val="none" w:sz="0" w:space="0" w:color="auto"/>
            <w:right w:val="none" w:sz="0" w:space="0" w:color="auto"/>
          </w:divBdr>
        </w:div>
        <w:div w:id="2075657967">
          <w:marLeft w:val="0"/>
          <w:marRight w:val="0"/>
          <w:marTop w:val="0"/>
          <w:marBottom w:val="0"/>
          <w:divBdr>
            <w:top w:val="none" w:sz="0" w:space="0" w:color="auto"/>
            <w:left w:val="none" w:sz="0" w:space="0" w:color="auto"/>
            <w:bottom w:val="none" w:sz="0" w:space="0" w:color="auto"/>
            <w:right w:val="none" w:sz="0" w:space="0" w:color="auto"/>
          </w:divBdr>
        </w:div>
        <w:div w:id="2090153335">
          <w:marLeft w:val="0"/>
          <w:marRight w:val="0"/>
          <w:marTop w:val="0"/>
          <w:marBottom w:val="0"/>
          <w:divBdr>
            <w:top w:val="none" w:sz="0" w:space="0" w:color="auto"/>
            <w:left w:val="none" w:sz="0" w:space="0" w:color="auto"/>
            <w:bottom w:val="none" w:sz="0" w:space="0" w:color="auto"/>
            <w:right w:val="none" w:sz="0" w:space="0" w:color="auto"/>
          </w:divBdr>
        </w:div>
        <w:div w:id="2134706714">
          <w:marLeft w:val="0"/>
          <w:marRight w:val="0"/>
          <w:marTop w:val="0"/>
          <w:marBottom w:val="0"/>
          <w:divBdr>
            <w:top w:val="none" w:sz="0" w:space="0" w:color="auto"/>
            <w:left w:val="none" w:sz="0" w:space="0" w:color="auto"/>
            <w:bottom w:val="none" w:sz="0" w:space="0" w:color="auto"/>
            <w:right w:val="none" w:sz="0" w:space="0" w:color="auto"/>
          </w:divBdr>
        </w:div>
      </w:divsChild>
    </w:div>
    <w:div w:id="1549027890">
      <w:bodyDiv w:val="1"/>
      <w:marLeft w:val="0"/>
      <w:marRight w:val="0"/>
      <w:marTop w:val="0"/>
      <w:marBottom w:val="0"/>
      <w:divBdr>
        <w:top w:val="none" w:sz="0" w:space="0" w:color="auto"/>
        <w:left w:val="none" w:sz="0" w:space="0" w:color="auto"/>
        <w:bottom w:val="none" w:sz="0" w:space="0" w:color="auto"/>
        <w:right w:val="none" w:sz="0" w:space="0" w:color="auto"/>
      </w:divBdr>
    </w:div>
    <w:div w:id="1580869024">
      <w:bodyDiv w:val="1"/>
      <w:marLeft w:val="0"/>
      <w:marRight w:val="0"/>
      <w:marTop w:val="0"/>
      <w:marBottom w:val="0"/>
      <w:divBdr>
        <w:top w:val="none" w:sz="0" w:space="0" w:color="auto"/>
        <w:left w:val="none" w:sz="0" w:space="0" w:color="auto"/>
        <w:bottom w:val="none" w:sz="0" w:space="0" w:color="auto"/>
        <w:right w:val="none" w:sz="0" w:space="0" w:color="auto"/>
      </w:divBdr>
    </w:div>
    <w:div w:id="1581252783">
      <w:bodyDiv w:val="1"/>
      <w:marLeft w:val="0"/>
      <w:marRight w:val="0"/>
      <w:marTop w:val="0"/>
      <w:marBottom w:val="0"/>
      <w:divBdr>
        <w:top w:val="none" w:sz="0" w:space="0" w:color="auto"/>
        <w:left w:val="none" w:sz="0" w:space="0" w:color="auto"/>
        <w:bottom w:val="none" w:sz="0" w:space="0" w:color="auto"/>
        <w:right w:val="none" w:sz="0" w:space="0" w:color="auto"/>
      </w:divBdr>
    </w:div>
    <w:div w:id="1588879076">
      <w:bodyDiv w:val="1"/>
      <w:marLeft w:val="0"/>
      <w:marRight w:val="0"/>
      <w:marTop w:val="0"/>
      <w:marBottom w:val="0"/>
      <w:divBdr>
        <w:top w:val="none" w:sz="0" w:space="0" w:color="auto"/>
        <w:left w:val="none" w:sz="0" w:space="0" w:color="auto"/>
        <w:bottom w:val="none" w:sz="0" w:space="0" w:color="auto"/>
        <w:right w:val="none" w:sz="0" w:space="0" w:color="auto"/>
      </w:divBdr>
    </w:div>
    <w:div w:id="1724938557">
      <w:bodyDiv w:val="1"/>
      <w:marLeft w:val="0"/>
      <w:marRight w:val="0"/>
      <w:marTop w:val="0"/>
      <w:marBottom w:val="0"/>
      <w:divBdr>
        <w:top w:val="none" w:sz="0" w:space="0" w:color="auto"/>
        <w:left w:val="none" w:sz="0" w:space="0" w:color="auto"/>
        <w:bottom w:val="none" w:sz="0" w:space="0" w:color="auto"/>
        <w:right w:val="none" w:sz="0" w:space="0" w:color="auto"/>
      </w:divBdr>
    </w:div>
    <w:div w:id="1728409520">
      <w:bodyDiv w:val="1"/>
      <w:marLeft w:val="0"/>
      <w:marRight w:val="0"/>
      <w:marTop w:val="0"/>
      <w:marBottom w:val="0"/>
      <w:divBdr>
        <w:top w:val="none" w:sz="0" w:space="0" w:color="auto"/>
        <w:left w:val="none" w:sz="0" w:space="0" w:color="auto"/>
        <w:bottom w:val="none" w:sz="0" w:space="0" w:color="auto"/>
        <w:right w:val="none" w:sz="0" w:space="0" w:color="auto"/>
      </w:divBdr>
    </w:div>
    <w:div w:id="1981425106">
      <w:bodyDiv w:val="1"/>
      <w:marLeft w:val="0"/>
      <w:marRight w:val="0"/>
      <w:marTop w:val="0"/>
      <w:marBottom w:val="0"/>
      <w:divBdr>
        <w:top w:val="none" w:sz="0" w:space="0" w:color="auto"/>
        <w:left w:val="none" w:sz="0" w:space="0" w:color="auto"/>
        <w:bottom w:val="none" w:sz="0" w:space="0" w:color="auto"/>
        <w:right w:val="none" w:sz="0" w:space="0" w:color="auto"/>
      </w:divBdr>
    </w:div>
    <w:div w:id="20059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mn.gov/deed/data/export-stat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ustomXml" Target="../customXml/item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1433002692845212"/>
          <c:y val="7.7848123714265444E-2"/>
          <c:w val="0.60311787949583218"/>
          <c:h val="0.77849258204426564"/>
        </c:manualLayout>
      </c:layout>
      <c:pieChart>
        <c:varyColors val="1"/>
        <c:ser>
          <c:idx val="0"/>
          <c:order val="0"/>
          <c:tx>
            <c:strRef>
              <c:f>Sheet1!$B$1</c:f>
              <c:strCache>
                <c:ptCount val="1"/>
                <c:pt idx="0">
                  <c:v>MN 2025</c:v>
                </c:pt>
              </c:strCache>
            </c:strRef>
          </c:tx>
          <c:spPr>
            <a:ln w="9525">
              <a:solidFill>
                <a:schemeClr val="tx1">
                  <a:lumMod val="65000"/>
                  <a:lumOff val="35000"/>
                </a:schemeClr>
              </a:solidFill>
            </a:ln>
          </c:spPr>
          <c:dPt>
            <c:idx val="0"/>
            <c:bubble3D val="0"/>
            <c:spPr>
              <a:solidFill>
                <a:srgbClr val="003865"/>
              </a:solidFill>
              <a:ln w="9525">
                <a:solidFill>
                  <a:schemeClr val="tx1">
                    <a:lumMod val="65000"/>
                    <a:lumOff val="35000"/>
                  </a:schemeClr>
                </a:solidFill>
              </a:ln>
              <a:effectLst/>
            </c:spPr>
            <c:extLst>
              <c:ext xmlns:c16="http://schemas.microsoft.com/office/drawing/2014/chart" uri="{C3380CC4-5D6E-409C-BE32-E72D297353CC}">
                <c16:uniqueId val="{00000001-1BAD-4CBD-BC60-EC6CCE725D51}"/>
              </c:ext>
            </c:extLst>
          </c:dPt>
          <c:dPt>
            <c:idx val="1"/>
            <c:bubble3D val="0"/>
            <c:spPr>
              <a:solidFill>
                <a:srgbClr val="78BE21"/>
              </a:solidFill>
              <a:ln w="9525">
                <a:solidFill>
                  <a:schemeClr val="tx1">
                    <a:lumMod val="65000"/>
                    <a:lumOff val="35000"/>
                  </a:schemeClr>
                </a:solidFill>
              </a:ln>
              <a:effectLst/>
            </c:spPr>
            <c:extLst>
              <c:ext xmlns:c16="http://schemas.microsoft.com/office/drawing/2014/chart" uri="{C3380CC4-5D6E-409C-BE32-E72D297353CC}">
                <c16:uniqueId val="{00000003-1BAD-4CBD-BC60-EC6CCE725D51}"/>
              </c:ext>
            </c:extLst>
          </c:dPt>
          <c:dPt>
            <c:idx val="2"/>
            <c:bubble3D val="0"/>
            <c:spPr>
              <a:solidFill>
                <a:srgbClr val="008EAA"/>
              </a:solidFill>
              <a:ln w="9525">
                <a:solidFill>
                  <a:schemeClr val="tx1">
                    <a:lumMod val="65000"/>
                    <a:lumOff val="35000"/>
                  </a:schemeClr>
                </a:solidFill>
              </a:ln>
              <a:effectLst/>
            </c:spPr>
            <c:extLst>
              <c:ext xmlns:c16="http://schemas.microsoft.com/office/drawing/2014/chart" uri="{C3380CC4-5D6E-409C-BE32-E72D297353CC}">
                <c16:uniqueId val="{00000005-1BAD-4CBD-BC60-EC6CCE725D51}"/>
              </c:ext>
            </c:extLst>
          </c:dPt>
          <c:dPt>
            <c:idx val="3"/>
            <c:bubble3D val="0"/>
            <c:spPr>
              <a:solidFill>
                <a:srgbClr val="8D3F2B"/>
              </a:solidFill>
              <a:ln w="9525">
                <a:solidFill>
                  <a:schemeClr val="tx1">
                    <a:lumMod val="65000"/>
                    <a:lumOff val="35000"/>
                  </a:schemeClr>
                </a:solidFill>
              </a:ln>
              <a:effectLst/>
            </c:spPr>
            <c:extLst>
              <c:ext xmlns:c16="http://schemas.microsoft.com/office/drawing/2014/chart" uri="{C3380CC4-5D6E-409C-BE32-E72D297353CC}">
                <c16:uniqueId val="{00000007-1BAD-4CBD-BC60-EC6CCE725D51}"/>
              </c:ext>
            </c:extLst>
          </c:dPt>
          <c:dPt>
            <c:idx val="4"/>
            <c:bubble3D val="0"/>
            <c:spPr>
              <a:solidFill>
                <a:srgbClr val="948193"/>
              </a:solidFill>
              <a:ln w="9525">
                <a:solidFill>
                  <a:srgbClr val="7030A0"/>
                </a:solidFill>
              </a:ln>
              <a:effectLst/>
            </c:spPr>
            <c:extLst>
              <c:ext xmlns:c16="http://schemas.microsoft.com/office/drawing/2014/chart" uri="{C3380CC4-5D6E-409C-BE32-E72D297353CC}">
                <c16:uniqueId val="{00000009-1BAD-4CBD-BC60-EC6CCE725D51}"/>
              </c:ext>
            </c:extLst>
          </c:dPt>
          <c:dPt>
            <c:idx val="5"/>
            <c:bubble3D val="0"/>
            <c:spPr>
              <a:solidFill>
                <a:srgbClr val="FFC845"/>
              </a:solidFill>
              <a:ln w="9525">
                <a:solidFill>
                  <a:schemeClr val="tx1">
                    <a:lumMod val="65000"/>
                    <a:lumOff val="35000"/>
                  </a:schemeClr>
                </a:solidFill>
              </a:ln>
              <a:effectLst/>
            </c:spPr>
            <c:extLst>
              <c:ext xmlns:c16="http://schemas.microsoft.com/office/drawing/2014/chart" uri="{C3380CC4-5D6E-409C-BE32-E72D297353CC}">
                <c16:uniqueId val="{0000000B-1BAD-4CBD-BC60-EC6CCE725D51}"/>
              </c:ext>
            </c:extLst>
          </c:dPt>
          <c:dPt>
            <c:idx val="6"/>
            <c:bubble3D val="0"/>
            <c:spPr>
              <a:solidFill>
                <a:srgbClr val="9BCBEB"/>
              </a:solidFill>
              <a:ln w="9525">
                <a:solidFill>
                  <a:schemeClr val="tx1">
                    <a:lumMod val="65000"/>
                    <a:lumOff val="35000"/>
                  </a:schemeClr>
                </a:solidFill>
              </a:ln>
              <a:effectLst/>
            </c:spPr>
            <c:extLst>
              <c:ext xmlns:c16="http://schemas.microsoft.com/office/drawing/2014/chart" uri="{C3380CC4-5D6E-409C-BE32-E72D297353CC}">
                <c16:uniqueId val="{0000000D-1BAD-4CBD-BC60-EC6CCE725D51}"/>
              </c:ext>
            </c:extLst>
          </c:dPt>
          <c:dPt>
            <c:idx val="7"/>
            <c:bubble3D val="0"/>
            <c:spPr>
              <a:solidFill>
                <a:srgbClr val="E57200"/>
              </a:solidFill>
              <a:ln w="9525">
                <a:solidFill>
                  <a:schemeClr val="tx1">
                    <a:lumMod val="65000"/>
                    <a:lumOff val="35000"/>
                  </a:schemeClr>
                </a:solidFill>
              </a:ln>
              <a:effectLst/>
            </c:spPr>
            <c:extLst>
              <c:ext xmlns:c16="http://schemas.microsoft.com/office/drawing/2014/chart" uri="{C3380CC4-5D6E-409C-BE32-E72D297353CC}">
                <c16:uniqueId val="{0000000F-1BAD-4CBD-BC60-EC6CCE725D51}"/>
              </c:ext>
            </c:extLst>
          </c:dPt>
          <c:dPt>
            <c:idx val="8"/>
            <c:bubble3D val="0"/>
            <c:spPr>
              <a:solidFill>
                <a:schemeClr val="accent1">
                  <a:tint val="13000"/>
                </a:schemeClr>
              </a:solidFill>
              <a:ln w="9525">
                <a:solidFill>
                  <a:schemeClr val="tx1">
                    <a:lumMod val="65000"/>
                    <a:lumOff val="35000"/>
                  </a:schemeClr>
                </a:solidFill>
              </a:ln>
              <a:effectLst/>
            </c:spPr>
            <c:extLst>
              <c:ext xmlns:c16="http://schemas.microsoft.com/office/drawing/2014/chart" uri="{C3380CC4-5D6E-409C-BE32-E72D297353CC}">
                <c16:uniqueId val="{00000011-1BAD-4CBD-BC60-EC6CCE725D51}"/>
              </c:ext>
            </c:extLst>
          </c:dPt>
          <c:dLbls>
            <c:dLbl>
              <c:idx val="0"/>
              <c:layout>
                <c:manualLayout>
                  <c:x val="1.9076592698639944E-2"/>
                  <c:y val="1.801095515234508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9283771346763471"/>
                      <c:h val="7.9102476320894677E-2"/>
                    </c:manualLayout>
                  </c15:layout>
                </c:ext>
                <c:ext xmlns:c16="http://schemas.microsoft.com/office/drawing/2014/chart" uri="{C3380CC4-5D6E-409C-BE32-E72D297353CC}">
                  <c16:uniqueId val="{00000001-1BAD-4CBD-BC60-EC6CCE725D51}"/>
                </c:ext>
              </c:extLst>
            </c:dLbl>
            <c:dLbl>
              <c:idx val="1"/>
              <c:layout>
                <c:manualLayout>
                  <c:x val="-2.2396461805910706E-2"/>
                  <c:y val="7.444083076571917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546511231550598"/>
                      <c:h val="0.12244779185210543"/>
                    </c:manualLayout>
                  </c15:layout>
                </c:ext>
                <c:ext xmlns:c16="http://schemas.microsoft.com/office/drawing/2014/chart" uri="{C3380CC4-5D6E-409C-BE32-E72D297353CC}">
                  <c16:uniqueId val="{00000003-1BAD-4CBD-BC60-EC6CCE725D51}"/>
                </c:ext>
              </c:extLst>
            </c:dLbl>
            <c:dLbl>
              <c:idx val="2"/>
              <c:layout>
                <c:manualLayout>
                  <c:x val="8.6583495244911771E-3"/>
                  <c:y val="-4.216250142645212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051777618706752"/>
                      <c:h val="0.11352333675681844"/>
                    </c:manualLayout>
                  </c15:layout>
                </c:ext>
                <c:ext xmlns:c16="http://schemas.microsoft.com/office/drawing/2014/chart" uri="{C3380CC4-5D6E-409C-BE32-E72D297353CC}">
                  <c16:uniqueId val="{00000005-1BAD-4CBD-BC60-EC6CCE725D51}"/>
                </c:ext>
              </c:extLst>
            </c:dLbl>
            <c:dLbl>
              <c:idx val="3"/>
              <c:layout>
                <c:manualLayout>
                  <c:x val="-1.9480349047278158E-2"/>
                  <c:y val="-4.53172429533266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10515730988172"/>
                      <c:h val="0.11147609266233026"/>
                    </c:manualLayout>
                  </c15:layout>
                </c:ext>
                <c:ext xmlns:c16="http://schemas.microsoft.com/office/drawing/2014/chart" uri="{C3380CC4-5D6E-409C-BE32-E72D297353CC}">
                  <c16:uniqueId val="{00000007-1BAD-4CBD-BC60-EC6CCE725D51}"/>
                </c:ext>
              </c:extLst>
            </c:dLbl>
            <c:dLbl>
              <c:idx val="4"/>
              <c:layout>
                <c:manualLayout>
                  <c:x val="4.9272590926134154E-2"/>
                  <c:y val="-5.077513408650018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002726931860791"/>
                      <c:h val="9.9968618053178124E-2"/>
                    </c:manualLayout>
                  </c15:layout>
                </c:ext>
                <c:ext xmlns:c16="http://schemas.microsoft.com/office/drawing/2014/chart" uri="{C3380CC4-5D6E-409C-BE32-E72D297353CC}">
                  <c16:uniqueId val="{00000009-1BAD-4CBD-BC60-EC6CCE725D51}"/>
                </c:ext>
              </c:extLst>
            </c:dLbl>
            <c:dLbl>
              <c:idx val="5"/>
              <c:layout>
                <c:manualLayout>
                  <c:x val="2.1401983842928726E-2"/>
                  <c:y val="1.17051808741297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162082012475714"/>
                      <c:h val="7.6764806573091385E-2"/>
                    </c:manualLayout>
                  </c15:layout>
                </c:ext>
                <c:ext xmlns:c16="http://schemas.microsoft.com/office/drawing/2014/chart" uri="{C3380CC4-5D6E-409C-BE32-E72D297353CC}">
                  <c16:uniqueId val="{0000000B-1BAD-4CBD-BC60-EC6CCE725D51}"/>
                </c:ext>
              </c:extLst>
            </c:dLbl>
            <c:dLbl>
              <c:idx val="6"/>
              <c:layout>
                <c:manualLayout>
                  <c:x val="-6.5314278896956068E-2"/>
                  <c:y val="-2.8529042565331507E-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3834850189180887"/>
                      <c:h val="0.13232169348396666"/>
                    </c:manualLayout>
                  </c15:layout>
                </c:ext>
                <c:ext xmlns:c16="http://schemas.microsoft.com/office/drawing/2014/chart" uri="{C3380CC4-5D6E-409C-BE32-E72D297353CC}">
                  <c16:uniqueId val="{0000000D-1BAD-4CBD-BC60-EC6CCE725D51}"/>
                </c:ext>
              </c:extLst>
            </c:dLbl>
            <c:dLbl>
              <c:idx val="7"/>
              <c:layout>
                <c:manualLayout>
                  <c:x val="-2.5974025974025983E-2"/>
                  <c:y val="-8.6956236448704774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9811671268364182"/>
                      <c:h val="0.12057971014492755"/>
                    </c:manualLayout>
                  </c15:layout>
                </c:ext>
                <c:ext xmlns:c16="http://schemas.microsoft.com/office/drawing/2014/chart" uri="{C3380CC4-5D6E-409C-BE32-E72D297353CC}">
                  <c16:uniqueId val="{0000000F-1BAD-4CBD-BC60-EC6CCE725D51}"/>
                </c:ext>
              </c:extLst>
            </c:dLbl>
            <c:dLbl>
              <c:idx val="8"/>
              <c:layout>
                <c:manualLayout>
                  <c:x val="1.5125268432355036E-2"/>
                  <c:y val="-6.87310281866940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1BAD-4CBD-BC60-EC6CCE725D51}"/>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Mexico</c:v>
                </c:pt>
                <c:pt idx="1">
                  <c:v>Canada</c:v>
                </c:pt>
                <c:pt idx="2">
                  <c:v>Thailand</c:v>
                </c:pt>
                <c:pt idx="3">
                  <c:v>China</c:v>
                </c:pt>
                <c:pt idx="4">
                  <c:v>U.K.</c:v>
                </c:pt>
                <c:pt idx="5">
                  <c:v>Japan</c:v>
                </c:pt>
                <c:pt idx="6">
                  <c:v>Switzerland</c:v>
                </c:pt>
                <c:pt idx="7">
                  <c:v>Germany</c:v>
                </c:pt>
                <c:pt idx="8">
                  <c:v>Other</c:v>
                </c:pt>
              </c:strCache>
            </c:strRef>
          </c:cat>
          <c:val>
            <c:numRef>
              <c:f>Sheet1!$B$2:$B$10</c:f>
              <c:numCache>
                <c:formatCode>_("$"* #,##0_);_("$"* \(#,##0\);_("$"* "-"??_);_(@_)</c:formatCode>
                <c:ptCount val="9"/>
                <c:pt idx="0">
                  <c:v>427821931</c:v>
                </c:pt>
                <c:pt idx="1">
                  <c:v>356865299</c:v>
                </c:pt>
                <c:pt idx="2">
                  <c:v>318464840</c:v>
                </c:pt>
                <c:pt idx="3">
                  <c:v>301795186</c:v>
                </c:pt>
                <c:pt idx="4">
                  <c:v>261652549</c:v>
                </c:pt>
                <c:pt idx="5">
                  <c:v>203414051</c:v>
                </c:pt>
                <c:pt idx="6">
                  <c:v>180124684</c:v>
                </c:pt>
                <c:pt idx="7">
                  <c:v>160683971</c:v>
                </c:pt>
                <c:pt idx="8">
                  <c:v>1577603682</c:v>
                </c:pt>
              </c:numCache>
            </c:numRef>
          </c:val>
          <c:extLst>
            <c:ext xmlns:c16="http://schemas.microsoft.com/office/drawing/2014/chart" uri="{C3380CC4-5D6E-409C-BE32-E72D297353CC}">
              <c16:uniqueId val="{00000012-1BAD-4CBD-BC60-EC6CCE725D5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8b132a606221d3dab0c20dc93941fc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cf60285509ea917432f37d2ced5e660c"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Props1.xml><?xml version="1.0" encoding="utf-8"?>
<ds:datastoreItem xmlns:ds="http://schemas.openxmlformats.org/officeDocument/2006/customXml" ds:itemID="{D76E5F4D-CB18-4770-8543-9DBB6AD8CE1B}">
  <ds:schemaRefs>
    <ds:schemaRef ds:uri="http://schemas.openxmlformats.org/officeDocument/2006/bibliography"/>
  </ds:schemaRefs>
</ds:datastoreItem>
</file>

<file path=customXml/itemProps2.xml><?xml version="1.0" encoding="utf-8"?>
<ds:datastoreItem xmlns:ds="http://schemas.openxmlformats.org/officeDocument/2006/customXml" ds:itemID="{83704E08-0D51-4A72-8FA6-BC8F2271AA95}"/>
</file>

<file path=customXml/itemProps3.xml><?xml version="1.0" encoding="utf-8"?>
<ds:datastoreItem xmlns:ds="http://schemas.openxmlformats.org/officeDocument/2006/customXml" ds:itemID="{8300BE78-4342-47F5-86E8-A0D48DD130FE}"/>
</file>

<file path=customXml/itemProps4.xml><?xml version="1.0" encoding="utf-8"?>
<ds:datastoreItem xmlns:ds="http://schemas.openxmlformats.org/officeDocument/2006/customXml" ds:itemID="{FBF69E97-5025-498D-950E-64FCE8E7C4A3}"/>
</file>

<file path=docProps/app.xml><?xml version="1.0" encoding="utf-8"?>
<Properties xmlns="http://schemas.openxmlformats.org/officeDocument/2006/extended-properties" xmlns:vt="http://schemas.openxmlformats.org/officeDocument/2006/docPropsVTypes">
  <Template>Normal</Template>
  <TotalTime>3063</TotalTime>
  <Pages>2</Pages>
  <Words>729</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Minnesota Annual Export Statistics, 2025</vt:lpstr>
    </vt:vector>
  </TitlesOfParts>
  <Company>MN DEED</Company>
  <LinksUpToDate>false</LinksUpToDate>
  <CharactersWithSpaces>4857</CharactersWithSpaces>
  <SharedDoc>false</SharedDoc>
  <HLinks>
    <vt:vector size="12" baseType="variant">
      <vt:variant>
        <vt:i4>6488181</vt:i4>
      </vt:variant>
      <vt:variant>
        <vt:i4>9</vt:i4>
      </vt:variant>
      <vt:variant>
        <vt:i4>0</vt:i4>
      </vt:variant>
      <vt:variant>
        <vt:i4>5</vt:i4>
      </vt:variant>
      <vt:variant>
        <vt:lpwstr>http://www.deed.state.mn.us/facts/manufacturing.htm</vt:lpwstr>
      </vt:variant>
      <vt:variant>
        <vt:lpwstr/>
      </vt:variant>
      <vt:variant>
        <vt:i4>3211383</vt:i4>
      </vt:variant>
      <vt:variant>
        <vt:i4>6</vt:i4>
      </vt:variant>
      <vt:variant>
        <vt:i4>0</vt:i4>
      </vt:variant>
      <vt:variant>
        <vt:i4>5</vt:i4>
      </vt:variant>
      <vt:variant>
        <vt:lpwstr>http://www.exportminnesota.com/itradestats.htm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Annual Export Statistics, 2025</dc:title>
  <dc:subject>Minnesota Annual Export Statistics, 2025</dc:subject>
  <dc:creator>Economic Analysis Unit (T. Ho-Kim)</dc:creator>
  <cp:keywords/>
  <dc:description>Prepared March 2026</dc:description>
  <cp:lastModifiedBy>Ho-Kim, Thu-Mai (DEED)</cp:lastModifiedBy>
  <cp:revision>16</cp:revision>
  <cp:lastPrinted>2019-03-11T18:11:00Z</cp:lastPrinted>
  <dcterms:created xsi:type="dcterms:W3CDTF">2024-05-02T20:43:00Z</dcterms:created>
  <dcterms:modified xsi:type="dcterms:W3CDTF">2026-03-17T17:37:00Z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