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82797" w14:textId="3EE36AFC" w:rsidR="008A3741" w:rsidRDefault="00D52CFB" w:rsidP="00AB6F70">
      <w:r>
        <w:br/>
      </w:r>
      <w:r w:rsidR="00721A9D">
        <w:rPr>
          <w:noProof/>
        </w:rPr>
        <w:drawing>
          <wp:inline distT="0" distB="0" distL="0" distR="0" wp14:anchorId="358C20A9" wp14:editId="06694792">
            <wp:extent cx="7029450" cy="1586506"/>
            <wp:effectExtent l="0" t="0" r="0" b="0"/>
            <wp:docPr id="3" name="Picture 3" descr="A picture containing text&#10;&#10;Minnesota Manufacturing Business Conditions Survey. Contact Alicia-Cordes-Mayo at 763-406-9965 for more inform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Minnesota Manufacturing Business Conditions Survey. Contact Alicia-Cordes-Mayo at 763-406-9965 for more information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2361" cy="161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38F97" w14:textId="2964AB8C" w:rsidR="008B388C" w:rsidRPr="00D60273" w:rsidRDefault="001873F4" w:rsidP="00E55E81">
      <w:pPr>
        <w:pStyle w:val="Heading1"/>
        <w:jc w:val="center"/>
        <w:rPr>
          <w:b/>
          <w:sz w:val="28"/>
          <w:szCs w:val="28"/>
        </w:rPr>
        <w:sectPr w:rsidR="008B388C" w:rsidRPr="00D60273" w:rsidSect="003A5144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8"/>
          <w:szCs w:val="28"/>
        </w:rPr>
        <w:t>Manufact</w:t>
      </w:r>
      <w:r w:rsidR="00A7507C">
        <w:rPr>
          <w:b/>
          <w:sz w:val="28"/>
          <w:szCs w:val="28"/>
        </w:rPr>
        <w:t xml:space="preserve">urers </w:t>
      </w:r>
      <w:r w:rsidR="00D76077">
        <w:rPr>
          <w:b/>
          <w:sz w:val="28"/>
          <w:szCs w:val="28"/>
        </w:rPr>
        <w:t>A</w:t>
      </w:r>
      <w:r w:rsidR="00325C47">
        <w:rPr>
          <w:b/>
          <w:sz w:val="28"/>
          <w:szCs w:val="28"/>
        </w:rPr>
        <w:t>re Optimistic About</w:t>
      </w:r>
      <w:r w:rsidR="00E40D08">
        <w:rPr>
          <w:b/>
          <w:sz w:val="28"/>
          <w:szCs w:val="28"/>
        </w:rPr>
        <w:t xml:space="preserve"> 202</w:t>
      </w:r>
      <w:r w:rsidR="00D76077">
        <w:rPr>
          <w:b/>
          <w:sz w:val="28"/>
          <w:szCs w:val="28"/>
        </w:rPr>
        <w:t>5</w:t>
      </w:r>
      <w:r w:rsidR="0072747A">
        <w:rPr>
          <w:b/>
          <w:sz w:val="28"/>
          <w:szCs w:val="28"/>
        </w:rPr>
        <w:t xml:space="preserve"> But Labor Concerns Remain</w:t>
      </w:r>
      <w:r w:rsidR="00180F16">
        <w:rPr>
          <w:b/>
          <w:sz w:val="28"/>
          <w:szCs w:val="28"/>
        </w:rPr>
        <w:br/>
      </w:r>
    </w:p>
    <w:p w14:paraId="60BF95FC" w14:textId="3178F637" w:rsidR="00D76077" w:rsidRPr="00D91D98" w:rsidRDefault="00266F95" w:rsidP="00C067E2">
      <w:pPr>
        <w:spacing w:after="0" w:line="240" w:lineRule="auto"/>
      </w:pPr>
      <w:r w:rsidRPr="00D91D98">
        <w:t xml:space="preserve">A random sample survey of Minnesota manufacturers conducted </w:t>
      </w:r>
      <w:r w:rsidR="00E06AA3" w:rsidRPr="00D91D98">
        <w:t>in</w:t>
      </w:r>
      <w:r w:rsidRPr="00D91D98">
        <w:t xml:space="preserve"> November-</w:t>
      </w:r>
      <w:r w:rsidR="00860D34" w:rsidRPr="00D91D98">
        <w:t xml:space="preserve">December </w:t>
      </w:r>
      <w:r w:rsidR="00F30929" w:rsidRPr="00D91D98">
        <w:t xml:space="preserve">of </w:t>
      </w:r>
      <w:r w:rsidR="00860D34" w:rsidRPr="00D91D98">
        <w:t>202</w:t>
      </w:r>
      <w:r w:rsidR="00D76077" w:rsidRPr="00D91D98">
        <w:t>4</w:t>
      </w:r>
      <w:r w:rsidRPr="00D91D98">
        <w:t xml:space="preserve"> by the Minnesota Department of Employment and Economic Development and the Federal Reserve Bank of Minneapolis reports that </w:t>
      </w:r>
      <w:r w:rsidR="00D76077" w:rsidRPr="00D91D98">
        <w:t xml:space="preserve">nearly half of </w:t>
      </w:r>
      <w:r w:rsidRPr="00D91D98">
        <w:t>Minnesota</w:t>
      </w:r>
      <w:r w:rsidR="00D76077" w:rsidRPr="00D91D98">
        <w:t>’s</w:t>
      </w:r>
      <w:r w:rsidRPr="00D91D98">
        <w:t xml:space="preserve"> manufacturers </w:t>
      </w:r>
      <w:r w:rsidR="001E5A34" w:rsidRPr="00D91D98">
        <w:t>expect</w:t>
      </w:r>
      <w:r w:rsidR="00C36DA7" w:rsidRPr="00D91D98">
        <w:t xml:space="preserve"> </w:t>
      </w:r>
      <w:r w:rsidR="00D76077" w:rsidRPr="00D91D98">
        <w:t xml:space="preserve">higher number of orders in 2025. However, close to 80% still </w:t>
      </w:r>
      <w:r w:rsidR="00A31FC2" w:rsidRPr="00D91D98">
        <w:t>anticipate</w:t>
      </w:r>
      <w:r w:rsidR="00D76077" w:rsidRPr="00D91D98">
        <w:t xml:space="preserve"> the same tight labor conditions from 2024.</w:t>
      </w:r>
    </w:p>
    <w:p w14:paraId="4A6F47EE" w14:textId="64A69FC2" w:rsidR="00AB04CF" w:rsidRPr="00D91D98" w:rsidRDefault="003F62BE" w:rsidP="003F62BE">
      <w:pPr>
        <w:spacing w:after="0" w:line="240" w:lineRule="auto"/>
      </w:pPr>
      <w:r>
        <w:br/>
      </w:r>
      <w:r w:rsidR="001873F4">
        <w:rPr>
          <w:rStyle w:val="Heading2Char"/>
          <w:b/>
        </w:rPr>
        <w:t>The Manufacturing Industry in 202</w:t>
      </w:r>
      <w:r w:rsidR="00A31FC2">
        <w:rPr>
          <w:rStyle w:val="Heading2Char"/>
          <w:b/>
        </w:rPr>
        <w:t>4</w:t>
      </w:r>
      <w:r w:rsidR="00855892" w:rsidRPr="003F62BE">
        <w:rPr>
          <w:rStyle w:val="Heading2Char"/>
        </w:rPr>
        <w:br/>
      </w:r>
      <w:r w:rsidR="00937AC5" w:rsidRPr="00D91D98">
        <w:t>Compared to 202</w:t>
      </w:r>
      <w:r w:rsidR="00AB04CF" w:rsidRPr="00D91D98">
        <w:t>3</w:t>
      </w:r>
      <w:r w:rsidR="00937AC5" w:rsidRPr="00D91D98">
        <w:t xml:space="preserve">, </w:t>
      </w:r>
      <w:r w:rsidR="000E1E86" w:rsidRPr="00D91D98">
        <w:t xml:space="preserve">respondents experienced </w:t>
      </w:r>
      <w:r w:rsidR="00AF1833" w:rsidRPr="00D91D98">
        <w:t>d</w:t>
      </w:r>
      <w:r w:rsidR="00F05B94" w:rsidRPr="00D91D98">
        <w:t>eclining</w:t>
      </w:r>
      <w:r w:rsidR="009A0E36" w:rsidRPr="00D91D98">
        <w:t xml:space="preserve"> </w:t>
      </w:r>
      <w:r w:rsidR="00AF1833" w:rsidRPr="00D91D98">
        <w:t xml:space="preserve">or unchanged </w:t>
      </w:r>
      <w:r w:rsidR="005A3847" w:rsidRPr="00D91D98">
        <w:t>conditions</w:t>
      </w:r>
      <w:r w:rsidR="006449F7" w:rsidRPr="00D91D98">
        <w:t xml:space="preserve">. </w:t>
      </w:r>
      <w:r w:rsidR="00F05B94" w:rsidRPr="00D91D98">
        <w:t>Most diffusion ind</w:t>
      </w:r>
      <w:r w:rsidR="00F62F57" w:rsidRPr="00D91D98">
        <w:t>ex</w:t>
      </w:r>
      <w:r w:rsidR="00F05B94" w:rsidRPr="00D91D98">
        <w:t>es were below 50, indicating contraction</w:t>
      </w:r>
      <w:r w:rsidR="007E38D6" w:rsidRPr="00D91D98">
        <w:t xml:space="preserve">, particularly </w:t>
      </w:r>
      <w:r w:rsidR="00AF1833" w:rsidRPr="00D91D98">
        <w:t xml:space="preserve">for </w:t>
      </w:r>
      <w:r w:rsidR="007E38D6" w:rsidRPr="00D91D98">
        <w:t>profits</w:t>
      </w:r>
      <w:r w:rsidR="00AF1833" w:rsidRPr="00D91D98">
        <w:t xml:space="preserve"> </w:t>
      </w:r>
      <w:r w:rsidR="00F5365E" w:rsidRPr="00D91D98">
        <w:t xml:space="preserve">(34) </w:t>
      </w:r>
      <w:r w:rsidR="00AF1833" w:rsidRPr="00D91D98">
        <w:t>and number of orders</w:t>
      </w:r>
      <w:r w:rsidR="00F5365E" w:rsidRPr="00D91D98">
        <w:t xml:space="preserve"> (35)</w:t>
      </w:r>
      <w:r w:rsidR="000B4888">
        <w:t xml:space="preserve"> (</w:t>
      </w:r>
      <w:r w:rsidR="00BB3024" w:rsidRPr="00D91D98">
        <w:t>C</w:t>
      </w:r>
      <w:r w:rsidR="00AF1833" w:rsidRPr="00D91D98">
        <w:t>hart 1</w:t>
      </w:r>
      <w:r w:rsidR="000B4888">
        <w:t>)</w:t>
      </w:r>
      <w:r w:rsidR="00AF1833" w:rsidRPr="00D91D98">
        <w:t xml:space="preserve">. </w:t>
      </w:r>
    </w:p>
    <w:p w14:paraId="40E3711A" w14:textId="77777777" w:rsidR="00AB04CF" w:rsidRPr="00D91D98" w:rsidRDefault="00AB04CF" w:rsidP="003F62BE">
      <w:pPr>
        <w:spacing w:after="0" w:line="240" w:lineRule="auto"/>
      </w:pPr>
    </w:p>
    <w:p w14:paraId="79D6C7B4" w14:textId="00934BD2" w:rsidR="00D304C7" w:rsidRPr="004F254E" w:rsidRDefault="00F5365E" w:rsidP="003F62BE">
      <w:pPr>
        <w:spacing w:after="0" w:line="240" w:lineRule="auto"/>
        <w:rPr>
          <w:color w:val="1F4E79" w:themeColor="accent1" w:themeShade="80"/>
        </w:rPr>
      </w:pPr>
      <w:r w:rsidRPr="00D91D98">
        <w:t>Sixty-one</w:t>
      </w:r>
      <w:r w:rsidR="00FB2673" w:rsidRPr="00D91D98">
        <w:t xml:space="preserve"> percent</w:t>
      </w:r>
      <w:r w:rsidR="00C36DA7" w:rsidRPr="00D91D98">
        <w:t xml:space="preserve"> of respondents indicated they experienced </w:t>
      </w:r>
      <w:r w:rsidRPr="00D91D98">
        <w:t>unchanged labor availability</w:t>
      </w:r>
      <w:r w:rsidR="00C36DA7" w:rsidRPr="00D91D98">
        <w:t xml:space="preserve"> while 5</w:t>
      </w:r>
      <w:r w:rsidRPr="00D91D98">
        <w:t>6</w:t>
      </w:r>
      <w:r w:rsidR="00C36DA7" w:rsidRPr="00D91D98">
        <w:t xml:space="preserve">% reported the same production level. </w:t>
      </w:r>
      <w:r w:rsidRPr="00D91D98">
        <w:t xml:space="preserve"> Close </w:t>
      </w:r>
      <w:r w:rsidR="0072747A" w:rsidRPr="00D91D98">
        <w:t>30% of</w:t>
      </w:r>
      <w:r w:rsidR="00C36DA7" w:rsidRPr="00D91D98">
        <w:t xml:space="preserve"> respondents indicated an increase in investment, resulting in a diffusion </w:t>
      </w:r>
      <w:r w:rsidR="00F05B94" w:rsidRPr="00D91D98">
        <w:t>index of 53, suggesting modest expansion</w:t>
      </w:r>
      <w:r w:rsidR="00E06AA3" w:rsidRPr="00D91D98">
        <w:t>.</w:t>
      </w:r>
      <w:r w:rsidR="00E40D08" w:rsidRPr="00D91D98">
        <w:t xml:space="preserve"> </w:t>
      </w:r>
      <w:r w:rsidR="00E06AA3" w:rsidRPr="00D91D98">
        <w:t xml:space="preserve"> </w:t>
      </w:r>
      <w:r w:rsidRPr="00D91D98">
        <w:t>S</w:t>
      </w:r>
      <w:r w:rsidR="00AF1833" w:rsidRPr="00D91D98">
        <w:t xml:space="preserve">elling prices produced a diffusion index of </w:t>
      </w:r>
      <w:r w:rsidRPr="00D91D98">
        <w:t>69</w:t>
      </w:r>
      <w:r w:rsidR="00AF1833" w:rsidRPr="00D91D98">
        <w:t xml:space="preserve">, </w:t>
      </w:r>
      <w:r w:rsidRPr="00D91D98">
        <w:t xml:space="preserve">lower than the index of 74 the previous year, </w:t>
      </w:r>
      <w:r w:rsidR="00AF1833" w:rsidRPr="00D91D98">
        <w:t xml:space="preserve">indicating </w:t>
      </w:r>
      <w:r w:rsidR="00193751" w:rsidRPr="00D91D98">
        <w:t xml:space="preserve">a slightly </w:t>
      </w:r>
      <w:r w:rsidRPr="00D91D98">
        <w:t>lower</w:t>
      </w:r>
      <w:r w:rsidR="00AF1833" w:rsidRPr="00D91D98">
        <w:t xml:space="preserve"> inflation</w:t>
      </w:r>
      <w:r w:rsidR="000B4888">
        <w:t xml:space="preserve"> (</w:t>
      </w:r>
      <w:r w:rsidR="00BB3024" w:rsidRPr="00D91D98">
        <w:t>C</w:t>
      </w:r>
      <w:r w:rsidR="00F30929" w:rsidRPr="00D91D98">
        <w:t>hart</w:t>
      </w:r>
      <w:r w:rsidR="00DF526E" w:rsidRPr="00D91D98">
        <w:t xml:space="preserve"> 1</w:t>
      </w:r>
      <w:r w:rsidR="000B4888">
        <w:t>)</w:t>
      </w:r>
      <w:r w:rsidR="00AF1833" w:rsidRPr="00D91D98">
        <w:t>.</w:t>
      </w:r>
      <w:r w:rsidR="00AF1833" w:rsidRPr="004F254E">
        <w:rPr>
          <w:color w:val="1F4E79" w:themeColor="accent1" w:themeShade="80"/>
        </w:rPr>
        <w:br/>
      </w:r>
    </w:p>
    <w:p w14:paraId="4A11052A" w14:textId="4CF6C858" w:rsidR="00AB6F70" w:rsidRDefault="00855A77" w:rsidP="003F62BE">
      <w:pPr>
        <w:spacing w:after="0" w:line="240" w:lineRule="auto"/>
      </w:pPr>
      <w:r>
        <w:rPr>
          <w:noProof/>
        </w:rPr>
        <w:drawing>
          <wp:inline distT="0" distB="0" distL="0" distR="0" wp14:anchorId="3270C5D1" wp14:editId="3B6AFE64">
            <wp:extent cx="3145155" cy="1909268"/>
            <wp:effectExtent l="0" t="0" r="17145" b="15240"/>
            <wp:docPr id="1" name="Chart 1" descr="Chart1: Economic Performance for Minnesota Manufacturing Businesses, 2023.&#10;Chart indicating contraction for orders (diffusion index=37), contraction for production level (diffusion index=44), contraction for employment level  (diffusion index: 45), contraction for labor availability (diffusion index=36); mild expansion for investment (diffusion index= 53), expansion for selling prices (diffusion index=74), contraction for profits (diffusion index=33), contraction for productivity (diffusion index= 48) and contraction for exports (diffusion index=44).">
              <a:extLst xmlns:a="http://schemas.openxmlformats.org/drawingml/2006/main">
                <a:ext uri="{FF2B5EF4-FFF2-40B4-BE49-F238E27FC236}">
                  <a16:creationId xmlns:a16="http://schemas.microsoft.com/office/drawing/2014/main" id="{453668DD-5FA4-5935-7904-AF7A14838C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1215A7">
        <w:t xml:space="preserve"> </w:t>
      </w:r>
    </w:p>
    <w:p w14:paraId="10495EA6" w14:textId="307AEA24" w:rsidR="0071048E" w:rsidRPr="00A31D9F" w:rsidRDefault="00A31D9F" w:rsidP="00A31D9F">
      <w:pPr>
        <w:rPr>
          <w:rStyle w:val="Heading2Char"/>
          <w:b/>
        </w:rPr>
      </w:pPr>
      <w:r>
        <w:rPr>
          <w:sz w:val="14"/>
          <w:szCs w:val="14"/>
        </w:rPr>
        <w:t>*</w:t>
      </w:r>
      <w:r w:rsidRPr="00A31D9F">
        <w:rPr>
          <w:sz w:val="14"/>
          <w:szCs w:val="14"/>
        </w:rPr>
        <w:t>A diffusion index greater than 50 indicates expansion, lower than 50 indicates contraction.</w:t>
      </w:r>
    </w:p>
    <w:p w14:paraId="1B13B36E" w14:textId="77777777" w:rsidR="00F76002" w:rsidRDefault="00A7507C" w:rsidP="00D11E9C">
      <w:r w:rsidRPr="00FF5EB2">
        <w:rPr>
          <w:rStyle w:val="Heading2Char"/>
          <w:b/>
        </w:rPr>
        <w:t>Outlook for the Manufacturing Industry</w:t>
      </w:r>
      <w:r w:rsidR="003368D3" w:rsidRPr="00FF5EB2">
        <w:rPr>
          <w:rStyle w:val="Heading2Char"/>
          <w:b/>
        </w:rPr>
        <w:br/>
      </w:r>
      <w:r w:rsidR="00A97B35" w:rsidRPr="00D91D98">
        <w:t xml:space="preserve">Improvement is expected in 2025 although labor market tightening is still expected. </w:t>
      </w:r>
      <w:r w:rsidR="00D11E9C" w:rsidRPr="00D91D98">
        <w:t xml:space="preserve">The diffusion index for </w:t>
      </w:r>
      <w:r w:rsidR="008A289C" w:rsidRPr="00D91D98">
        <w:t xml:space="preserve">labor availability of 51 </w:t>
      </w:r>
      <w:r w:rsidR="00C22885" w:rsidRPr="00D91D98">
        <w:t>(</w:t>
      </w:r>
      <w:r w:rsidR="00187FA1" w:rsidRPr="00D91D98">
        <w:t xml:space="preserve">expansion) </w:t>
      </w:r>
      <w:r w:rsidR="008A289C" w:rsidRPr="00D91D98">
        <w:t xml:space="preserve">surpassed the index of </w:t>
      </w:r>
      <w:r w:rsidR="00D11E9C" w:rsidRPr="00D91D98">
        <w:t xml:space="preserve"> 44</w:t>
      </w:r>
      <w:r w:rsidR="008A289C" w:rsidRPr="00D91D98">
        <w:t xml:space="preserve"> </w:t>
      </w:r>
      <w:r w:rsidR="00187FA1" w:rsidRPr="00D91D98">
        <w:t xml:space="preserve">(contraction) </w:t>
      </w:r>
      <w:r w:rsidR="008A289C" w:rsidRPr="00D91D98">
        <w:t>from the previous year</w:t>
      </w:r>
      <w:r w:rsidR="00D11E9C" w:rsidRPr="00D91D98">
        <w:t xml:space="preserve">. </w:t>
      </w:r>
    </w:p>
    <w:p w14:paraId="3657B649" w14:textId="34617D61" w:rsidR="00D11E9C" w:rsidRPr="00D91D98" w:rsidRDefault="00793695" w:rsidP="00D11E9C">
      <w:r w:rsidRPr="00D91D98">
        <w:t xml:space="preserve">Employment level is also expected to improve with a diffusion index of 60, greater </w:t>
      </w:r>
      <w:r w:rsidR="00074F5D" w:rsidRPr="00D91D98">
        <w:t xml:space="preserve">than </w:t>
      </w:r>
      <w:r w:rsidRPr="00D91D98">
        <w:t>the index of 50 the year</w:t>
      </w:r>
      <w:r w:rsidR="00074F5D" w:rsidRPr="00D91D98">
        <w:t xml:space="preserve"> before</w:t>
      </w:r>
      <w:r w:rsidRPr="00D91D98">
        <w:t xml:space="preserve">. </w:t>
      </w:r>
      <w:r w:rsidR="008A289C" w:rsidRPr="00D91D98">
        <w:t xml:space="preserve">However, this improvement comes with a price. About 70% </w:t>
      </w:r>
      <w:r w:rsidR="00D11E9C" w:rsidRPr="00D91D98">
        <w:t xml:space="preserve">of respondents </w:t>
      </w:r>
      <w:r w:rsidRPr="00D91D98">
        <w:t>anticipate</w:t>
      </w:r>
      <w:r w:rsidR="00D11E9C" w:rsidRPr="00D91D98">
        <w:t xml:space="preserve"> wages </w:t>
      </w:r>
      <w:r w:rsidR="00325C47" w:rsidRPr="00D91D98">
        <w:t>increases of</w:t>
      </w:r>
      <w:r w:rsidR="00F62F57" w:rsidRPr="00D91D98">
        <w:t xml:space="preserve"> </w:t>
      </w:r>
      <w:r w:rsidR="00FB2673" w:rsidRPr="00D91D98">
        <w:t>at least 3% to attract and retain workers</w:t>
      </w:r>
      <w:r w:rsidR="00DF526E" w:rsidRPr="00D91D98">
        <w:t xml:space="preserve"> </w:t>
      </w:r>
      <w:r w:rsidR="00F30929" w:rsidRPr="00D91D98">
        <w:t>(</w:t>
      </w:r>
      <w:r w:rsidR="00DF526E" w:rsidRPr="00D91D98">
        <w:t>Table 1)</w:t>
      </w:r>
      <w:r w:rsidR="00D11E9C" w:rsidRPr="00D91D98">
        <w:t>.</w:t>
      </w:r>
    </w:p>
    <w:p w14:paraId="4619C90F" w14:textId="3CB2B657" w:rsidR="00AC628A" w:rsidRPr="00D91D98" w:rsidRDefault="00EE3CA8" w:rsidP="00A66699">
      <w:r w:rsidRPr="00D91D98">
        <w:t>Results</w:t>
      </w:r>
      <w:r w:rsidR="00E32536" w:rsidRPr="00D91D98">
        <w:t xml:space="preserve"> for </w:t>
      </w:r>
      <w:r w:rsidR="00D11E9C" w:rsidRPr="00D91D98">
        <w:t>other</w:t>
      </w:r>
      <w:r w:rsidR="00E32536" w:rsidRPr="00D91D98">
        <w:t xml:space="preserve"> metrics </w:t>
      </w:r>
      <w:r w:rsidR="00F30929" w:rsidRPr="00D91D98">
        <w:t>show</w:t>
      </w:r>
      <w:r w:rsidRPr="00D91D98">
        <w:t xml:space="preserve"> </w:t>
      </w:r>
      <w:r w:rsidR="00325C47" w:rsidRPr="00D91D98">
        <w:t>optimism</w:t>
      </w:r>
      <w:r w:rsidR="00187FA1" w:rsidRPr="00D91D98">
        <w:t xml:space="preserve"> for </w:t>
      </w:r>
      <w:r w:rsidR="008C4339" w:rsidRPr="00D91D98">
        <w:t>the coming year</w:t>
      </w:r>
      <w:r w:rsidR="00E32536" w:rsidRPr="00D91D98">
        <w:t xml:space="preserve">. </w:t>
      </w:r>
      <w:r w:rsidR="00325C47" w:rsidRPr="00D91D98">
        <w:t>All diffusion indexes are above 50 indicating expansion</w:t>
      </w:r>
      <w:r w:rsidR="00BE03E4">
        <w:t>.</w:t>
      </w:r>
      <w:r w:rsidR="00325C47" w:rsidRPr="00D91D98">
        <w:t xml:space="preserve"> </w:t>
      </w:r>
      <w:r w:rsidR="00AC628A">
        <w:t>In particular,</w:t>
      </w:r>
      <w:r w:rsidR="008859C9">
        <w:t xml:space="preserve"> close to</w:t>
      </w:r>
      <w:r w:rsidR="00AC628A" w:rsidRPr="00AC628A">
        <w:t xml:space="preserve"> half of the respondents anticipate a rise in</w:t>
      </w:r>
      <w:r w:rsidR="008859C9">
        <w:t xml:space="preserve"> number of orders</w:t>
      </w:r>
      <w:r w:rsidR="00AC628A" w:rsidRPr="00AC628A">
        <w:t xml:space="preserve">, yielding a diffusion index of 68. </w:t>
      </w:r>
      <w:r w:rsidR="008859C9">
        <w:t>E</w:t>
      </w:r>
      <w:r w:rsidR="00AC628A" w:rsidRPr="00AC628A">
        <w:t xml:space="preserve">xpectations for production levels </w:t>
      </w:r>
      <w:r w:rsidR="00AC628A">
        <w:t>have an index of</w:t>
      </w:r>
      <w:r w:rsidR="00AC628A" w:rsidRPr="00AC628A">
        <w:t xml:space="preserve"> 63</w:t>
      </w:r>
      <w:r w:rsidR="00AC628A">
        <w:t>;</w:t>
      </w:r>
      <w:r w:rsidR="00AC628A" w:rsidRPr="00AC628A">
        <w:t xml:space="preserve"> investment in plant and equipment</w:t>
      </w:r>
      <w:r w:rsidR="00AC628A">
        <w:t>,</w:t>
      </w:r>
      <w:r w:rsidR="00AC628A" w:rsidRPr="00AC628A">
        <w:t xml:space="preserve"> 58</w:t>
      </w:r>
      <w:r w:rsidR="00AC628A">
        <w:t xml:space="preserve">; </w:t>
      </w:r>
      <w:r w:rsidR="00AC628A" w:rsidRPr="00AC628A">
        <w:t>profits</w:t>
      </w:r>
      <w:r w:rsidR="00AC628A">
        <w:t>,</w:t>
      </w:r>
      <w:r w:rsidR="00AC628A" w:rsidRPr="00AC628A">
        <w:t xml:space="preserve"> 61</w:t>
      </w:r>
      <w:r w:rsidR="00AC628A">
        <w:t>;</w:t>
      </w:r>
      <w:r w:rsidR="00AC628A" w:rsidRPr="00AC628A">
        <w:t xml:space="preserve"> and productivity</w:t>
      </w:r>
      <w:r w:rsidR="00AC628A">
        <w:t xml:space="preserve">, </w:t>
      </w:r>
      <w:r w:rsidR="00AC628A" w:rsidRPr="00AC628A">
        <w:t>67.</w:t>
      </w:r>
    </w:p>
    <w:p w14:paraId="3C0F6910" w14:textId="1AC2E833" w:rsidR="00CB586B" w:rsidRPr="007D36A3" w:rsidRDefault="00DF475B" w:rsidP="00A66699">
      <w:pPr>
        <w:rPr>
          <w:rStyle w:val="Heading2Char"/>
          <w:b/>
        </w:rPr>
      </w:pPr>
      <w:r>
        <w:rPr>
          <w:noProof/>
        </w:rPr>
        <w:drawing>
          <wp:inline distT="0" distB="0" distL="0" distR="0" wp14:anchorId="2E90988F" wp14:editId="286A6D76">
            <wp:extent cx="3145155" cy="1909268"/>
            <wp:effectExtent l="0" t="0" r="17145" b="15240"/>
            <wp:docPr id="2" name="Chart 2" descr="Chart 2: Outlook Economic Performance for Minnesota's Manufacturing Businesses - 2024.&#10;Chart indicating mild expansion  for orders (diffusion index=51), mild expansion for production level (diffusion index=53), unchanged conditions for for employment level  (diffusion index: 50), contraction for labor availability (diffusion index=44); contraction for investment (diffusion index= 46), expansion for selling prices (diffusion index=60), mild expansion for profits (diffusion index=56), mild expansion for productivity (diffusion index= 57) and contraction for exports (diffusion index=47).">
              <a:extLst xmlns:a="http://schemas.openxmlformats.org/drawingml/2006/main">
                <a:ext uri="{FF2B5EF4-FFF2-40B4-BE49-F238E27FC236}">
                  <a16:creationId xmlns:a16="http://schemas.microsoft.com/office/drawing/2014/main" id="{453668DD-5FA4-5935-7904-AF7A14838C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7D36A3">
        <w:rPr>
          <w:rStyle w:val="Heading2Char"/>
          <w:rFonts w:asciiTheme="minorHAnsi" w:eastAsiaTheme="minorHAnsi" w:hAnsiTheme="minorHAnsi" w:cstheme="minorBidi"/>
          <w:color w:val="auto"/>
          <w:sz w:val="22"/>
          <w:szCs w:val="22"/>
        </w:rPr>
        <w:br/>
      </w:r>
      <w:r w:rsidR="007D36A3">
        <w:rPr>
          <w:sz w:val="14"/>
          <w:szCs w:val="14"/>
        </w:rPr>
        <w:t>*</w:t>
      </w:r>
      <w:r w:rsidR="007D36A3" w:rsidRPr="00A31D9F">
        <w:rPr>
          <w:sz w:val="14"/>
          <w:szCs w:val="14"/>
        </w:rPr>
        <w:t>A diffusion index greater than 50 indicates expansion, lower than 50 indicates contraction.</w:t>
      </w:r>
    </w:p>
    <w:p w14:paraId="03D5B47C" w14:textId="77777777" w:rsidR="00742D62" w:rsidRDefault="00742D62" w:rsidP="00742D62">
      <w:pPr>
        <w:rPr>
          <w:rStyle w:val="Heading2Char"/>
          <w:b/>
        </w:rPr>
      </w:pPr>
    </w:p>
    <w:p w14:paraId="1BB05DF7" w14:textId="0602B69A" w:rsidR="00742D62" w:rsidRPr="00742D62" w:rsidRDefault="00A66699" w:rsidP="00742D62">
      <w:pP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r w:rsidRPr="00D60273">
        <w:rPr>
          <w:rStyle w:val="Heading2Char"/>
          <w:b/>
        </w:rPr>
        <w:lastRenderedPageBreak/>
        <w:t>Outlook on the State Economy</w:t>
      </w:r>
      <w:r w:rsidR="00742D62">
        <w:rPr>
          <w:rStyle w:val="Heading2Char"/>
          <w:b/>
        </w:rPr>
        <w:br/>
      </w:r>
      <w:r w:rsidR="00742D62" w:rsidRPr="00742D62">
        <w:t xml:space="preserve">Manufacturers generally foresee stable or improved conditions for the state's economy. Specifically, 43% anticipate no change in economic growth, while 33% expect an increase, yielding a diffusion index of 55 (expansion). This marks a notable improvement over the previous year's index of 33 (contraction). Both business investment and employment </w:t>
      </w:r>
      <w:r w:rsidR="00C26663">
        <w:t>have</w:t>
      </w:r>
      <w:r w:rsidR="00742D62" w:rsidRPr="00742D62">
        <w:t xml:space="preserve"> diffusion indexes of 52 (expansion), significantly surpassing</w:t>
      </w:r>
      <w:r w:rsidR="000B4888">
        <w:t xml:space="preserve"> last year’s </w:t>
      </w:r>
      <w:r w:rsidR="00742D62" w:rsidRPr="00742D62">
        <w:t xml:space="preserve"> indexes of 40 and 42, respectively</w:t>
      </w:r>
      <w:r w:rsidR="00366ED6">
        <w:t xml:space="preserve">  </w:t>
      </w:r>
      <w:r w:rsidR="00742D62" w:rsidRPr="00742D62">
        <w:t>. Additionally, the diffusion index for corporate profits has risen from 35 (contraction) last year to 50 (the neutral threshold).</w:t>
      </w:r>
    </w:p>
    <w:p w14:paraId="58118E4B" w14:textId="77777777" w:rsidR="00742D62" w:rsidRPr="00742D62" w:rsidRDefault="00742D62" w:rsidP="00742D62"/>
    <w:p w14:paraId="787BBA7C" w14:textId="77777777" w:rsidR="00C26663" w:rsidRDefault="00742D62" w:rsidP="00742D62">
      <w:r w:rsidRPr="00742D62">
        <w:t>However, consumer spending remains a concern, as 44% of respondents expect conditions to remain unchanged and 33% anticipate a decrease, leading to a diffusion index of 45, which suggests ongoing contraction.</w:t>
      </w:r>
      <w:r>
        <w:t xml:space="preserve"> </w:t>
      </w:r>
    </w:p>
    <w:p w14:paraId="67B84B1C" w14:textId="67862CD7" w:rsidR="0070287B" w:rsidRPr="00742D62" w:rsidRDefault="00742D62" w:rsidP="00742D62">
      <w:pPr>
        <w:sectPr w:rsidR="0070287B" w:rsidRPr="00742D62" w:rsidSect="009B07B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742D62">
        <w:t xml:space="preserve">A new question regarding automation revealed that </w:t>
      </w:r>
      <w:r w:rsidR="00A37B68">
        <w:t>over 50%</w:t>
      </w:r>
      <w:r w:rsidRPr="00742D62">
        <w:t xml:space="preserve"> of respondents did not experience an increase in automation over the past year.</w:t>
      </w:r>
      <w:r>
        <w:t xml:space="preserve">  </w:t>
      </w:r>
      <w:r w:rsidR="00A37B68">
        <w:t>Nonetheless, 30%</w:t>
      </w:r>
      <w:r w:rsidR="008226A6">
        <w:t xml:space="preserve"> </w:t>
      </w:r>
      <w:r w:rsidRPr="00742D62">
        <w:t xml:space="preserve">indicated that they had adopted more automation to address labor shortages, while 27% </w:t>
      </w:r>
      <w:r w:rsidR="00395B45">
        <w:t xml:space="preserve">did so </w:t>
      </w:r>
      <w:r w:rsidRPr="00742D62">
        <w:t>to reduce labor cost</w:t>
      </w:r>
      <w:r>
        <w:t>.</w:t>
      </w:r>
    </w:p>
    <w:p w14:paraId="625CC051" w14:textId="462A8D67" w:rsidR="00F069A3" w:rsidRDefault="00DF526E" w:rsidP="00EE216E">
      <w:pPr>
        <w:pStyle w:val="Title"/>
        <w:rPr>
          <w:b/>
          <w:color w:val="2E74B5" w:themeColor="accent1" w:themeShade="BF"/>
          <w:sz w:val="22"/>
          <w:szCs w:val="22"/>
        </w:rPr>
      </w:pPr>
      <w:r>
        <w:rPr>
          <w:b/>
          <w:color w:val="2E74B5" w:themeColor="accent1" w:themeShade="BF"/>
          <w:sz w:val="22"/>
          <w:szCs w:val="22"/>
        </w:rPr>
        <w:t xml:space="preserve">Table 1- </w:t>
      </w:r>
      <w:r w:rsidR="00F069A3">
        <w:rPr>
          <w:b/>
          <w:color w:val="2E74B5" w:themeColor="accent1" w:themeShade="BF"/>
          <w:sz w:val="22"/>
          <w:szCs w:val="22"/>
        </w:rPr>
        <w:t>Minnesota 202</w:t>
      </w:r>
      <w:r w:rsidR="003925F0">
        <w:rPr>
          <w:b/>
          <w:color w:val="2E74B5" w:themeColor="accent1" w:themeShade="BF"/>
          <w:sz w:val="22"/>
          <w:szCs w:val="22"/>
        </w:rPr>
        <w:t>4</w:t>
      </w:r>
      <w:r w:rsidR="00F069A3">
        <w:rPr>
          <w:b/>
          <w:color w:val="2E74B5" w:themeColor="accent1" w:themeShade="BF"/>
          <w:sz w:val="22"/>
          <w:szCs w:val="22"/>
        </w:rPr>
        <w:t xml:space="preserve"> Manufacturing Business </w:t>
      </w:r>
      <w:r w:rsidR="00F069A3" w:rsidRPr="00D60273">
        <w:rPr>
          <w:b/>
          <w:color w:val="2E74B5" w:themeColor="accent1" w:themeShade="BF"/>
          <w:sz w:val="22"/>
          <w:szCs w:val="22"/>
        </w:rPr>
        <w:t>Condition Survey Results</w:t>
      </w:r>
    </w:p>
    <w:tbl>
      <w:tblPr>
        <w:tblStyle w:val="PlainTable5"/>
        <w:tblW w:w="10800" w:type="dxa"/>
        <w:jc w:val="center"/>
        <w:tblLayout w:type="fixed"/>
        <w:tblLook w:val="0620" w:firstRow="1" w:lastRow="0" w:firstColumn="0" w:lastColumn="0" w:noHBand="1" w:noVBand="1"/>
        <w:tblCaption w:val="Business Comparison Indicators: 2014-2015"/>
        <w:tblDescription w:val="Table coparing business indicators between 2014 and 2015."/>
      </w:tblPr>
      <w:tblGrid>
        <w:gridCol w:w="3775"/>
        <w:gridCol w:w="1405"/>
        <w:gridCol w:w="1405"/>
        <w:gridCol w:w="1405"/>
        <w:gridCol w:w="1405"/>
        <w:gridCol w:w="1405"/>
      </w:tblGrid>
      <w:tr w:rsidR="00F7064F" w:rsidRPr="00623BC4" w14:paraId="35654438" w14:textId="77777777" w:rsidTr="00F7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hideMark/>
          </w:tcPr>
          <w:p w14:paraId="68F7DDE2" w14:textId="54734515" w:rsidR="00F7064F" w:rsidRPr="000A28AD" w:rsidRDefault="00F7064F" w:rsidP="00855A77">
            <w:pP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Compared to 202</w:t>
            </w:r>
            <w:r w:rsidR="003925F0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3</w:t>
            </w: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, in 202</w:t>
            </w:r>
            <w:r w:rsidR="003925F0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4</w:t>
            </w: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, your location’s</w:t>
            </w: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hideMark/>
          </w:tcPr>
          <w:p w14:paraId="08080A89" w14:textId="77777777" w:rsidR="00F7064F" w:rsidRPr="000A28AD" w:rsidRDefault="00F7064F" w:rsidP="00855A7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Up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hideMark/>
          </w:tcPr>
          <w:p w14:paraId="3788DEAB" w14:textId="77777777" w:rsidR="00F7064F" w:rsidRPr="000A28AD" w:rsidRDefault="00F7064F" w:rsidP="00855A7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Same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hideMark/>
          </w:tcPr>
          <w:p w14:paraId="18D3291B" w14:textId="77777777" w:rsidR="00F7064F" w:rsidRPr="000A28AD" w:rsidRDefault="00F7064F" w:rsidP="00855A7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Down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81EC8D" w14:textId="0E48A014" w:rsidR="00F7064F" w:rsidRPr="00A45FA5" w:rsidRDefault="00F7064F" w:rsidP="00855A77">
            <w:pPr>
              <w:jc w:val="center"/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A45FA5"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 xml:space="preserve">Diffusion Index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202</w:t>
            </w:r>
            <w:r w:rsidR="003925F0"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4</w:t>
            </w: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6A0D73B" w14:textId="77AE28DE" w:rsidR="00F7064F" w:rsidRPr="000A28AD" w:rsidRDefault="00F7064F" w:rsidP="00855A77">
            <w:pPr>
              <w:jc w:val="center"/>
              <w:rPr>
                <w:rFonts w:eastAsia="Times New Roman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A45FA5"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 xml:space="preserve">Diffusion Index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202</w:t>
            </w:r>
            <w:r w:rsidR="003925F0"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3</w:t>
            </w: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F7064F" w:rsidRPr="00F842B5" w14:paraId="7E9AFCD6" w14:textId="77777777" w:rsidTr="00F7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6E36D" w14:textId="77777777" w:rsidR="00F7064F" w:rsidRPr="00F842B5" w:rsidRDefault="00F7064F" w:rsidP="00855A77">
            <w:pPr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Number of orders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F803A" w14:textId="36BE54CA" w:rsidR="00F7064F" w:rsidRPr="00F842B5" w:rsidRDefault="00F7064F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2</w:t>
            </w:r>
            <w:r w:rsidR="003925F0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3</w:t>
            </w: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6EA50" w14:textId="0BB121D1" w:rsidR="00F7064F" w:rsidRPr="00F842B5" w:rsidRDefault="003925F0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24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7F694" w14:textId="17F6FC2F" w:rsidR="00F7064F" w:rsidRPr="00F842B5" w:rsidRDefault="00F7064F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5</w:t>
            </w:r>
            <w:r w:rsidR="003925F0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3</w:t>
            </w: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50F3" w14:textId="3AE3E9C1" w:rsidR="00F7064F" w:rsidRPr="00F842B5" w:rsidRDefault="00F7064F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3</w:t>
            </w:r>
            <w:r w:rsidR="003925F0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8BD" w14:textId="666EE08F" w:rsidR="00F7064F" w:rsidRPr="00F842B5" w:rsidRDefault="003925F0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37</w:t>
            </w:r>
          </w:p>
        </w:tc>
      </w:tr>
      <w:tr w:rsidR="00F7064F" w:rsidRPr="00F842B5" w14:paraId="12AD5AAC" w14:textId="77777777" w:rsidTr="00F7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2A8A9" w14:textId="77777777" w:rsidR="00F7064F" w:rsidRPr="00F842B5" w:rsidRDefault="00F7064F" w:rsidP="00855A77">
            <w:pPr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Product/service production level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D2C3F" w14:textId="76C77458" w:rsidR="00F7064F" w:rsidRPr="00F842B5" w:rsidRDefault="00F7064F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1</w:t>
            </w:r>
            <w:r w:rsidR="003925F0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7</w:t>
            </w: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71FFC" w14:textId="63AA881D" w:rsidR="00F7064F" w:rsidRPr="00F842B5" w:rsidRDefault="00F7064F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5</w:t>
            </w:r>
            <w:r w:rsidR="003925F0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6</w:t>
            </w: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3021B" w14:textId="5AC0B831" w:rsidR="00F7064F" w:rsidRPr="00F842B5" w:rsidRDefault="003925F0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27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FCFA" w14:textId="45DA9CDB" w:rsidR="00F7064F" w:rsidRPr="00F842B5" w:rsidRDefault="00F7064F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4</w:t>
            </w:r>
            <w:r w:rsidR="003925F0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65C3" w14:textId="658682F9" w:rsidR="00F7064F" w:rsidRPr="00F842B5" w:rsidRDefault="003925F0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4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4</w:t>
            </w:r>
          </w:p>
        </w:tc>
      </w:tr>
      <w:tr w:rsidR="00F7064F" w:rsidRPr="00F842B5" w14:paraId="24FFE7CD" w14:textId="77777777" w:rsidTr="00F7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C38DA" w14:textId="77777777" w:rsidR="00F7064F" w:rsidRPr="00F842B5" w:rsidRDefault="00F7064F" w:rsidP="00855A77">
            <w:pPr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Employment level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DB7CB" w14:textId="782DBBE2" w:rsidR="00F7064F" w:rsidRPr="00F842B5" w:rsidRDefault="003925F0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16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0D437" w14:textId="0858404E" w:rsidR="00F7064F" w:rsidRPr="00F842B5" w:rsidRDefault="003925F0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48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A2A5A" w14:textId="28BBDCDC" w:rsidR="00F7064F" w:rsidRPr="00F842B5" w:rsidRDefault="003925F0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36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D2E0" w14:textId="1431A805" w:rsidR="00F7064F" w:rsidRPr="00F842B5" w:rsidRDefault="00F7064F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4</w:t>
            </w:r>
            <w:r w:rsidR="003925F0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9687" w14:textId="5946BA84" w:rsidR="00F7064F" w:rsidRPr="00F842B5" w:rsidRDefault="003925F0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45</w:t>
            </w:r>
          </w:p>
        </w:tc>
      </w:tr>
      <w:tr w:rsidR="00F7064F" w:rsidRPr="00F842B5" w14:paraId="011EFCF4" w14:textId="77777777" w:rsidTr="00F7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63B70" w14:textId="18AF17E2" w:rsidR="00F7064F" w:rsidRPr="00F842B5" w:rsidRDefault="00F7064F" w:rsidP="00855A77">
            <w:pPr>
              <w:rPr>
                <w:rFonts w:asciiTheme="minorHAnsi" w:eastAsia="Times New Roman" w:hAnsiTheme="minorHAnsi" w:cstheme="minorHAnsi"/>
                <w:i w:val="0"/>
                <w:iCs w:val="0"/>
                <w:color w:val="00000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iCs w:val="0"/>
                <w:color w:val="000000"/>
                <w:sz w:val="18"/>
                <w:szCs w:val="18"/>
              </w:rPr>
              <w:t>Labor availability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031891" w14:textId="65D6AC9F" w:rsidR="00F7064F" w:rsidRPr="00F842B5" w:rsidRDefault="00F7064F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1</w:t>
            </w:r>
            <w:r w:rsidR="003925F0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6</w:t>
            </w:r>
            <w:r w:rsidRPr="00F842B5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26D8F" w14:textId="4EE512B9" w:rsidR="00F7064F" w:rsidRPr="00F842B5" w:rsidRDefault="003925F0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61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C1DC97" w14:textId="42A21E59" w:rsidR="00F7064F" w:rsidRPr="00F842B5" w:rsidRDefault="003925F0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23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7E4C" w14:textId="74168259" w:rsidR="00F7064F" w:rsidRPr="00F842B5" w:rsidRDefault="003925F0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47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743B" w14:textId="6F353E75" w:rsidR="00F7064F" w:rsidRPr="00F842B5" w:rsidRDefault="003925F0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36</w:t>
            </w:r>
          </w:p>
        </w:tc>
      </w:tr>
      <w:tr w:rsidR="00F7064F" w:rsidRPr="00F842B5" w14:paraId="2F760F4E" w14:textId="77777777" w:rsidTr="00F7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C72D3" w14:textId="77777777" w:rsidR="00F7064F" w:rsidRPr="00F842B5" w:rsidRDefault="00F7064F" w:rsidP="00855A77">
            <w:pPr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Investment in plant/equipment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DC9D7" w14:textId="71EE36D9" w:rsidR="00F7064F" w:rsidRPr="00F842B5" w:rsidRDefault="003925F0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29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517FE" w14:textId="553C6478" w:rsidR="00F7064F" w:rsidRPr="00F842B5" w:rsidRDefault="00F7064F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4</w:t>
            </w:r>
            <w:r w:rsidR="003925F0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8</w:t>
            </w: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651C6" w14:textId="2B074CA4" w:rsidR="00F7064F" w:rsidRPr="00F842B5" w:rsidRDefault="00F7064F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2</w:t>
            </w:r>
            <w:r w:rsidR="003925F0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4</w:t>
            </w: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3011" w14:textId="5023EF34" w:rsidR="00F7064F" w:rsidRPr="00F842B5" w:rsidRDefault="00F7064F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53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E5E" w14:textId="374079AD" w:rsidR="00F7064F" w:rsidRPr="00F842B5" w:rsidRDefault="003925F0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53</w:t>
            </w:r>
          </w:p>
        </w:tc>
      </w:tr>
      <w:tr w:rsidR="00F7064F" w:rsidRPr="00F842B5" w14:paraId="1CAAD292" w14:textId="77777777" w:rsidTr="00F7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5FD9F" w14:textId="007E8A1C" w:rsidR="00F7064F" w:rsidRPr="00F842B5" w:rsidRDefault="00F7064F" w:rsidP="00855A77">
            <w:pPr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Selling prices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FB83F" w14:textId="651B6F17" w:rsidR="00F7064F" w:rsidRPr="00F842B5" w:rsidRDefault="003925F0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47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C098D" w14:textId="142FED47" w:rsidR="00F7064F" w:rsidRPr="00F842B5" w:rsidRDefault="003925F0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43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736B2" w14:textId="7701E527" w:rsidR="00F7064F" w:rsidRPr="00F842B5" w:rsidRDefault="00F7064F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1</w:t>
            </w:r>
            <w:r w:rsidR="003925F0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0</w:t>
            </w: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BC46" w14:textId="3E1FE3C2" w:rsidR="00F7064F" w:rsidRPr="00F842B5" w:rsidRDefault="003925F0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69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C685" w14:textId="5B5330E2" w:rsidR="00F7064F" w:rsidRPr="00F842B5" w:rsidRDefault="003925F0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74</w:t>
            </w:r>
          </w:p>
        </w:tc>
      </w:tr>
      <w:tr w:rsidR="00F7064F" w:rsidRPr="00F842B5" w14:paraId="45B94BA2" w14:textId="77777777" w:rsidTr="00F7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CE2A2" w14:textId="77777777" w:rsidR="00F7064F" w:rsidRPr="00F842B5" w:rsidRDefault="00F7064F" w:rsidP="00855A77">
            <w:pPr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Profits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F5883" w14:textId="5A75E269" w:rsidR="00F7064F" w:rsidRPr="00F842B5" w:rsidRDefault="00F7064F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1</w:t>
            </w:r>
            <w:r w:rsidR="003925F0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8</w:t>
            </w: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37680" w14:textId="6107B9C1" w:rsidR="00F7064F" w:rsidRPr="00F842B5" w:rsidRDefault="00F7064F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31%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5EF55" w14:textId="6176CD0F" w:rsidR="00F7064F" w:rsidRPr="00F842B5" w:rsidRDefault="00F7064F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5</w:t>
            </w:r>
            <w:r w:rsidR="003925F0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1</w:t>
            </w: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7799" w14:textId="5E62561A" w:rsidR="00F7064F" w:rsidRPr="00F842B5" w:rsidRDefault="00F7064F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3</w:t>
            </w:r>
            <w:r w:rsidR="003925F0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A6B4" w14:textId="3F403AEE" w:rsidR="00F7064F" w:rsidRPr="00F842B5" w:rsidRDefault="003925F0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33</w:t>
            </w:r>
          </w:p>
        </w:tc>
      </w:tr>
      <w:tr w:rsidR="00F7064F" w:rsidRPr="00F842B5" w14:paraId="4000D0F1" w14:textId="77777777" w:rsidTr="00F7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75101" w14:textId="77777777" w:rsidR="00F7064F" w:rsidRPr="00F842B5" w:rsidRDefault="00F7064F" w:rsidP="00855A77">
            <w:pPr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Productivity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B7451" w14:textId="09229E90" w:rsidR="00F7064F" w:rsidRPr="00F842B5" w:rsidRDefault="00F7064F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2</w:t>
            </w:r>
            <w:r w:rsidR="003925F0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2</w:t>
            </w: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A496D" w14:textId="2A646B67" w:rsidR="00F7064F" w:rsidRPr="00F842B5" w:rsidRDefault="00F7064F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5</w:t>
            </w:r>
            <w:r w:rsidR="003925F0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5</w:t>
            </w: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FBA21" w14:textId="658CED31" w:rsidR="00F7064F" w:rsidRPr="00F842B5" w:rsidRDefault="00F7064F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24%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94B4" w14:textId="073F99A6" w:rsidR="00F7064F" w:rsidRPr="00F842B5" w:rsidRDefault="003925F0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3625" w14:textId="25BEE16D" w:rsidR="00F7064F" w:rsidRPr="00F842B5" w:rsidRDefault="003925F0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48</w:t>
            </w:r>
          </w:p>
        </w:tc>
      </w:tr>
      <w:tr w:rsidR="00F7064F" w:rsidRPr="00F842B5" w14:paraId="2F2FA89E" w14:textId="77777777" w:rsidTr="00F7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C71F5" w14:textId="77777777" w:rsidR="00F7064F" w:rsidRPr="00F842B5" w:rsidRDefault="00F7064F" w:rsidP="00855A77">
            <w:pPr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Exports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CBDFD" w14:textId="725D0811" w:rsidR="00F7064F" w:rsidRPr="00F842B5" w:rsidRDefault="003925F0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8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161A8" w14:textId="2FA208D1" w:rsidR="00F7064F" w:rsidRPr="00F842B5" w:rsidRDefault="00F7064F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7</w:t>
            </w:r>
            <w:r w:rsidR="003925F0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4</w:t>
            </w: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C6691" w14:textId="40611C75" w:rsidR="00F7064F" w:rsidRPr="00F842B5" w:rsidRDefault="00F7064F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18%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CD9E" w14:textId="02E6C3DA" w:rsidR="00F7064F" w:rsidRPr="00F842B5" w:rsidRDefault="00F7064F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4</w:t>
            </w:r>
            <w:r w:rsidR="003925F0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E05A" w14:textId="55F2F93B" w:rsidR="00F7064F" w:rsidRPr="00F842B5" w:rsidRDefault="00F7064F" w:rsidP="00855A7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4</w:t>
            </w:r>
            <w:r w:rsidR="003925F0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4</w:t>
            </w:r>
          </w:p>
        </w:tc>
      </w:tr>
    </w:tbl>
    <w:p w14:paraId="159B563A" w14:textId="4B25669F" w:rsidR="003B2FD3" w:rsidRPr="00DF526E" w:rsidRDefault="003B2FD3" w:rsidP="00EE216E">
      <w:pPr>
        <w:spacing w:after="0" w:line="240" w:lineRule="auto"/>
        <w:rPr>
          <w:rFonts w:cstheme="minorHAnsi"/>
          <w:color w:val="FF0000"/>
          <w:sz w:val="10"/>
          <w:szCs w:val="10"/>
        </w:rPr>
      </w:pPr>
    </w:p>
    <w:tbl>
      <w:tblPr>
        <w:tblStyle w:val="PlainTable4"/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omparison Worker's Indicators, 2014-2015"/>
        <w:tblDescription w:val="Table comparing workers indicators 2014-2014-2015"/>
      </w:tblPr>
      <w:tblGrid>
        <w:gridCol w:w="2880"/>
        <w:gridCol w:w="902"/>
        <w:gridCol w:w="1334"/>
        <w:gridCol w:w="1350"/>
        <w:gridCol w:w="1350"/>
        <w:gridCol w:w="1350"/>
        <w:gridCol w:w="1629"/>
      </w:tblGrid>
      <w:tr w:rsidR="003B2FD3" w:rsidRPr="00F842B5" w14:paraId="68C5AA2A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BDD6EE" w:themeFill="accent1" w:themeFillTint="66"/>
            <w:noWrap/>
            <w:hideMark/>
          </w:tcPr>
          <w:p w14:paraId="03479FC7" w14:textId="34799A27" w:rsidR="003B2FD3" w:rsidRPr="00F842B5" w:rsidRDefault="003B2FD3" w:rsidP="00AF53F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842B5">
              <w:rPr>
                <w:rFonts w:eastAsia="Times New Roman" w:cstheme="minorHAnsi"/>
                <w:color w:val="000000"/>
                <w:sz w:val="18"/>
                <w:szCs w:val="18"/>
              </w:rPr>
              <w:t>Labor indicators in 202</w:t>
            </w:r>
            <w:r w:rsidR="00AA42E2" w:rsidRPr="00F842B5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  <w:r w:rsidRPr="00F842B5">
              <w:rPr>
                <w:rFonts w:eastAsia="Times New Roman" w:cstheme="minorHAnsi"/>
                <w:color w:val="000000"/>
                <w:sz w:val="18"/>
                <w:szCs w:val="18"/>
              </w:rPr>
              <w:t>, compared to 202</w:t>
            </w:r>
            <w:r w:rsidR="00AA42E2" w:rsidRPr="00F842B5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  <w:r w:rsidRPr="00F842B5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902" w:type="dxa"/>
            <w:shd w:val="clear" w:color="auto" w:fill="BDD6EE" w:themeFill="accent1" w:themeFillTint="66"/>
            <w:noWrap/>
            <w:hideMark/>
          </w:tcPr>
          <w:p w14:paraId="6DC94B50" w14:textId="77777777" w:rsidR="003B2FD3" w:rsidRPr="00F842B5" w:rsidRDefault="003B2FD3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842B5">
              <w:rPr>
                <w:rFonts w:eastAsia="Times New Roman" w:cstheme="minorHAnsi"/>
                <w:color w:val="000000"/>
                <w:sz w:val="18"/>
                <w:szCs w:val="18"/>
              </w:rPr>
              <w:t>Decrease</w:t>
            </w:r>
          </w:p>
        </w:tc>
        <w:tc>
          <w:tcPr>
            <w:tcW w:w="1334" w:type="dxa"/>
            <w:shd w:val="clear" w:color="auto" w:fill="BDD6EE" w:themeFill="accent1" w:themeFillTint="66"/>
            <w:noWrap/>
            <w:hideMark/>
          </w:tcPr>
          <w:p w14:paraId="5E5B3AD8" w14:textId="6CF0610B" w:rsidR="003B2FD3" w:rsidRPr="00F842B5" w:rsidRDefault="003B2FD3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842B5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 w:rsidR="00514988" w:rsidRPr="00F842B5">
              <w:rPr>
                <w:rFonts w:eastAsia="Times New Roman" w:cstheme="minorHAns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shd w:val="clear" w:color="auto" w:fill="BDD6EE" w:themeFill="accent1" w:themeFillTint="66"/>
            <w:noWrap/>
            <w:hideMark/>
          </w:tcPr>
          <w:p w14:paraId="6CED47E8" w14:textId="77777777" w:rsidR="003B2FD3" w:rsidRPr="00F842B5" w:rsidRDefault="003B2FD3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842B5">
              <w:rPr>
                <w:rFonts w:eastAsia="Times New Roman" w:cstheme="minorHAnsi"/>
                <w:color w:val="000000"/>
                <w:sz w:val="18"/>
                <w:szCs w:val="18"/>
              </w:rPr>
              <w:t>1-2%</w:t>
            </w:r>
          </w:p>
        </w:tc>
        <w:tc>
          <w:tcPr>
            <w:tcW w:w="1350" w:type="dxa"/>
            <w:shd w:val="clear" w:color="auto" w:fill="BDD6EE" w:themeFill="accent1" w:themeFillTint="66"/>
            <w:noWrap/>
            <w:hideMark/>
          </w:tcPr>
          <w:p w14:paraId="65EC8E82" w14:textId="77777777" w:rsidR="003B2FD3" w:rsidRPr="00F842B5" w:rsidRDefault="003B2FD3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842B5">
              <w:rPr>
                <w:rFonts w:eastAsia="Times New Roman" w:cstheme="minorHAnsi"/>
                <w:color w:val="000000"/>
                <w:sz w:val="18"/>
                <w:szCs w:val="18"/>
              </w:rPr>
              <w:t>3-5%</w:t>
            </w:r>
          </w:p>
        </w:tc>
        <w:tc>
          <w:tcPr>
            <w:tcW w:w="1350" w:type="dxa"/>
            <w:shd w:val="clear" w:color="auto" w:fill="BDD6EE" w:themeFill="accent1" w:themeFillTint="66"/>
            <w:noWrap/>
            <w:hideMark/>
          </w:tcPr>
          <w:p w14:paraId="3F23FB8D" w14:textId="77777777" w:rsidR="003B2FD3" w:rsidRPr="00F842B5" w:rsidRDefault="003B2FD3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842B5">
              <w:rPr>
                <w:rFonts w:eastAsia="Times New Roman" w:cstheme="minorHAnsi"/>
                <w:color w:val="000000"/>
                <w:sz w:val="18"/>
                <w:szCs w:val="18"/>
              </w:rPr>
              <w:t>6-9%</w:t>
            </w:r>
          </w:p>
        </w:tc>
        <w:tc>
          <w:tcPr>
            <w:tcW w:w="1629" w:type="dxa"/>
            <w:shd w:val="clear" w:color="auto" w:fill="BDD6EE" w:themeFill="accent1" w:themeFillTint="66"/>
            <w:noWrap/>
            <w:hideMark/>
          </w:tcPr>
          <w:p w14:paraId="62762065" w14:textId="77777777" w:rsidR="003B2FD3" w:rsidRPr="00F842B5" w:rsidRDefault="003B2FD3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842B5">
              <w:rPr>
                <w:rFonts w:eastAsia="Times New Roman" w:cstheme="minorHAnsi"/>
                <w:color w:val="000000"/>
                <w:sz w:val="18"/>
                <w:szCs w:val="18"/>
              </w:rPr>
              <w:t>&gt;10%</w:t>
            </w:r>
          </w:p>
        </w:tc>
      </w:tr>
      <w:tr w:rsidR="003B2FD3" w:rsidRPr="00F842B5" w14:paraId="7B3CB87E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noWrap/>
            <w:hideMark/>
          </w:tcPr>
          <w:p w14:paraId="021E078B" w14:textId="77777777" w:rsidR="003B2FD3" w:rsidRPr="00F842B5" w:rsidRDefault="003B2FD3" w:rsidP="00AF53F7">
            <w:pPr>
              <w:rPr>
                <w:rFonts w:eastAsia="Times New Roman" w:cstheme="minorHAnsi"/>
                <w:b w:val="0"/>
                <w:color w:val="000000"/>
                <w:sz w:val="18"/>
                <w:szCs w:val="18"/>
              </w:rPr>
            </w:pPr>
            <w:r w:rsidRPr="00F842B5">
              <w:rPr>
                <w:rFonts w:eastAsia="Times New Roman" w:cstheme="minorHAnsi"/>
                <w:b w:val="0"/>
                <w:color w:val="000000"/>
                <w:sz w:val="18"/>
                <w:szCs w:val="18"/>
              </w:rPr>
              <w:t>Wages per worker</w:t>
            </w:r>
          </w:p>
        </w:tc>
        <w:tc>
          <w:tcPr>
            <w:tcW w:w="902" w:type="dxa"/>
            <w:noWrap/>
            <w:hideMark/>
          </w:tcPr>
          <w:p w14:paraId="551423C1" w14:textId="50296DF8" w:rsidR="003B2FD3" w:rsidRPr="00F842B5" w:rsidRDefault="003925F0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18"/>
                <w:szCs w:val="18"/>
              </w:rPr>
            </w:pPr>
            <w:r>
              <w:rPr>
                <w:rFonts w:eastAsia="Times New Roman" w:cstheme="minorHAnsi"/>
                <w:b w:val="0"/>
                <w:sz w:val="18"/>
                <w:szCs w:val="18"/>
              </w:rPr>
              <w:t>3</w:t>
            </w:r>
            <w:r w:rsidR="003B2FD3" w:rsidRPr="00F842B5">
              <w:rPr>
                <w:rFonts w:eastAsia="Times New Roman" w:cstheme="minorHAnsi"/>
                <w:b w:val="0"/>
                <w:sz w:val="18"/>
                <w:szCs w:val="18"/>
              </w:rPr>
              <w:t>%</w:t>
            </w:r>
          </w:p>
        </w:tc>
        <w:tc>
          <w:tcPr>
            <w:tcW w:w="1334" w:type="dxa"/>
            <w:noWrap/>
            <w:hideMark/>
          </w:tcPr>
          <w:p w14:paraId="00AC8F2B" w14:textId="1A997728" w:rsidR="003B2FD3" w:rsidRPr="00F842B5" w:rsidRDefault="003925F0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18"/>
                <w:szCs w:val="18"/>
              </w:rPr>
            </w:pPr>
            <w:r>
              <w:rPr>
                <w:rFonts w:eastAsia="Times New Roman" w:cstheme="minorHAnsi"/>
                <w:b w:val="0"/>
                <w:sz w:val="18"/>
                <w:szCs w:val="18"/>
              </w:rPr>
              <w:t>7</w:t>
            </w:r>
            <w:r w:rsidR="003B2FD3" w:rsidRPr="00F842B5">
              <w:rPr>
                <w:rFonts w:eastAsia="Times New Roman" w:cstheme="minorHAnsi"/>
                <w:b w:val="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14:paraId="76FD05E3" w14:textId="0ADA3B0D" w:rsidR="003B2FD3" w:rsidRPr="00F842B5" w:rsidRDefault="00AA42E2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18"/>
                <w:szCs w:val="18"/>
              </w:rPr>
            </w:pPr>
            <w:r w:rsidRPr="00F842B5">
              <w:rPr>
                <w:rFonts w:eastAsia="Times New Roman" w:cstheme="minorHAnsi"/>
                <w:b w:val="0"/>
                <w:sz w:val="18"/>
                <w:szCs w:val="18"/>
              </w:rPr>
              <w:t>1</w:t>
            </w:r>
            <w:r w:rsidR="00F077D4">
              <w:rPr>
                <w:rFonts w:eastAsia="Times New Roman" w:cstheme="minorHAnsi"/>
                <w:b w:val="0"/>
                <w:sz w:val="18"/>
                <w:szCs w:val="18"/>
              </w:rPr>
              <w:t>3</w:t>
            </w:r>
            <w:r w:rsidR="003B2FD3" w:rsidRPr="00F842B5">
              <w:rPr>
                <w:rFonts w:eastAsia="Times New Roman" w:cstheme="minorHAnsi"/>
                <w:b w:val="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14:paraId="63D7C82E" w14:textId="78622223" w:rsidR="003B2FD3" w:rsidRPr="00F842B5" w:rsidRDefault="00F077D4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18"/>
                <w:szCs w:val="18"/>
              </w:rPr>
            </w:pPr>
            <w:r>
              <w:rPr>
                <w:rFonts w:eastAsia="Times New Roman" w:cstheme="minorHAnsi"/>
                <w:b w:val="0"/>
                <w:sz w:val="18"/>
                <w:szCs w:val="18"/>
              </w:rPr>
              <w:t>61</w:t>
            </w:r>
            <w:r w:rsidR="003B2FD3" w:rsidRPr="00F842B5">
              <w:rPr>
                <w:rFonts w:eastAsia="Times New Roman" w:cstheme="minorHAnsi"/>
                <w:b w:val="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14:paraId="682775AF" w14:textId="70C0D485" w:rsidR="003B2FD3" w:rsidRPr="00F842B5" w:rsidRDefault="00AA42E2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18"/>
                <w:szCs w:val="18"/>
              </w:rPr>
            </w:pPr>
            <w:r w:rsidRPr="00F842B5">
              <w:rPr>
                <w:rFonts w:eastAsia="Times New Roman" w:cstheme="minorHAnsi"/>
                <w:b w:val="0"/>
                <w:sz w:val="18"/>
                <w:szCs w:val="18"/>
              </w:rPr>
              <w:t>1</w:t>
            </w:r>
            <w:r w:rsidR="00F077D4">
              <w:rPr>
                <w:rFonts w:eastAsia="Times New Roman" w:cstheme="minorHAnsi"/>
                <w:b w:val="0"/>
                <w:sz w:val="18"/>
                <w:szCs w:val="18"/>
              </w:rPr>
              <w:t>1</w:t>
            </w:r>
            <w:r w:rsidR="003B2FD3" w:rsidRPr="00F842B5">
              <w:rPr>
                <w:rFonts w:eastAsia="Times New Roman" w:cstheme="minorHAnsi"/>
                <w:b w:val="0"/>
                <w:sz w:val="18"/>
                <w:szCs w:val="18"/>
              </w:rPr>
              <w:t>%</w:t>
            </w:r>
          </w:p>
        </w:tc>
        <w:tc>
          <w:tcPr>
            <w:tcW w:w="1629" w:type="dxa"/>
            <w:noWrap/>
            <w:hideMark/>
          </w:tcPr>
          <w:p w14:paraId="4CDAA6C5" w14:textId="04235BAE" w:rsidR="003B2FD3" w:rsidRPr="00F842B5" w:rsidRDefault="00F077D4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18"/>
                <w:szCs w:val="18"/>
              </w:rPr>
            </w:pPr>
            <w:r>
              <w:rPr>
                <w:rFonts w:eastAsia="Times New Roman" w:cstheme="minorHAnsi"/>
                <w:b w:val="0"/>
                <w:sz w:val="18"/>
                <w:szCs w:val="18"/>
              </w:rPr>
              <w:t>5</w:t>
            </w:r>
            <w:r w:rsidR="003B2FD3" w:rsidRPr="00F842B5">
              <w:rPr>
                <w:rFonts w:eastAsia="Times New Roman" w:cstheme="minorHAnsi"/>
                <w:b w:val="0"/>
                <w:sz w:val="18"/>
                <w:szCs w:val="18"/>
              </w:rPr>
              <w:t>%</w:t>
            </w:r>
          </w:p>
        </w:tc>
      </w:tr>
      <w:tr w:rsidR="003B2FD3" w:rsidRPr="00F842B5" w14:paraId="0E89ED39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noWrap/>
            <w:hideMark/>
          </w:tcPr>
          <w:p w14:paraId="637EAD50" w14:textId="77777777" w:rsidR="003B2FD3" w:rsidRPr="00F842B5" w:rsidRDefault="003B2FD3" w:rsidP="00AF53F7">
            <w:pPr>
              <w:rPr>
                <w:rFonts w:eastAsia="Times New Roman" w:cstheme="minorHAnsi"/>
                <w:b w:val="0"/>
                <w:color w:val="000000"/>
                <w:sz w:val="18"/>
                <w:szCs w:val="18"/>
              </w:rPr>
            </w:pPr>
            <w:r w:rsidRPr="00F842B5">
              <w:rPr>
                <w:rFonts w:eastAsia="Times New Roman" w:cstheme="minorHAnsi"/>
                <w:b w:val="0"/>
                <w:color w:val="000000"/>
                <w:sz w:val="18"/>
                <w:szCs w:val="18"/>
              </w:rPr>
              <w:t>Benefits per worker</w:t>
            </w:r>
          </w:p>
        </w:tc>
        <w:tc>
          <w:tcPr>
            <w:tcW w:w="902" w:type="dxa"/>
            <w:noWrap/>
            <w:hideMark/>
          </w:tcPr>
          <w:p w14:paraId="0DCBB380" w14:textId="443752B1" w:rsidR="003B2FD3" w:rsidRPr="00F842B5" w:rsidRDefault="003925F0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18"/>
                <w:szCs w:val="18"/>
              </w:rPr>
            </w:pPr>
            <w:r>
              <w:rPr>
                <w:rFonts w:eastAsia="Times New Roman" w:cstheme="minorHAnsi"/>
                <w:b w:val="0"/>
                <w:sz w:val="18"/>
                <w:szCs w:val="18"/>
              </w:rPr>
              <w:t>1</w:t>
            </w:r>
            <w:r w:rsidR="003B2FD3" w:rsidRPr="00F842B5">
              <w:rPr>
                <w:rFonts w:eastAsia="Times New Roman" w:cstheme="minorHAnsi"/>
                <w:b w:val="0"/>
                <w:sz w:val="18"/>
                <w:szCs w:val="18"/>
              </w:rPr>
              <w:t>%</w:t>
            </w:r>
          </w:p>
        </w:tc>
        <w:tc>
          <w:tcPr>
            <w:tcW w:w="1334" w:type="dxa"/>
            <w:noWrap/>
            <w:hideMark/>
          </w:tcPr>
          <w:p w14:paraId="5AB1FC62" w14:textId="3088ECCC" w:rsidR="003B2FD3" w:rsidRPr="00F842B5" w:rsidRDefault="00AA42E2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18"/>
                <w:szCs w:val="18"/>
              </w:rPr>
            </w:pPr>
            <w:r w:rsidRPr="00F842B5">
              <w:rPr>
                <w:rFonts w:eastAsia="Times New Roman" w:cstheme="minorHAnsi"/>
                <w:b w:val="0"/>
                <w:sz w:val="18"/>
                <w:szCs w:val="18"/>
              </w:rPr>
              <w:t>2</w:t>
            </w:r>
            <w:r w:rsidR="003925F0">
              <w:rPr>
                <w:rFonts w:eastAsia="Times New Roman" w:cstheme="minorHAnsi"/>
                <w:b w:val="0"/>
                <w:sz w:val="18"/>
                <w:szCs w:val="18"/>
              </w:rPr>
              <w:t>6</w:t>
            </w:r>
            <w:r w:rsidR="003B2FD3" w:rsidRPr="00F842B5">
              <w:rPr>
                <w:rFonts w:eastAsia="Times New Roman" w:cstheme="minorHAnsi"/>
                <w:b w:val="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14:paraId="792C0EFE" w14:textId="43FAB6D0" w:rsidR="003B2FD3" w:rsidRPr="00F842B5" w:rsidRDefault="00AA42E2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18"/>
                <w:szCs w:val="18"/>
              </w:rPr>
            </w:pPr>
            <w:r w:rsidRPr="00F842B5">
              <w:rPr>
                <w:rFonts w:eastAsia="Times New Roman" w:cstheme="minorHAnsi"/>
                <w:b w:val="0"/>
                <w:sz w:val="18"/>
                <w:szCs w:val="18"/>
              </w:rPr>
              <w:t>1</w:t>
            </w:r>
            <w:r w:rsidR="00F077D4">
              <w:rPr>
                <w:rFonts w:eastAsia="Times New Roman" w:cstheme="minorHAnsi"/>
                <w:b w:val="0"/>
                <w:sz w:val="18"/>
                <w:szCs w:val="18"/>
              </w:rPr>
              <w:t>9</w:t>
            </w:r>
            <w:r w:rsidR="003B2FD3" w:rsidRPr="00F842B5">
              <w:rPr>
                <w:rFonts w:eastAsia="Times New Roman" w:cstheme="minorHAnsi"/>
                <w:b w:val="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14:paraId="2A482CD9" w14:textId="02D172D2" w:rsidR="003B2FD3" w:rsidRPr="00F842B5" w:rsidRDefault="00F077D4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18"/>
                <w:szCs w:val="18"/>
              </w:rPr>
            </w:pPr>
            <w:r>
              <w:rPr>
                <w:rFonts w:eastAsia="Times New Roman" w:cstheme="minorHAnsi"/>
                <w:b w:val="0"/>
                <w:sz w:val="18"/>
                <w:szCs w:val="18"/>
              </w:rPr>
              <w:t>24</w:t>
            </w:r>
            <w:r w:rsidR="003B2FD3" w:rsidRPr="00F842B5">
              <w:rPr>
                <w:rFonts w:eastAsia="Times New Roman" w:cstheme="minorHAnsi"/>
                <w:b w:val="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14:paraId="2DED3D00" w14:textId="3B28775C" w:rsidR="003B2FD3" w:rsidRPr="00F842B5" w:rsidRDefault="00F077D4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18"/>
                <w:szCs w:val="18"/>
              </w:rPr>
            </w:pPr>
            <w:r>
              <w:rPr>
                <w:rFonts w:eastAsia="Times New Roman" w:cstheme="minorHAnsi"/>
                <w:b w:val="0"/>
                <w:sz w:val="18"/>
                <w:szCs w:val="18"/>
              </w:rPr>
              <w:t>17</w:t>
            </w:r>
            <w:r w:rsidR="003B2FD3" w:rsidRPr="00F842B5">
              <w:rPr>
                <w:rFonts w:eastAsia="Times New Roman" w:cstheme="minorHAnsi"/>
                <w:b w:val="0"/>
                <w:sz w:val="18"/>
                <w:szCs w:val="18"/>
              </w:rPr>
              <w:t>%</w:t>
            </w:r>
          </w:p>
        </w:tc>
        <w:tc>
          <w:tcPr>
            <w:tcW w:w="1629" w:type="dxa"/>
            <w:noWrap/>
            <w:hideMark/>
          </w:tcPr>
          <w:p w14:paraId="0149FD60" w14:textId="6D46F17A" w:rsidR="003B2FD3" w:rsidRPr="00F842B5" w:rsidRDefault="00F077D4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18"/>
                <w:szCs w:val="18"/>
              </w:rPr>
            </w:pPr>
            <w:r>
              <w:rPr>
                <w:rFonts w:eastAsia="Times New Roman" w:cstheme="minorHAnsi"/>
                <w:b w:val="0"/>
                <w:sz w:val="18"/>
                <w:szCs w:val="18"/>
              </w:rPr>
              <w:t>13</w:t>
            </w:r>
            <w:r w:rsidR="003B2FD3" w:rsidRPr="00F842B5">
              <w:rPr>
                <w:rFonts w:eastAsia="Times New Roman" w:cstheme="minorHAnsi"/>
                <w:b w:val="0"/>
                <w:sz w:val="18"/>
                <w:szCs w:val="18"/>
              </w:rPr>
              <w:t>%</w:t>
            </w:r>
          </w:p>
        </w:tc>
      </w:tr>
    </w:tbl>
    <w:p w14:paraId="2275FB5A" w14:textId="0FF95977" w:rsidR="00F069A3" w:rsidRPr="00DF526E" w:rsidRDefault="00F069A3" w:rsidP="00DF526E">
      <w:pPr>
        <w:pStyle w:val="Title"/>
        <w:rPr>
          <w:rFonts w:asciiTheme="minorHAnsi" w:hAnsiTheme="minorHAnsi" w:cstheme="minorHAnsi"/>
          <w:b/>
          <w:color w:val="2E74B5" w:themeColor="accent1" w:themeShade="BF"/>
          <w:sz w:val="10"/>
          <w:szCs w:val="10"/>
        </w:rPr>
      </w:pPr>
    </w:p>
    <w:tbl>
      <w:tblPr>
        <w:tblStyle w:val="PlainTable5"/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Caption w:val="Business Comparison Indicators: 2014-2015"/>
        <w:tblDescription w:val="Table coparing business indicators between 2014 and 2015."/>
      </w:tblPr>
      <w:tblGrid>
        <w:gridCol w:w="3870"/>
        <w:gridCol w:w="1386"/>
        <w:gridCol w:w="1386"/>
        <w:gridCol w:w="1386"/>
        <w:gridCol w:w="1386"/>
        <w:gridCol w:w="1386"/>
      </w:tblGrid>
      <w:tr w:rsidR="00F7064F" w:rsidRPr="00F842B5" w14:paraId="6898B03E" w14:textId="77777777" w:rsidTr="00F7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70" w:type="dxa"/>
            <w:shd w:val="clear" w:color="auto" w:fill="BDD6EE" w:themeFill="accent1" w:themeFillTint="66"/>
            <w:noWrap/>
            <w:hideMark/>
          </w:tcPr>
          <w:p w14:paraId="068C3330" w14:textId="0AA4D079" w:rsidR="00F7064F" w:rsidRPr="00F842B5" w:rsidRDefault="00F7064F" w:rsidP="00AA42E2">
            <w:pPr>
              <w:rPr>
                <w:rFonts w:asciiTheme="minorHAnsi" w:eastAsia="Times New Roman" w:hAnsiTheme="minorHAnsi" w:cstheme="minorHAnsi"/>
                <w:b/>
                <w:bCs/>
                <w:i w:val="0"/>
                <w:color w:val="00000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b/>
                <w:bCs/>
                <w:i w:val="0"/>
                <w:color w:val="000000"/>
                <w:sz w:val="18"/>
                <w:szCs w:val="18"/>
              </w:rPr>
              <w:t>Compared to 202</w:t>
            </w:r>
            <w:r w:rsidR="00F077D4">
              <w:rPr>
                <w:rFonts w:asciiTheme="minorHAnsi" w:eastAsia="Times New Roman" w:hAnsiTheme="minorHAnsi" w:cstheme="minorHAnsi"/>
                <w:b/>
                <w:bCs/>
                <w:i w:val="0"/>
                <w:color w:val="000000"/>
                <w:sz w:val="18"/>
                <w:szCs w:val="18"/>
              </w:rPr>
              <w:t>4</w:t>
            </w:r>
            <w:r w:rsidRPr="00F842B5">
              <w:rPr>
                <w:rFonts w:asciiTheme="minorHAnsi" w:eastAsia="Times New Roman" w:hAnsiTheme="minorHAnsi" w:cstheme="minorHAnsi"/>
                <w:b/>
                <w:bCs/>
                <w:i w:val="0"/>
                <w:color w:val="000000"/>
                <w:sz w:val="18"/>
                <w:szCs w:val="18"/>
              </w:rPr>
              <w:t>, in 202</w:t>
            </w:r>
            <w:r w:rsidR="00F077D4">
              <w:rPr>
                <w:rFonts w:asciiTheme="minorHAnsi" w:eastAsia="Times New Roman" w:hAnsiTheme="minorHAnsi" w:cstheme="minorHAnsi"/>
                <w:b/>
                <w:bCs/>
                <w:i w:val="0"/>
                <w:color w:val="000000"/>
                <w:sz w:val="18"/>
                <w:szCs w:val="18"/>
              </w:rPr>
              <w:t>5</w:t>
            </w:r>
            <w:r w:rsidRPr="00F842B5">
              <w:rPr>
                <w:rFonts w:asciiTheme="minorHAnsi" w:eastAsia="Times New Roman" w:hAnsiTheme="minorHAnsi" w:cstheme="minorHAnsi"/>
                <w:b/>
                <w:bCs/>
                <w:i w:val="0"/>
                <w:color w:val="000000"/>
                <w:sz w:val="18"/>
                <w:szCs w:val="18"/>
              </w:rPr>
              <w:t xml:space="preserve"> you expect your location’s:</w:t>
            </w:r>
          </w:p>
        </w:tc>
        <w:tc>
          <w:tcPr>
            <w:tcW w:w="1386" w:type="dxa"/>
            <w:shd w:val="clear" w:color="auto" w:fill="BDD6EE" w:themeFill="accent1" w:themeFillTint="66"/>
            <w:noWrap/>
            <w:hideMark/>
          </w:tcPr>
          <w:p w14:paraId="4B946B04" w14:textId="77777777" w:rsidR="00F7064F" w:rsidRPr="00F842B5" w:rsidRDefault="00F7064F" w:rsidP="00AA42E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 w:val="0"/>
                <w:color w:val="00000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b/>
                <w:bCs/>
                <w:i w:val="0"/>
                <w:color w:val="000000"/>
                <w:sz w:val="18"/>
                <w:szCs w:val="18"/>
              </w:rPr>
              <w:t>Up</w:t>
            </w:r>
          </w:p>
        </w:tc>
        <w:tc>
          <w:tcPr>
            <w:tcW w:w="1386" w:type="dxa"/>
            <w:shd w:val="clear" w:color="auto" w:fill="BDD6EE" w:themeFill="accent1" w:themeFillTint="66"/>
            <w:noWrap/>
            <w:hideMark/>
          </w:tcPr>
          <w:p w14:paraId="17DA433C" w14:textId="77777777" w:rsidR="00F7064F" w:rsidRPr="00F842B5" w:rsidRDefault="00F7064F" w:rsidP="00AA42E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 w:val="0"/>
                <w:color w:val="00000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b/>
                <w:bCs/>
                <w:i w:val="0"/>
                <w:color w:val="000000"/>
                <w:sz w:val="18"/>
                <w:szCs w:val="18"/>
              </w:rPr>
              <w:t>Same</w:t>
            </w:r>
          </w:p>
        </w:tc>
        <w:tc>
          <w:tcPr>
            <w:tcW w:w="1386" w:type="dxa"/>
            <w:shd w:val="clear" w:color="auto" w:fill="BDD6EE" w:themeFill="accent1" w:themeFillTint="66"/>
            <w:noWrap/>
            <w:hideMark/>
          </w:tcPr>
          <w:p w14:paraId="2B5212EA" w14:textId="77777777" w:rsidR="00F7064F" w:rsidRPr="00F842B5" w:rsidRDefault="00F7064F" w:rsidP="00AA42E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 w:val="0"/>
                <w:color w:val="00000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b/>
                <w:bCs/>
                <w:i w:val="0"/>
                <w:color w:val="000000"/>
                <w:sz w:val="18"/>
                <w:szCs w:val="18"/>
              </w:rPr>
              <w:t>Down</w:t>
            </w:r>
          </w:p>
        </w:tc>
        <w:tc>
          <w:tcPr>
            <w:tcW w:w="1386" w:type="dxa"/>
            <w:shd w:val="clear" w:color="auto" w:fill="BDD6EE" w:themeFill="accent1" w:themeFillTint="66"/>
          </w:tcPr>
          <w:p w14:paraId="06AC64BE" w14:textId="634A950F" w:rsidR="00F7064F" w:rsidRPr="00F842B5" w:rsidRDefault="00F7064F" w:rsidP="00AA42E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sz w:val="18"/>
                <w:szCs w:val="18"/>
              </w:rPr>
              <w:t>Diffusion Index 202</w:t>
            </w:r>
            <w:r w:rsidR="00F077D4"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sz w:val="18"/>
                <w:szCs w:val="18"/>
              </w:rPr>
              <w:t>4</w:t>
            </w:r>
            <w:r w:rsidRPr="00F842B5">
              <w:rPr>
                <w:rFonts w:asciiTheme="minorHAnsi" w:eastAsia="Times New Roman" w:hAnsiTheme="minorHAnsi" w:cstheme="minorHAnsi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386" w:type="dxa"/>
            <w:shd w:val="clear" w:color="auto" w:fill="BDD6EE" w:themeFill="accent1" w:themeFillTint="66"/>
          </w:tcPr>
          <w:p w14:paraId="7A479EAB" w14:textId="5FD9A388" w:rsidR="00F7064F" w:rsidRPr="00F842B5" w:rsidRDefault="00F7064F" w:rsidP="00AA42E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 w:val="0"/>
                <w:color w:val="00000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sz w:val="18"/>
                <w:szCs w:val="18"/>
              </w:rPr>
              <w:t>Diffusion Index 202</w:t>
            </w:r>
            <w:r w:rsidR="00F077D4"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sz w:val="18"/>
                <w:szCs w:val="18"/>
              </w:rPr>
              <w:t>3</w:t>
            </w:r>
            <w:r w:rsidRPr="00F842B5">
              <w:rPr>
                <w:rFonts w:asciiTheme="minorHAnsi" w:eastAsia="Times New Roman" w:hAnsiTheme="minorHAnsi" w:cstheme="minorHAnsi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F7064F" w:rsidRPr="00F842B5" w14:paraId="32933681" w14:textId="77777777" w:rsidTr="00F7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70" w:type="dxa"/>
            <w:noWrap/>
            <w:hideMark/>
          </w:tcPr>
          <w:p w14:paraId="44AE2286" w14:textId="77777777" w:rsidR="00F7064F" w:rsidRPr="00F842B5" w:rsidRDefault="00F7064F" w:rsidP="00AA42E2">
            <w:pPr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Number of orders</w:t>
            </w:r>
          </w:p>
        </w:tc>
        <w:tc>
          <w:tcPr>
            <w:tcW w:w="1386" w:type="dxa"/>
            <w:noWrap/>
            <w:hideMark/>
          </w:tcPr>
          <w:p w14:paraId="676F4D03" w14:textId="05CDCF7E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49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6" w:type="dxa"/>
            <w:noWrap/>
            <w:hideMark/>
          </w:tcPr>
          <w:p w14:paraId="33EA603B" w14:textId="1401DF23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37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6" w:type="dxa"/>
            <w:noWrap/>
            <w:hideMark/>
          </w:tcPr>
          <w:p w14:paraId="417A7FBD" w14:textId="73E2575C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14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6" w:type="dxa"/>
          </w:tcPr>
          <w:p w14:paraId="13835A5E" w14:textId="668BB379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68</w:t>
            </w:r>
          </w:p>
        </w:tc>
        <w:tc>
          <w:tcPr>
            <w:tcW w:w="1386" w:type="dxa"/>
          </w:tcPr>
          <w:p w14:paraId="758C2973" w14:textId="439A3504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51</w:t>
            </w:r>
          </w:p>
        </w:tc>
      </w:tr>
      <w:tr w:rsidR="00F7064F" w:rsidRPr="00F842B5" w14:paraId="3BE5FFBA" w14:textId="77777777" w:rsidTr="00F7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70" w:type="dxa"/>
            <w:noWrap/>
            <w:hideMark/>
          </w:tcPr>
          <w:p w14:paraId="549EB2B4" w14:textId="77777777" w:rsidR="00F7064F" w:rsidRPr="00F842B5" w:rsidRDefault="00F7064F" w:rsidP="00AA42E2">
            <w:pPr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Product/service production level</w:t>
            </w:r>
          </w:p>
        </w:tc>
        <w:tc>
          <w:tcPr>
            <w:tcW w:w="1386" w:type="dxa"/>
            <w:noWrap/>
            <w:hideMark/>
          </w:tcPr>
          <w:p w14:paraId="673A73F0" w14:textId="06A7C8F0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37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6" w:type="dxa"/>
            <w:noWrap/>
            <w:hideMark/>
          </w:tcPr>
          <w:p w14:paraId="487EA224" w14:textId="55AD9EAC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52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6" w:type="dxa"/>
            <w:noWrap/>
            <w:hideMark/>
          </w:tcPr>
          <w:p w14:paraId="3D1F24C2" w14:textId="080F38E1" w:rsidR="00F7064F" w:rsidRPr="00F842B5" w:rsidRDefault="00F7064F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1</w:t>
            </w:r>
            <w:r w:rsidR="00F077D4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1</w:t>
            </w: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6" w:type="dxa"/>
          </w:tcPr>
          <w:p w14:paraId="6ED1EC9B" w14:textId="40DA86AD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63</w:t>
            </w:r>
          </w:p>
        </w:tc>
        <w:tc>
          <w:tcPr>
            <w:tcW w:w="1386" w:type="dxa"/>
          </w:tcPr>
          <w:p w14:paraId="4B754F35" w14:textId="17D0E02F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53</w:t>
            </w:r>
          </w:p>
        </w:tc>
      </w:tr>
      <w:tr w:rsidR="00F7064F" w:rsidRPr="00F842B5" w14:paraId="6C2E4F21" w14:textId="77777777" w:rsidTr="00F7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70" w:type="dxa"/>
            <w:noWrap/>
            <w:hideMark/>
          </w:tcPr>
          <w:p w14:paraId="01904FAD" w14:textId="77777777" w:rsidR="00F7064F" w:rsidRPr="00F842B5" w:rsidRDefault="00F7064F" w:rsidP="00AA42E2">
            <w:pPr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Employment level</w:t>
            </w:r>
          </w:p>
        </w:tc>
        <w:tc>
          <w:tcPr>
            <w:tcW w:w="1386" w:type="dxa"/>
            <w:noWrap/>
            <w:hideMark/>
          </w:tcPr>
          <w:p w14:paraId="184D4FCE" w14:textId="68DBEDA4" w:rsidR="00F7064F" w:rsidRPr="00F842B5" w:rsidRDefault="00F7064F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2</w:t>
            </w:r>
            <w:r w:rsidR="00F077D4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9</w:t>
            </w: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6" w:type="dxa"/>
            <w:noWrap/>
            <w:hideMark/>
          </w:tcPr>
          <w:p w14:paraId="68FB4EE7" w14:textId="438F8666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61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6" w:type="dxa"/>
            <w:noWrap/>
            <w:hideMark/>
          </w:tcPr>
          <w:p w14:paraId="0C0EDAB0" w14:textId="5AFFC516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10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6" w:type="dxa"/>
          </w:tcPr>
          <w:p w14:paraId="30E836CE" w14:textId="2C079087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60</w:t>
            </w:r>
          </w:p>
        </w:tc>
        <w:tc>
          <w:tcPr>
            <w:tcW w:w="1386" w:type="dxa"/>
          </w:tcPr>
          <w:p w14:paraId="53C0C9CB" w14:textId="4F9811CD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50</w:t>
            </w:r>
          </w:p>
        </w:tc>
      </w:tr>
      <w:tr w:rsidR="00F7064F" w:rsidRPr="00F842B5" w14:paraId="7AA4F848" w14:textId="77777777" w:rsidTr="00F7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70" w:type="dxa"/>
            <w:noWrap/>
          </w:tcPr>
          <w:p w14:paraId="21AC7FA2" w14:textId="748D808E" w:rsidR="00F7064F" w:rsidRPr="00F842B5" w:rsidRDefault="00F7064F" w:rsidP="00AA42E2">
            <w:pPr>
              <w:rPr>
                <w:rFonts w:asciiTheme="minorHAnsi" w:eastAsia="Times New Roman" w:hAnsiTheme="minorHAnsi" w:cstheme="minorHAnsi"/>
                <w:i w:val="0"/>
                <w:iCs w:val="0"/>
                <w:color w:val="00000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iCs w:val="0"/>
                <w:color w:val="000000"/>
                <w:sz w:val="18"/>
                <w:szCs w:val="18"/>
              </w:rPr>
              <w:t>Labor Availability</w:t>
            </w:r>
          </w:p>
        </w:tc>
        <w:tc>
          <w:tcPr>
            <w:tcW w:w="1386" w:type="dxa"/>
            <w:noWrap/>
          </w:tcPr>
          <w:p w14:paraId="71A93A2C" w14:textId="66E0EB53" w:rsidR="00F7064F" w:rsidRPr="00F842B5" w:rsidRDefault="00F7064F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1</w:t>
            </w:r>
            <w:r w:rsidR="00F077D4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2</w:t>
            </w: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6" w:type="dxa"/>
            <w:noWrap/>
          </w:tcPr>
          <w:p w14:paraId="04299F67" w14:textId="6DD27147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77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6" w:type="dxa"/>
            <w:noWrap/>
          </w:tcPr>
          <w:p w14:paraId="4BD4D7CF" w14:textId="32C34BB8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11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6" w:type="dxa"/>
          </w:tcPr>
          <w:p w14:paraId="3F67EC2D" w14:textId="5FFB2329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51</w:t>
            </w:r>
          </w:p>
        </w:tc>
        <w:tc>
          <w:tcPr>
            <w:tcW w:w="1386" w:type="dxa"/>
          </w:tcPr>
          <w:p w14:paraId="10DC5B3C" w14:textId="2E18B421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44</w:t>
            </w:r>
          </w:p>
        </w:tc>
      </w:tr>
      <w:tr w:rsidR="00F7064F" w:rsidRPr="00F842B5" w14:paraId="1017B902" w14:textId="77777777" w:rsidTr="00F7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70" w:type="dxa"/>
            <w:noWrap/>
            <w:hideMark/>
          </w:tcPr>
          <w:p w14:paraId="479E9348" w14:textId="77777777" w:rsidR="00F7064F" w:rsidRPr="00F842B5" w:rsidRDefault="00F7064F" w:rsidP="00AA42E2">
            <w:pPr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Investment in plant/equipment</w:t>
            </w:r>
          </w:p>
        </w:tc>
        <w:tc>
          <w:tcPr>
            <w:tcW w:w="1386" w:type="dxa"/>
            <w:noWrap/>
            <w:hideMark/>
          </w:tcPr>
          <w:p w14:paraId="29851962" w14:textId="1D0228AE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30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6" w:type="dxa"/>
            <w:noWrap/>
            <w:hideMark/>
          </w:tcPr>
          <w:p w14:paraId="722B917A" w14:textId="702B03FC" w:rsidR="00F7064F" w:rsidRPr="00F842B5" w:rsidRDefault="00F7064F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5</w:t>
            </w:r>
            <w:r w:rsidR="00F077D4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6</w:t>
            </w: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6" w:type="dxa"/>
            <w:noWrap/>
            <w:hideMark/>
          </w:tcPr>
          <w:p w14:paraId="0C78DD19" w14:textId="738F699E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14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6" w:type="dxa"/>
          </w:tcPr>
          <w:p w14:paraId="13C6D197" w14:textId="62AEB7EC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58</w:t>
            </w:r>
          </w:p>
        </w:tc>
        <w:tc>
          <w:tcPr>
            <w:tcW w:w="1386" w:type="dxa"/>
          </w:tcPr>
          <w:p w14:paraId="76CD4C47" w14:textId="02C57F93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46</w:t>
            </w:r>
          </w:p>
        </w:tc>
      </w:tr>
      <w:tr w:rsidR="00F7064F" w:rsidRPr="00F842B5" w14:paraId="60355EF4" w14:textId="77777777" w:rsidTr="00F7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70" w:type="dxa"/>
            <w:noWrap/>
            <w:hideMark/>
          </w:tcPr>
          <w:p w14:paraId="79214E13" w14:textId="6C5C3759" w:rsidR="00F7064F" w:rsidRPr="00F842B5" w:rsidRDefault="00F7064F" w:rsidP="00AA42E2">
            <w:pPr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Selling prices</w:t>
            </w:r>
          </w:p>
        </w:tc>
        <w:tc>
          <w:tcPr>
            <w:tcW w:w="1386" w:type="dxa"/>
            <w:noWrap/>
            <w:hideMark/>
          </w:tcPr>
          <w:p w14:paraId="0DBD32A1" w14:textId="6AFE75B2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42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6" w:type="dxa"/>
            <w:noWrap/>
            <w:hideMark/>
          </w:tcPr>
          <w:p w14:paraId="2E4C0A8E" w14:textId="04103B92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50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6" w:type="dxa"/>
            <w:noWrap/>
            <w:hideMark/>
          </w:tcPr>
          <w:p w14:paraId="363DA8AD" w14:textId="1904F23A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9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6" w:type="dxa"/>
          </w:tcPr>
          <w:p w14:paraId="767CCC70" w14:textId="7B05A31A" w:rsidR="00F7064F" w:rsidRPr="00F842B5" w:rsidRDefault="00F7064F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6</w:t>
            </w:r>
            <w:r w:rsidR="00F077D4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7</w:t>
            </w:r>
          </w:p>
        </w:tc>
        <w:tc>
          <w:tcPr>
            <w:tcW w:w="1386" w:type="dxa"/>
          </w:tcPr>
          <w:p w14:paraId="0061F5BC" w14:textId="63E8B8F8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60</w:t>
            </w:r>
          </w:p>
        </w:tc>
      </w:tr>
      <w:tr w:rsidR="00F7064F" w:rsidRPr="00F842B5" w14:paraId="0A59BB46" w14:textId="77777777" w:rsidTr="00F7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70" w:type="dxa"/>
            <w:noWrap/>
            <w:hideMark/>
          </w:tcPr>
          <w:p w14:paraId="7A889F50" w14:textId="77777777" w:rsidR="00F7064F" w:rsidRPr="00F842B5" w:rsidRDefault="00F7064F" w:rsidP="00AA42E2">
            <w:pPr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Profits</w:t>
            </w:r>
          </w:p>
        </w:tc>
        <w:tc>
          <w:tcPr>
            <w:tcW w:w="1386" w:type="dxa"/>
            <w:noWrap/>
            <w:hideMark/>
          </w:tcPr>
          <w:p w14:paraId="6654B6BF" w14:textId="77ED117A" w:rsidR="00F7064F" w:rsidRPr="00F842B5" w:rsidRDefault="00F7064F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3</w:t>
            </w:r>
            <w:r w:rsidR="00F077D4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8</w:t>
            </w: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6" w:type="dxa"/>
            <w:noWrap/>
            <w:hideMark/>
          </w:tcPr>
          <w:p w14:paraId="5AF3B2CC" w14:textId="76CF3394" w:rsidR="00F7064F" w:rsidRPr="00F842B5" w:rsidRDefault="00F7064F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4</w:t>
            </w:r>
            <w:r w:rsidR="00F077D4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5</w:t>
            </w: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6" w:type="dxa"/>
            <w:noWrap/>
            <w:hideMark/>
          </w:tcPr>
          <w:p w14:paraId="521F2E26" w14:textId="5DB3705F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17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6" w:type="dxa"/>
          </w:tcPr>
          <w:p w14:paraId="113A532E" w14:textId="254B1728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61</w:t>
            </w:r>
          </w:p>
        </w:tc>
        <w:tc>
          <w:tcPr>
            <w:tcW w:w="1386" w:type="dxa"/>
          </w:tcPr>
          <w:p w14:paraId="728C0D40" w14:textId="1CD4221E" w:rsidR="00F7064F" w:rsidRPr="00F842B5" w:rsidRDefault="00F7064F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5</w:t>
            </w:r>
            <w:r w:rsidR="00F077D4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6</w:t>
            </w:r>
          </w:p>
        </w:tc>
      </w:tr>
      <w:tr w:rsidR="00F7064F" w:rsidRPr="00F842B5" w14:paraId="70EC1370" w14:textId="77777777" w:rsidTr="00F7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70" w:type="dxa"/>
            <w:noWrap/>
            <w:hideMark/>
          </w:tcPr>
          <w:p w14:paraId="2F7225C0" w14:textId="77777777" w:rsidR="00F7064F" w:rsidRPr="00F842B5" w:rsidRDefault="00F7064F" w:rsidP="00AA42E2">
            <w:pPr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Productivity</w:t>
            </w:r>
          </w:p>
        </w:tc>
        <w:tc>
          <w:tcPr>
            <w:tcW w:w="1386" w:type="dxa"/>
            <w:noWrap/>
            <w:hideMark/>
          </w:tcPr>
          <w:p w14:paraId="491F0EDE" w14:textId="464328E3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37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6" w:type="dxa"/>
            <w:noWrap/>
            <w:hideMark/>
          </w:tcPr>
          <w:p w14:paraId="478A2580" w14:textId="09E4F286" w:rsidR="00F7064F" w:rsidRPr="00F842B5" w:rsidRDefault="00F7064F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5</w:t>
            </w:r>
            <w:r w:rsidR="00F077D4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9</w:t>
            </w: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6" w:type="dxa"/>
            <w:noWrap/>
            <w:hideMark/>
          </w:tcPr>
          <w:p w14:paraId="19CD8AF3" w14:textId="2F38C530" w:rsidR="00F7064F" w:rsidRPr="00F842B5" w:rsidRDefault="00F7064F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4%</w:t>
            </w:r>
          </w:p>
        </w:tc>
        <w:tc>
          <w:tcPr>
            <w:tcW w:w="1386" w:type="dxa"/>
          </w:tcPr>
          <w:p w14:paraId="7D5851E2" w14:textId="29E18915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6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7</w:t>
            </w:r>
          </w:p>
        </w:tc>
        <w:tc>
          <w:tcPr>
            <w:tcW w:w="1386" w:type="dxa"/>
          </w:tcPr>
          <w:p w14:paraId="51A04E1A" w14:textId="6B18903A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57</w:t>
            </w:r>
          </w:p>
        </w:tc>
      </w:tr>
      <w:tr w:rsidR="00F7064F" w:rsidRPr="00F842B5" w14:paraId="481674C3" w14:textId="77777777" w:rsidTr="00F7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70" w:type="dxa"/>
            <w:noWrap/>
            <w:hideMark/>
          </w:tcPr>
          <w:p w14:paraId="2BB299B6" w14:textId="77777777" w:rsidR="00F7064F" w:rsidRPr="00F842B5" w:rsidRDefault="00F7064F" w:rsidP="00AA42E2">
            <w:pPr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Exports</w:t>
            </w:r>
          </w:p>
        </w:tc>
        <w:tc>
          <w:tcPr>
            <w:tcW w:w="1386" w:type="dxa"/>
            <w:noWrap/>
            <w:hideMark/>
          </w:tcPr>
          <w:p w14:paraId="7DBFB5DA" w14:textId="706939B7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10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6" w:type="dxa"/>
            <w:noWrap/>
            <w:hideMark/>
          </w:tcPr>
          <w:p w14:paraId="3EB06B20" w14:textId="49971478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83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6" w:type="dxa"/>
            <w:noWrap/>
            <w:hideMark/>
          </w:tcPr>
          <w:p w14:paraId="110A7914" w14:textId="36A537F6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7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6" w:type="dxa"/>
          </w:tcPr>
          <w:p w14:paraId="59D3AE8F" w14:textId="15CBDE4E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52</w:t>
            </w:r>
          </w:p>
        </w:tc>
        <w:tc>
          <w:tcPr>
            <w:tcW w:w="1386" w:type="dxa"/>
          </w:tcPr>
          <w:p w14:paraId="0FA41291" w14:textId="5768D945" w:rsidR="00F7064F" w:rsidRPr="00F842B5" w:rsidRDefault="00F077D4" w:rsidP="00AA42E2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47</w:t>
            </w:r>
          </w:p>
        </w:tc>
      </w:tr>
    </w:tbl>
    <w:p w14:paraId="6BE9E1E6" w14:textId="68EC892D" w:rsidR="00C50ABC" w:rsidRPr="00DF526E" w:rsidRDefault="00C50ABC" w:rsidP="00EE216E">
      <w:pPr>
        <w:spacing w:after="0" w:line="240" w:lineRule="auto"/>
        <w:rPr>
          <w:rFonts w:cstheme="minorHAnsi"/>
          <w:color w:val="FF0000"/>
          <w:sz w:val="10"/>
          <w:szCs w:val="10"/>
        </w:rPr>
      </w:pPr>
    </w:p>
    <w:tbl>
      <w:tblPr>
        <w:tblStyle w:val="PlainTable4"/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omparison Worker's Indicators, 2014-2015"/>
        <w:tblDescription w:val="Table comparing workers indicators 2014-2014-2015"/>
      </w:tblPr>
      <w:tblGrid>
        <w:gridCol w:w="2880"/>
        <w:gridCol w:w="902"/>
        <w:gridCol w:w="1334"/>
        <w:gridCol w:w="1350"/>
        <w:gridCol w:w="1350"/>
        <w:gridCol w:w="1350"/>
        <w:gridCol w:w="1629"/>
      </w:tblGrid>
      <w:tr w:rsidR="00C50ABC" w:rsidRPr="00F842B5" w14:paraId="03B6EB44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BDD6EE" w:themeFill="accent1" w:themeFillTint="66"/>
            <w:noWrap/>
            <w:hideMark/>
          </w:tcPr>
          <w:p w14:paraId="71958813" w14:textId="78164D6A" w:rsidR="00C50ABC" w:rsidRPr="00F842B5" w:rsidRDefault="00C50ABC" w:rsidP="00AF53F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842B5">
              <w:rPr>
                <w:rFonts w:eastAsia="Times New Roman" w:cstheme="minorHAnsi"/>
                <w:color w:val="000000"/>
                <w:sz w:val="18"/>
                <w:szCs w:val="18"/>
              </w:rPr>
              <w:t>Expected labor indicators in 202</w:t>
            </w:r>
            <w:r w:rsidR="00323773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Pr="00F842B5">
              <w:rPr>
                <w:rFonts w:eastAsia="Times New Roman" w:cstheme="minorHAnsi"/>
                <w:color w:val="000000"/>
                <w:sz w:val="18"/>
                <w:szCs w:val="18"/>
              </w:rPr>
              <w:t>, compared to 202</w:t>
            </w:r>
            <w:r w:rsidR="00323773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  <w:r w:rsidRPr="00F842B5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902" w:type="dxa"/>
            <w:shd w:val="clear" w:color="auto" w:fill="BDD6EE" w:themeFill="accent1" w:themeFillTint="66"/>
            <w:noWrap/>
            <w:hideMark/>
          </w:tcPr>
          <w:p w14:paraId="10922D67" w14:textId="77777777" w:rsidR="00C50ABC" w:rsidRPr="00F842B5" w:rsidRDefault="00C50ABC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842B5">
              <w:rPr>
                <w:rFonts w:eastAsia="Times New Roman" w:cstheme="minorHAnsi"/>
                <w:color w:val="000000"/>
                <w:sz w:val="18"/>
                <w:szCs w:val="18"/>
              </w:rPr>
              <w:t>Decrease</w:t>
            </w:r>
          </w:p>
        </w:tc>
        <w:tc>
          <w:tcPr>
            <w:tcW w:w="1334" w:type="dxa"/>
            <w:shd w:val="clear" w:color="auto" w:fill="BDD6EE" w:themeFill="accent1" w:themeFillTint="66"/>
            <w:noWrap/>
            <w:hideMark/>
          </w:tcPr>
          <w:p w14:paraId="52E47C7E" w14:textId="6430CD1B" w:rsidR="00C50ABC" w:rsidRPr="00F842B5" w:rsidRDefault="00C50ABC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842B5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 w:rsidR="0046490E" w:rsidRPr="00F842B5">
              <w:rPr>
                <w:rFonts w:eastAsia="Times New Roman" w:cstheme="minorHAns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shd w:val="clear" w:color="auto" w:fill="BDD6EE" w:themeFill="accent1" w:themeFillTint="66"/>
            <w:noWrap/>
            <w:hideMark/>
          </w:tcPr>
          <w:p w14:paraId="2288D0D5" w14:textId="77777777" w:rsidR="00C50ABC" w:rsidRPr="00F842B5" w:rsidRDefault="00C50ABC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842B5">
              <w:rPr>
                <w:rFonts w:eastAsia="Times New Roman" w:cstheme="minorHAnsi"/>
                <w:color w:val="000000"/>
                <w:sz w:val="18"/>
                <w:szCs w:val="18"/>
              </w:rPr>
              <w:t>1-2%</w:t>
            </w:r>
          </w:p>
        </w:tc>
        <w:tc>
          <w:tcPr>
            <w:tcW w:w="1350" w:type="dxa"/>
            <w:shd w:val="clear" w:color="auto" w:fill="BDD6EE" w:themeFill="accent1" w:themeFillTint="66"/>
            <w:noWrap/>
            <w:hideMark/>
          </w:tcPr>
          <w:p w14:paraId="75C033CC" w14:textId="77777777" w:rsidR="00C50ABC" w:rsidRPr="00F842B5" w:rsidRDefault="00C50ABC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842B5">
              <w:rPr>
                <w:rFonts w:eastAsia="Times New Roman" w:cstheme="minorHAnsi"/>
                <w:color w:val="000000"/>
                <w:sz w:val="18"/>
                <w:szCs w:val="18"/>
              </w:rPr>
              <w:t>3-5%</w:t>
            </w:r>
          </w:p>
        </w:tc>
        <w:tc>
          <w:tcPr>
            <w:tcW w:w="1350" w:type="dxa"/>
            <w:shd w:val="clear" w:color="auto" w:fill="BDD6EE" w:themeFill="accent1" w:themeFillTint="66"/>
            <w:noWrap/>
            <w:hideMark/>
          </w:tcPr>
          <w:p w14:paraId="699010B1" w14:textId="77777777" w:rsidR="00C50ABC" w:rsidRPr="00F842B5" w:rsidRDefault="00C50ABC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842B5">
              <w:rPr>
                <w:rFonts w:eastAsia="Times New Roman" w:cstheme="minorHAnsi"/>
                <w:color w:val="000000"/>
                <w:sz w:val="18"/>
                <w:szCs w:val="18"/>
              </w:rPr>
              <w:t>6-9%</w:t>
            </w:r>
          </w:p>
        </w:tc>
        <w:tc>
          <w:tcPr>
            <w:tcW w:w="1629" w:type="dxa"/>
            <w:shd w:val="clear" w:color="auto" w:fill="BDD6EE" w:themeFill="accent1" w:themeFillTint="66"/>
            <w:noWrap/>
            <w:hideMark/>
          </w:tcPr>
          <w:p w14:paraId="56DD529B" w14:textId="77777777" w:rsidR="00C50ABC" w:rsidRPr="00F842B5" w:rsidRDefault="00C50ABC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842B5">
              <w:rPr>
                <w:rFonts w:eastAsia="Times New Roman" w:cstheme="minorHAnsi"/>
                <w:color w:val="000000"/>
                <w:sz w:val="18"/>
                <w:szCs w:val="18"/>
              </w:rPr>
              <w:t>&gt;10%</w:t>
            </w:r>
          </w:p>
        </w:tc>
      </w:tr>
      <w:tr w:rsidR="00C50ABC" w:rsidRPr="00F842B5" w14:paraId="0C33A105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noWrap/>
            <w:hideMark/>
          </w:tcPr>
          <w:p w14:paraId="1B6C32D9" w14:textId="77777777" w:rsidR="00C50ABC" w:rsidRPr="00F842B5" w:rsidRDefault="00C50ABC" w:rsidP="00AF53F7">
            <w:pPr>
              <w:rPr>
                <w:rFonts w:eastAsia="Times New Roman" w:cstheme="minorHAnsi"/>
                <w:b w:val="0"/>
                <w:color w:val="000000"/>
                <w:sz w:val="18"/>
                <w:szCs w:val="18"/>
              </w:rPr>
            </w:pPr>
            <w:r w:rsidRPr="00F842B5">
              <w:rPr>
                <w:rFonts w:eastAsia="Times New Roman" w:cstheme="minorHAnsi"/>
                <w:b w:val="0"/>
                <w:color w:val="000000"/>
                <w:sz w:val="18"/>
                <w:szCs w:val="18"/>
              </w:rPr>
              <w:t>Wages per worker</w:t>
            </w:r>
          </w:p>
        </w:tc>
        <w:tc>
          <w:tcPr>
            <w:tcW w:w="902" w:type="dxa"/>
            <w:noWrap/>
            <w:hideMark/>
          </w:tcPr>
          <w:p w14:paraId="20E76994" w14:textId="56C749FC" w:rsidR="00C50ABC" w:rsidRPr="00F842B5" w:rsidRDefault="00F077D4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18"/>
                <w:szCs w:val="18"/>
              </w:rPr>
            </w:pPr>
            <w:r>
              <w:rPr>
                <w:rFonts w:eastAsia="Times New Roman" w:cstheme="minorHAnsi"/>
                <w:b w:val="0"/>
                <w:sz w:val="18"/>
                <w:szCs w:val="18"/>
              </w:rPr>
              <w:t>1</w:t>
            </w:r>
            <w:r w:rsidR="00C50ABC" w:rsidRPr="00F842B5">
              <w:rPr>
                <w:rFonts w:eastAsia="Times New Roman" w:cstheme="minorHAnsi"/>
                <w:b w:val="0"/>
                <w:sz w:val="18"/>
                <w:szCs w:val="18"/>
              </w:rPr>
              <w:t>%</w:t>
            </w:r>
          </w:p>
        </w:tc>
        <w:tc>
          <w:tcPr>
            <w:tcW w:w="1334" w:type="dxa"/>
            <w:noWrap/>
            <w:hideMark/>
          </w:tcPr>
          <w:p w14:paraId="68CA15D3" w14:textId="760EF83B" w:rsidR="00C50ABC" w:rsidRPr="00F842B5" w:rsidRDefault="00DC7F57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18"/>
                <w:szCs w:val="18"/>
              </w:rPr>
            </w:pPr>
            <w:r w:rsidRPr="00F842B5">
              <w:rPr>
                <w:rFonts w:eastAsia="Times New Roman" w:cstheme="minorHAnsi"/>
                <w:b w:val="0"/>
                <w:sz w:val="18"/>
                <w:szCs w:val="18"/>
              </w:rPr>
              <w:t>1</w:t>
            </w:r>
            <w:r w:rsidR="00F077D4">
              <w:rPr>
                <w:rFonts w:eastAsia="Times New Roman" w:cstheme="minorHAnsi"/>
                <w:b w:val="0"/>
                <w:sz w:val="18"/>
                <w:szCs w:val="18"/>
              </w:rPr>
              <w:t>1</w:t>
            </w:r>
            <w:r w:rsidR="00C50ABC" w:rsidRPr="00F842B5">
              <w:rPr>
                <w:rFonts w:eastAsia="Times New Roman" w:cstheme="minorHAnsi"/>
                <w:b w:val="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14:paraId="2BB42F4C" w14:textId="3A27A556" w:rsidR="00C50ABC" w:rsidRPr="00F842B5" w:rsidRDefault="00DC7F57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18"/>
                <w:szCs w:val="18"/>
              </w:rPr>
            </w:pPr>
            <w:r w:rsidRPr="00F842B5">
              <w:rPr>
                <w:rFonts w:eastAsia="Times New Roman" w:cstheme="minorHAnsi"/>
                <w:b w:val="0"/>
                <w:sz w:val="18"/>
                <w:szCs w:val="18"/>
              </w:rPr>
              <w:t>2</w:t>
            </w:r>
            <w:r w:rsidR="00F077D4">
              <w:rPr>
                <w:rFonts w:eastAsia="Times New Roman" w:cstheme="minorHAnsi"/>
                <w:b w:val="0"/>
                <w:sz w:val="18"/>
                <w:szCs w:val="18"/>
              </w:rPr>
              <w:t>0</w:t>
            </w:r>
            <w:r w:rsidR="00C50ABC" w:rsidRPr="00F842B5">
              <w:rPr>
                <w:rFonts w:eastAsia="Times New Roman" w:cstheme="minorHAnsi"/>
                <w:b w:val="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14:paraId="3A8742D0" w14:textId="66113923" w:rsidR="00C50ABC" w:rsidRPr="00F842B5" w:rsidRDefault="00F077D4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18"/>
                <w:szCs w:val="18"/>
              </w:rPr>
            </w:pPr>
            <w:r>
              <w:rPr>
                <w:rFonts w:eastAsia="Times New Roman" w:cstheme="minorHAnsi"/>
                <w:b w:val="0"/>
                <w:sz w:val="18"/>
                <w:szCs w:val="18"/>
              </w:rPr>
              <w:t>60</w:t>
            </w:r>
            <w:r w:rsidR="00C50ABC" w:rsidRPr="00F842B5">
              <w:rPr>
                <w:rFonts w:eastAsia="Times New Roman" w:cstheme="minorHAnsi"/>
                <w:b w:val="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14:paraId="721AF4FC" w14:textId="5D1346FC" w:rsidR="00C50ABC" w:rsidRPr="00F842B5" w:rsidRDefault="00F077D4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18"/>
                <w:szCs w:val="18"/>
              </w:rPr>
            </w:pPr>
            <w:r>
              <w:rPr>
                <w:rFonts w:eastAsia="Times New Roman" w:cstheme="minorHAnsi"/>
                <w:b w:val="0"/>
                <w:sz w:val="18"/>
                <w:szCs w:val="18"/>
              </w:rPr>
              <w:t>5</w:t>
            </w:r>
            <w:r w:rsidR="00C50ABC" w:rsidRPr="00F842B5">
              <w:rPr>
                <w:rFonts w:eastAsia="Times New Roman" w:cstheme="minorHAnsi"/>
                <w:b w:val="0"/>
                <w:sz w:val="18"/>
                <w:szCs w:val="18"/>
              </w:rPr>
              <w:t>%</w:t>
            </w:r>
          </w:p>
        </w:tc>
        <w:tc>
          <w:tcPr>
            <w:tcW w:w="1629" w:type="dxa"/>
            <w:noWrap/>
            <w:hideMark/>
          </w:tcPr>
          <w:p w14:paraId="0F355612" w14:textId="5D0B29F2" w:rsidR="00C50ABC" w:rsidRPr="00F842B5" w:rsidRDefault="00F077D4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18"/>
                <w:szCs w:val="18"/>
              </w:rPr>
            </w:pPr>
            <w:r>
              <w:rPr>
                <w:rFonts w:eastAsia="Times New Roman" w:cstheme="minorHAnsi"/>
                <w:b w:val="0"/>
                <w:sz w:val="18"/>
                <w:szCs w:val="18"/>
              </w:rPr>
              <w:t>3</w:t>
            </w:r>
            <w:r w:rsidR="00C50ABC" w:rsidRPr="00F842B5">
              <w:rPr>
                <w:rFonts w:eastAsia="Times New Roman" w:cstheme="minorHAnsi"/>
                <w:b w:val="0"/>
                <w:sz w:val="18"/>
                <w:szCs w:val="18"/>
              </w:rPr>
              <w:t>%</w:t>
            </w:r>
          </w:p>
        </w:tc>
      </w:tr>
      <w:tr w:rsidR="00C50ABC" w:rsidRPr="00F842B5" w14:paraId="5FC86306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noWrap/>
            <w:hideMark/>
          </w:tcPr>
          <w:p w14:paraId="33B5044D" w14:textId="77777777" w:rsidR="00C50ABC" w:rsidRPr="00F842B5" w:rsidRDefault="00C50ABC" w:rsidP="00AF53F7">
            <w:pPr>
              <w:rPr>
                <w:rFonts w:eastAsia="Times New Roman" w:cstheme="minorHAnsi"/>
                <w:b w:val="0"/>
                <w:color w:val="000000"/>
                <w:sz w:val="18"/>
                <w:szCs w:val="18"/>
              </w:rPr>
            </w:pPr>
            <w:r w:rsidRPr="00F842B5">
              <w:rPr>
                <w:rFonts w:eastAsia="Times New Roman" w:cstheme="minorHAnsi"/>
                <w:b w:val="0"/>
                <w:color w:val="000000"/>
                <w:sz w:val="18"/>
                <w:szCs w:val="18"/>
              </w:rPr>
              <w:t>Benefits per worker</w:t>
            </w:r>
          </w:p>
        </w:tc>
        <w:tc>
          <w:tcPr>
            <w:tcW w:w="902" w:type="dxa"/>
            <w:noWrap/>
            <w:hideMark/>
          </w:tcPr>
          <w:p w14:paraId="4272BC63" w14:textId="39C2864B" w:rsidR="00C50ABC" w:rsidRPr="00F842B5" w:rsidRDefault="00F077D4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18"/>
                <w:szCs w:val="18"/>
              </w:rPr>
            </w:pPr>
            <w:r>
              <w:rPr>
                <w:rFonts w:eastAsia="Times New Roman" w:cstheme="minorHAnsi"/>
                <w:b w:val="0"/>
                <w:sz w:val="18"/>
                <w:szCs w:val="18"/>
              </w:rPr>
              <w:t>1</w:t>
            </w:r>
            <w:r w:rsidR="00C50ABC" w:rsidRPr="00F842B5">
              <w:rPr>
                <w:rFonts w:eastAsia="Times New Roman" w:cstheme="minorHAnsi"/>
                <w:b w:val="0"/>
                <w:sz w:val="18"/>
                <w:szCs w:val="18"/>
              </w:rPr>
              <w:t>%</w:t>
            </w:r>
          </w:p>
        </w:tc>
        <w:tc>
          <w:tcPr>
            <w:tcW w:w="1334" w:type="dxa"/>
            <w:noWrap/>
            <w:hideMark/>
          </w:tcPr>
          <w:p w14:paraId="46B20791" w14:textId="767B1619" w:rsidR="00C50ABC" w:rsidRPr="00F842B5" w:rsidRDefault="00DC7F57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18"/>
                <w:szCs w:val="18"/>
              </w:rPr>
            </w:pPr>
            <w:r w:rsidRPr="00F842B5">
              <w:rPr>
                <w:rFonts w:eastAsia="Times New Roman" w:cstheme="minorHAnsi"/>
                <w:b w:val="0"/>
                <w:sz w:val="18"/>
                <w:szCs w:val="18"/>
              </w:rPr>
              <w:t>2</w:t>
            </w:r>
            <w:r w:rsidR="00F077D4">
              <w:rPr>
                <w:rFonts w:eastAsia="Times New Roman" w:cstheme="minorHAnsi"/>
                <w:b w:val="0"/>
                <w:sz w:val="18"/>
                <w:szCs w:val="18"/>
              </w:rPr>
              <w:t>5</w:t>
            </w:r>
            <w:r w:rsidR="00C50ABC" w:rsidRPr="00F842B5">
              <w:rPr>
                <w:rFonts w:eastAsia="Times New Roman" w:cstheme="minorHAnsi"/>
                <w:b w:val="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14:paraId="36D92B34" w14:textId="4E18B0EC" w:rsidR="00C50ABC" w:rsidRPr="00F842B5" w:rsidRDefault="00DC7F57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18"/>
                <w:szCs w:val="18"/>
              </w:rPr>
            </w:pPr>
            <w:r w:rsidRPr="00F842B5">
              <w:rPr>
                <w:rFonts w:eastAsia="Times New Roman" w:cstheme="minorHAnsi"/>
                <w:b w:val="0"/>
                <w:sz w:val="18"/>
                <w:szCs w:val="18"/>
              </w:rPr>
              <w:t>1</w:t>
            </w:r>
            <w:r w:rsidR="00F077D4">
              <w:rPr>
                <w:rFonts w:eastAsia="Times New Roman" w:cstheme="minorHAnsi"/>
                <w:b w:val="0"/>
                <w:sz w:val="18"/>
                <w:szCs w:val="18"/>
              </w:rPr>
              <w:t>9</w:t>
            </w:r>
            <w:r w:rsidR="00C50ABC" w:rsidRPr="00F842B5">
              <w:rPr>
                <w:rFonts w:eastAsia="Times New Roman" w:cstheme="minorHAnsi"/>
                <w:b w:val="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14:paraId="445B4873" w14:textId="079C702D" w:rsidR="00C50ABC" w:rsidRPr="00F842B5" w:rsidRDefault="00DC7F57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18"/>
                <w:szCs w:val="18"/>
              </w:rPr>
            </w:pPr>
            <w:r w:rsidRPr="00F842B5">
              <w:rPr>
                <w:rFonts w:eastAsia="Times New Roman" w:cstheme="minorHAnsi"/>
                <w:b w:val="0"/>
                <w:sz w:val="18"/>
                <w:szCs w:val="18"/>
              </w:rPr>
              <w:t>3</w:t>
            </w:r>
            <w:r w:rsidR="00F077D4">
              <w:rPr>
                <w:rFonts w:eastAsia="Times New Roman" w:cstheme="minorHAnsi"/>
                <w:b w:val="0"/>
                <w:sz w:val="18"/>
                <w:szCs w:val="18"/>
              </w:rPr>
              <w:t>2</w:t>
            </w:r>
            <w:r w:rsidR="00C50ABC" w:rsidRPr="00F842B5">
              <w:rPr>
                <w:rFonts w:eastAsia="Times New Roman" w:cstheme="minorHAnsi"/>
                <w:b w:val="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14:paraId="7CF74674" w14:textId="0CC716A9" w:rsidR="00C50ABC" w:rsidRPr="00F842B5" w:rsidRDefault="00DC7F57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18"/>
                <w:szCs w:val="18"/>
              </w:rPr>
            </w:pPr>
            <w:r w:rsidRPr="00F842B5">
              <w:rPr>
                <w:rFonts w:eastAsia="Times New Roman" w:cstheme="minorHAnsi"/>
                <w:b w:val="0"/>
                <w:sz w:val="18"/>
                <w:szCs w:val="18"/>
              </w:rPr>
              <w:t>1</w:t>
            </w:r>
            <w:r w:rsidR="00F077D4">
              <w:rPr>
                <w:rFonts w:eastAsia="Times New Roman" w:cstheme="minorHAnsi"/>
                <w:b w:val="0"/>
                <w:sz w:val="18"/>
                <w:szCs w:val="18"/>
              </w:rPr>
              <w:t>4</w:t>
            </w:r>
            <w:r w:rsidR="00C50ABC" w:rsidRPr="00F842B5">
              <w:rPr>
                <w:rFonts w:eastAsia="Times New Roman" w:cstheme="minorHAnsi"/>
                <w:b w:val="0"/>
                <w:sz w:val="18"/>
                <w:szCs w:val="18"/>
              </w:rPr>
              <w:t>%</w:t>
            </w:r>
          </w:p>
        </w:tc>
        <w:tc>
          <w:tcPr>
            <w:tcW w:w="1629" w:type="dxa"/>
            <w:noWrap/>
            <w:hideMark/>
          </w:tcPr>
          <w:p w14:paraId="3556D8D0" w14:textId="2A0F4400" w:rsidR="00C50ABC" w:rsidRPr="00F842B5" w:rsidRDefault="00F077D4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18"/>
                <w:szCs w:val="18"/>
              </w:rPr>
            </w:pPr>
            <w:r>
              <w:rPr>
                <w:rFonts w:eastAsia="Times New Roman" w:cstheme="minorHAnsi"/>
                <w:b w:val="0"/>
                <w:sz w:val="18"/>
                <w:szCs w:val="18"/>
              </w:rPr>
              <w:t>9</w:t>
            </w:r>
            <w:r w:rsidR="00C50ABC" w:rsidRPr="00F842B5">
              <w:rPr>
                <w:rFonts w:eastAsia="Times New Roman" w:cstheme="minorHAnsi"/>
                <w:b w:val="0"/>
                <w:sz w:val="18"/>
                <w:szCs w:val="18"/>
              </w:rPr>
              <w:t>%</w:t>
            </w:r>
          </w:p>
        </w:tc>
      </w:tr>
    </w:tbl>
    <w:p w14:paraId="129B799F" w14:textId="3DAAF2E1" w:rsidR="00C50ABC" w:rsidRPr="00DF526E" w:rsidRDefault="00C50ABC" w:rsidP="00DF526E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PlainTable5"/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Caption w:val="Business Comparison Indicators: 2014-2015"/>
        <w:tblDescription w:val="Table coparing business indicators between 2014 and 2015."/>
      </w:tblPr>
      <w:tblGrid>
        <w:gridCol w:w="3865"/>
        <w:gridCol w:w="1388"/>
        <w:gridCol w:w="1388"/>
        <w:gridCol w:w="1388"/>
        <w:gridCol w:w="1388"/>
        <w:gridCol w:w="1388"/>
      </w:tblGrid>
      <w:tr w:rsidR="00F7064F" w:rsidRPr="00F842B5" w14:paraId="144EEAC0" w14:textId="77777777" w:rsidTr="00F7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65" w:type="dxa"/>
            <w:shd w:val="clear" w:color="auto" w:fill="BDD6EE" w:themeFill="accent1" w:themeFillTint="66"/>
            <w:noWrap/>
            <w:hideMark/>
          </w:tcPr>
          <w:p w14:paraId="701FF91E" w14:textId="54C6B35D" w:rsidR="00F7064F" w:rsidRPr="00F842B5" w:rsidRDefault="00F7064F" w:rsidP="00C7708C">
            <w:pPr>
              <w:rPr>
                <w:rFonts w:asciiTheme="minorHAnsi" w:eastAsia="Times New Roman" w:hAnsiTheme="minorHAnsi" w:cstheme="minorHAnsi"/>
                <w:b/>
                <w:bCs/>
                <w:i w:val="0"/>
                <w:color w:val="00000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b/>
                <w:bCs/>
                <w:i w:val="0"/>
                <w:color w:val="000000"/>
                <w:sz w:val="18"/>
                <w:szCs w:val="18"/>
              </w:rPr>
              <w:t>What is your outlook on the following state economic indicators next year:</w:t>
            </w:r>
          </w:p>
        </w:tc>
        <w:tc>
          <w:tcPr>
            <w:tcW w:w="1388" w:type="dxa"/>
            <w:shd w:val="clear" w:color="auto" w:fill="BDD6EE" w:themeFill="accent1" w:themeFillTint="66"/>
            <w:noWrap/>
            <w:hideMark/>
          </w:tcPr>
          <w:p w14:paraId="15A4F84D" w14:textId="77777777" w:rsidR="00F7064F" w:rsidRPr="00F842B5" w:rsidRDefault="00F7064F" w:rsidP="00C7708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 w:val="0"/>
                <w:color w:val="00000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b/>
                <w:bCs/>
                <w:i w:val="0"/>
                <w:color w:val="000000"/>
                <w:sz w:val="18"/>
                <w:szCs w:val="18"/>
              </w:rPr>
              <w:t>Up</w:t>
            </w:r>
          </w:p>
        </w:tc>
        <w:tc>
          <w:tcPr>
            <w:tcW w:w="1388" w:type="dxa"/>
            <w:shd w:val="clear" w:color="auto" w:fill="BDD6EE" w:themeFill="accent1" w:themeFillTint="66"/>
            <w:noWrap/>
            <w:hideMark/>
          </w:tcPr>
          <w:p w14:paraId="74D653F2" w14:textId="77777777" w:rsidR="00F7064F" w:rsidRPr="00F842B5" w:rsidRDefault="00F7064F" w:rsidP="00C7708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 w:val="0"/>
                <w:color w:val="00000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b/>
                <w:bCs/>
                <w:i w:val="0"/>
                <w:color w:val="000000"/>
                <w:sz w:val="18"/>
                <w:szCs w:val="18"/>
              </w:rPr>
              <w:t>Same</w:t>
            </w:r>
          </w:p>
        </w:tc>
        <w:tc>
          <w:tcPr>
            <w:tcW w:w="1388" w:type="dxa"/>
            <w:shd w:val="clear" w:color="auto" w:fill="BDD6EE" w:themeFill="accent1" w:themeFillTint="66"/>
            <w:noWrap/>
            <w:hideMark/>
          </w:tcPr>
          <w:p w14:paraId="5D5F7109" w14:textId="36479AD4" w:rsidR="00F7064F" w:rsidRPr="00F842B5" w:rsidRDefault="00F7064F" w:rsidP="00C7708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 w:val="0"/>
                <w:color w:val="00000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b/>
                <w:bCs/>
                <w:i w:val="0"/>
                <w:color w:val="000000"/>
                <w:sz w:val="18"/>
                <w:szCs w:val="18"/>
              </w:rPr>
              <w:t>Down</w:t>
            </w:r>
          </w:p>
        </w:tc>
        <w:tc>
          <w:tcPr>
            <w:tcW w:w="1388" w:type="dxa"/>
            <w:shd w:val="clear" w:color="auto" w:fill="BDD6EE" w:themeFill="accent1" w:themeFillTint="66"/>
          </w:tcPr>
          <w:p w14:paraId="31804581" w14:textId="3D1CD00F" w:rsidR="00F7064F" w:rsidRPr="00F842B5" w:rsidRDefault="00F7064F" w:rsidP="00C7708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sz w:val="18"/>
                <w:szCs w:val="18"/>
              </w:rPr>
              <w:t>Diffusion Index 202</w:t>
            </w:r>
            <w:r w:rsidR="006E375D"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sz w:val="18"/>
                <w:szCs w:val="18"/>
              </w:rPr>
              <w:t>4</w:t>
            </w:r>
            <w:r w:rsidRPr="00F842B5">
              <w:rPr>
                <w:rFonts w:asciiTheme="minorHAnsi" w:eastAsia="Times New Roman" w:hAnsiTheme="minorHAnsi" w:cstheme="minorHAnsi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388" w:type="dxa"/>
            <w:shd w:val="clear" w:color="auto" w:fill="BDD6EE" w:themeFill="accent1" w:themeFillTint="66"/>
          </w:tcPr>
          <w:p w14:paraId="340E9718" w14:textId="1B03F564" w:rsidR="00F7064F" w:rsidRPr="00F842B5" w:rsidRDefault="00F7064F" w:rsidP="00C7708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 w:val="0"/>
                <w:color w:val="00000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sz w:val="18"/>
                <w:szCs w:val="18"/>
              </w:rPr>
              <w:t>Diffusion Index 202</w:t>
            </w:r>
            <w:r w:rsidR="006E375D"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0000"/>
                <w:sz w:val="18"/>
                <w:szCs w:val="18"/>
              </w:rPr>
              <w:t>3</w:t>
            </w:r>
            <w:r w:rsidRPr="00F842B5">
              <w:rPr>
                <w:rFonts w:asciiTheme="minorHAnsi" w:eastAsia="Times New Roman" w:hAnsiTheme="minorHAnsi" w:cstheme="minorHAnsi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F7064F" w:rsidRPr="00F842B5" w14:paraId="0B7A71D1" w14:textId="77777777" w:rsidTr="00F7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65" w:type="dxa"/>
            <w:noWrap/>
            <w:hideMark/>
          </w:tcPr>
          <w:p w14:paraId="32907C20" w14:textId="0C291889" w:rsidR="00F7064F" w:rsidRPr="00F842B5" w:rsidRDefault="00F7064F" w:rsidP="00C7708C">
            <w:pP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Business investment</w:t>
            </w:r>
          </w:p>
        </w:tc>
        <w:tc>
          <w:tcPr>
            <w:tcW w:w="1388" w:type="dxa"/>
            <w:noWrap/>
            <w:hideMark/>
          </w:tcPr>
          <w:p w14:paraId="6BF6B030" w14:textId="0F613A5F" w:rsidR="00F7064F" w:rsidRPr="00F842B5" w:rsidRDefault="00F077D4" w:rsidP="00110EBA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24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8" w:type="dxa"/>
            <w:noWrap/>
            <w:hideMark/>
          </w:tcPr>
          <w:p w14:paraId="71D21619" w14:textId="7254E489" w:rsidR="00F7064F" w:rsidRPr="00F842B5" w:rsidRDefault="00F077D4" w:rsidP="00110EBA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56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8" w:type="dxa"/>
            <w:noWrap/>
            <w:hideMark/>
          </w:tcPr>
          <w:p w14:paraId="23A6B63E" w14:textId="435B4E9D" w:rsidR="00F7064F" w:rsidRPr="00F842B5" w:rsidRDefault="00F077D4" w:rsidP="00110EBA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20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8" w:type="dxa"/>
          </w:tcPr>
          <w:p w14:paraId="4DAA376C" w14:textId="74320F8B" w:rsidR="00F7064F" w:rsidRPr="00F842B5" w:rsidRDefault="00F077D4" w:rsidP="00110EBA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52</w:t>
            </w:r>
          </w:p>
        </w:tc>
        <w:tc>
          <w:tcPr>
            <w:tcW w:w="1388" w:type="dxa"/>
          </w:tcPr>
          <w:p w14:paraId="2FD76E89" w14:textId="3F7D6632" w:rsidR="00F7064F" w:rsidRPr="00F842B5" w:rsidRDefault="00F077D4" w:rsidP="00110EBA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40</w:t>
            </w:r>
          </w:p>
        </w:tc>
      </w:tr>
      <w:tr w:rsidR="00F7064F" w:rsidRPr="00F842B5" w14:paraId="1B168122" w14:textId="77777777" w:rsidTr="00F7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65" w:type="dxa"/>
            <w:noWrap/>
            <w:hideMark/>
          </w:tcPr>
          <w:p w14:paraId="736D13E6" w14:textId="3E8CCD22" w:rsidR="00F7064F" w:rsidRPr="00F842B5" w:rsidRDefault="00F7064F" w:rsidP="00C7708C">
            <w:pP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Employment</w:t>
            </w:r>
          </w:p>
        </w:tc>
        <w:tc>
          <w:tcPr>
            <w:tcW w:w="1388" w:type="dxa"/>
            <w:noWrap/>
            <w:hideMark/>
          </w:tcPr>
          <w:p w14:paraId="3AA14881" w14:textId="3AF7C9DB" w:rsidR="00F7064F" w:rsidRPr="00F842B5" w:rsidRDefault="00F077D4" w:rsidP="00110EBA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20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8" w:type="dxa"/>
            <w:noWrap/>
            <w:hideMark/>
          </w:tcPr>
          <w:p w14:paraId="586750B5" w14:textId="3A5CBEE6" w:rsidR="00F7064F" w:rsidRPr="00F842B5" w:rsidRDefault="00F077D4" w:rsidP="00110EBA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63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8" w:type="dxa"/>
            <w:noWrap/>
            <w:hideMark/>
          </w:tcPr>
          <w:p w14:paraId="0E901369" w14:textId="7C8F546C" w:rsidR="00F7064F" w:rsidRPr="00F842B5" w:rsidRDefault="00F077D4" w:rsidP="00110EBA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17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8" w:type="dxa"/>
          </w:tcPr>
          <w:p w14:paraId="48456CF3" w14:textId="47E2E171" w:rsidR="00F7064F" w:rsidRPr="00F842B5" w:rsidRDefault="00F077D4" w:rsidP="00110EBA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52</w:t>
            </w:r>
          </w:p>
        </w:tc>
        <w:tc>
          <w:tcPr>
            <w:tcW w:w="1388" w:type="dxa"/>
          </w:tcPr>
          <w:p w14:paraId="16C6E736" w14:textId="7E440608" w:rsidR="00F7064F" w:rsidRPr="00F842B5" w:rsidRDefault="00F7064F" w:rsidP="00110EBA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4</w:t>
            </w:r>
            <w:r w:rsidR="00F077D4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2</w:t>
            </w:r>
          </w:p>
        </w:tc>
      </w:tr>
      <w:tr w:rsidR="00F7064F" w:rsidRPr="00F842B5" w14:paraId="6FFD5DF3" w14:textId="77777777" w:rsidTr="00F7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65" w:type="dxa"/>
            <w:noWrap/>
            <w:hideMark/>
          </w:tcPr>
          <w:p w14:paraId="4964B378" w14:textId="6C142D71" w:rsidR="00F7064F" w:rsidRPr="00F842B5" w:rsidRDefault="00F7064F" w:rsidP="00C7708C">
            <w:pP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Consumer spending</w:t>
            </w:r>
          </w:p>
        </w:tc>
        <w:tc>
          <w:tcPr>
            <w:tcW w:w="1388" w:type="dxa"/>
            <w:noWrap/>
            <w:hideMark/>
          </w:tcPr>
          <w:p w14:paraId="3745CC53" w14:textId="247EAEC5" w:rsidR="00F7064F" w:rsidRPr="00F842B5" w:rsidRDefault="00F077D4" w:rsidP="00110EBA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23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8" w:type="dxa"/>
            <w:noWrap/>
            <w:hideMark/>
          </w:tcPr>
          <w:p w14:paraId="0BBC5BCE" w14:textId="0E698F5E" w:rsidR="00F7064F" w:rsidRPr="00F842B5" w:rsidRDefault="00F7064F" w:rsidP="00110EBA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4</w:t>
            </w:r>
            <w:r w:rsidR="00F077D4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4</w:t>
            </w: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8" w:type="dxa"/>
            <w:noWrap/>
            <w:hideMark/>
          </w:tcPr>
          <w:p w14:paraId="541AA488" w14:textId="1E9C9B5D" w:rsidR="00F7064F" w:rsidRPr="00F842B5" w:rsidRDefault="00F077D4" w:rsidP="00110EBA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33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8" w:type="dxa"/>
          </w:tcPr>
          <w:p w14:paraId="1D26E62D" w14:textId="2B817B82" w:rsidR="00F7064F" w:rsidRPr="00F842B5" w:rsidRDefault="00F077D4" w:rsidP="00110EBA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45</w:t>
            </w:r>
          </w:p>
        </w:tc>
        <w:tc>
          <w:tcPr>
            <w:tcW w:w="1388" w:type="dxa"/>
          </w:tcPr>
          <w:p w14:paraId="1E33E8D6" w14:textId="73E589D1" w:rsidR="00F7064F" w:rsidRPr="00F842B5" w:rsidRDefault="00F077D4" w:rsidP="00110EBA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29</w:t>
            </w:r>
          </w:p>
        </w:tc>
      </w:tr>
      <w:tr w:rsidR="00F7064F" w:rsidRPr="00F842B5" w14:paraId="6DB09DA5" w14:textId="77777777" w:rsidTr="00F7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65" w:type="dxa"/>
            <w:noWrap/>
            <w:hideMark/>
          </w:tcPr>
          <w:p w14:paraId="660A28EA" w14:textId="5DACDED2" w:rsidR="00F7064F" w:rsidRPr="00F842B5" w:rsidRDefault="00F7064F" w:rsidP="00C7708C">
            <w:pP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Inflation</w:t>
            </w:r>
          </w:p>
        </w:tc>
        <w:tc>
          <w:tcPr>
            <w:tcW w:w="1388" w:type="dxa"/>
            <w:noWrap/>
            <w:hideMark/>
          </w:tcPr>
          <w:p w14:paraId="2ED079BE" w14:textId="266F61BB" w:rsidR="00F7064F" w:rsidRPr="00F842B5" w:rsidRDefault="00F077D4" w:rsidP="00110EBA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39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8" w:type="dxa"/>
            <w:noWrap/>
            <w:hideMark/>
          </w:tcPr>
          <w:p w14:paraId="0EDB349C" w14:textId="03052084" w:rsidR="00F7064F" w:rsidRPr="00F842B5" w:rsidRDefault="00F077D4" w:rsidP="00110EBA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40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8" w:type="dxa"/>
            <w:noWrap/>
            <w:hideMark/>
          </w:tcPr>
          <w:p w14:paraId="0A7DFC33" w14:textId="1952FBC7" w:rsidR="00F7064F" w:rsidRPr="00F842B5" w:rsidRDefault="00F077D4" w:rsidP="00110EBA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22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8" w:type="dxa"/>
          </w:tcPr>
          <w:p w14:paraId="1E40D47F" w14:textId="4579FD1D" w:rsidR="00F7064F" w:rsidRPr="00F842B5" w:rsidRDefault="00F077D4" w:rsidP="00110EBA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59</w:t>
            </w:r>
          </w:p>
        </w:tc>
        <w:tc>
          <w:tcPr>
            <w:tcW w:w="1388" w:type="dxa"/>
          </w:tcPr>
          <w:p w14:paraId="4517FB8B" w14:textId="76FB4F19" w:rsidR="00F7064F" w:rsidRPr="00F842B5" w:rsidRDefault="00F077D4" w:rsidP="00110EBA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68</w:t>
            </w:r>
          </w:p>
        </w:tc>
      </w:tr>
      <w:tr w:rsidR="00F7064F" w:rsidRPr="00F842B5" w14:paraId="4BED9D0E" w14:textId="77777777" w:rsidTr="00F7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65" w:type="dxa"/>
            <w:noWrap/>
          </w:tcPr>
          <w:p w14:paraId="62E54C0B" w14:textId="261D6A0E" w:rsidR="00F7064F" w:rsidRPr="00F842B5" w:rsidRDefault="00F7064F" w:rsidP="00C7708C">
            <w:pP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Economic Growth</w:t>
            </w:r>
          </w:p>
        </w:tc>
        <w:tc>
          <w:tcPr>
            <w:tcW w:w="1388" w:type="dxa"/>
            <w:noWrap/>
          </w:tcPr>
          <w:p w14:paraId="11A31A57" w14:textId="7B3196EE" w:rsidR="00F7064F" w:rsidRPr="00F842B5" w:rsidRDefault="00F077D4" w:rsidP="00110EBA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33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%</w:t>
            </w:r>
          </w:p>
        </w:tc>
        <w:tc>
          <w:tcPr>
            <w:tcW w:w="1388" w:type="dxa"/>
            <w:noWrap/>
          </w:tcPr>
          <w:p w14:paraId="39363500" w14:textId="4F875FFF" w:rsidR="00F7064F" w:rsidRPr="00F842B5" w:rsidRDefault="00F7064F" w:rsidP="00110EBA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4</w:t>
            </w:r>
            <w:r w:rsidR="00F077D4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3</w:t>
            </w:r>
            <w:r w:rsidRPr="00F842B5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%</w:t>
            </w:r>
          </w:p>
        </w:tc>
        <w:tc>
          <w:tcPr>
            <w:tcW w:w="1388" w:type="dxa"/>
            <w:noWrap/>
          </w:tcPr>
          <w:p w14:paraId="6F9C2015" w14:textId="246E94D0" w:rsidR="00F7064F" w:rsidRPr="00F842B5" w:rsidRDefault="00F077D4" w:rsidP="00110EBA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24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%</w:t>
            </w:r>
          </w:p>
        </w:tc>
        <w:tc>
          <w:tcPr>
            <w:tcW w:w="1388" w:type="dxa"/>
          </w:tcPr>
          <w:p w14:paraId="5387B2B9" w14:textId="7CF8610B" w:rsidR="00F7064F" w:rsidRPr="00F842B5" w:rsidRDefault="00F077D4" w:rsidP="00110EBA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55</w:t>
            </w:r>
          </w:p>
        </w:tc>
        <w:tc>
          <w:tcPr>
            <w:tcW w:w="1388" w:type="dxa"/>
          </w:tcPr>
          <w:p w14:paraId="30A5EE65" w14:textId="3C3E3956" w:rsidR="00F7064F" w:rsidRPr="00F842B5" w:rsidRDefault="00F077D4" w:rsidP="00110EBA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33</w:t>
            </w:r>
          </w:p>
        </w:tc>
      </w:tr>
      <w:tr w:rsidR="00F7064F" w:rsidRPr="00F842B5" w14:paraId="7DA6B354" w14:textId="77777777" w:rsidTr="00F7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65" w:type="dxa"/>
            <w:noWrap/>
            <w:hideMark/>
          </w:tcPr>
          <w:p w14:paraId="2B9CB535" w14:textId="6E8951F1" w:rsidR="00F7064F" w:rsidRPr="00F842B5" w:rsidRDefault="00F7064F" w:rsidP="00C7708C">
            <w:pP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Corporate profits</w:t>
            </w:r>
          </w:p>
        </w:tc>
        <w:tc>
          <w:tcPr>
            <w:tcW w:w="1388" w:type="dxa"/>
            <w:noWrap/>
            <w:hideMark/>
          </w:tcPr>
          <w:p w14:paraId="35E08C3E" w14:textId="7CD0BD87" w:rsidR="00F7064F" w:rsidRPr="00F842B5" w:rsidRDefault="00F077D4" w:rsidP="00110EBA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27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8" w:type="dxa"/>
            <w:noWrap/>
            <w:hideMark/>
          </w:tcPr>
          <w:p w14:paraId="02710623" w14:textId="56ABE7A5" w:rsidR="00F7064F" w:rsidRPr="00F842B5" w:rsidRDefault="00F7064F" w:rsidP="00110EBA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4</w:t>
            </w:r>
            <w:r w:rsidR="00F077D4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5</w:t>
            </w: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8" w:type="dxa"/>
            <w:noWrap/>
            <w:hideMark/>
          </w:tcPr>
          <w:p w14:paraId="45051780" w14:textId="27AA98E2" w:rsidR="00F7064F" w:rsidRPr="00F842B5" w:rsidRDefault="00F077D4" w:rsidP="00110EBA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29</w:t>
            </w:r>
            <w:r w:rsidR="00F7064F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  <w:tc>
          <w:tcPr>
            <w:tcW w:w="1388" w:type="dxa"/>
          </w:tcPr>
          <w:p w14:paraId="6F635879" w14:textId="0D43D3B0" w:rsidR="00F7064F" w:rsidRPr="00F842B5" w:rsidRDefault="00F077D4" w:rsidP="00110EBA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50</w:t>
            </w:r>
          </w:p>
        </w:tc>
        <w:tc>
          <w:tcPr>
            <w:tcW w:w="1388" w:type="dxa"/>
          </w:tcPr>
          <w:p w14:paraId="6141569C" w14:textId="06148796" w:rsidR="00F7064F" w:rsidRPr="00F842B5" w:rsidRDefault="00F7064F" w:rsidP="00110EBA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3</w:t>
            </w:r>
            <w:r w:rsidR="00F077D4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5</w:t>
            </w:r>
          </w:p>
        </w:tc>
      </w:tr>
    </w:tbl>
    <w:p w14:paraId="2830D502" w14:textId="61080C58" w:rsidR="00EE216E" w:rsidRPr="00F30929" w:rsidRDefault="00EE216E" w:rsidP="00EE216E">
      <w:pPr>
        <w:spacing w:after="0" w:line="240" w:lineRule="auto"/>
        <w:rPr>
          <w:rFonts w:cstheme="minorHAnsi"/>
          <w:color w:val="FF0000"/>
          <w:sz w:val="16"/>
          <w:szCs w:val="16"/>
        </w:rPr>
      </w:pPr>
      <w:r w:rsidRPr="00F30929">
        <w:rPr>
          <w:rFonts w:cstheme="minorHAnsi"/>
          <w:sz w:val="16"/>
          <w:szCs w:val="16"/>
        </w:rPr>
        <w:lastRenderedPageBreak/>
        <w:t xml:space="preserve">*A diffusion index greater than 50 indicates expansion, lower than 50 indicates contraction. </w:t>
      </w:r>
      <w:r w:rsidRPr="00F30929">
        <w:rPr>
          <w:rFonts w:cstheme="minorHAnsi"/>
          <w:sz w:val="16"/>
          <w:szCs w:val="16"/>
        </w:rPr>
        <w:br/>
      </w:r>
    </w:p>
    <w:p w14:paraId="62FC1588" w14:textId="2A42C98B" w:rsidR="00B90819" w:rsidRPr="00F842B5" w:rsidRDefault="00082B96" w:rsidP="00082B96">
      <w:pPr>
        <w:spacing w:before="120" w:after="120" w:line="240" w:lineRule="auto"/>
        <w:rPr>
          <w:rFonts w:cstheme="minorHAnsi"/>
          <w:i/>
          <w:iCs/>
          <w:color w:val="2E74B5" w:themeColor="accent1" w:themeShade="BF"/>
        </w:rPr>
      </w:pPr>
      <w:r w:rsidRPr="00F842B5">
        <w:rPr>
          <w:rFonts w:cstheme="minorHAnsi"/>
          <w:i/>
          <w:iCs/>
          <w:color w:val="2E74B5" w:themeColor="accent1" w:themeShade="BF"/>
        </w:rPr>
        <w:t>(Continuation)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80"/>
        <w:gridCol w:w="911"/>
        <w:gridCol w:w="911"/>
        <w:gridCol w:w="911"/>
        <w:gridCol w:w="1272"/>
        <w:gridCol w:w="1272"/>
      </w:tblGrid>
      <w:tr w:rsidR="006E375D" w:rsidRPr="00F842B5" w14:paraId="709669C8" w14:textId="0132BDF7" w:rsidTr="0047763E">
        <w:trPr>
          <w:trHeight w:val="251"/>
        </w:trPr>
        <w:tc>
          <w:tcPr>
            <w:tcW w:w="32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57FFE7D" w14:textId="26F5BA71" w:rsidR="006E375D" w:rsidRPr="00F842B5" w:rsidRDefault="006E375D" w:rsidP="002178EF">
            <w:pPr>
              <w:spacing w:before="120" w:line="12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F842B5">
              <w:rPr>
                <w:rFonts w:cstheme="minorHAnsi"/>
                <w:b/>
                <w:bCs/>
                <w:sz w:val="18"/>
                <w:szCs w:val="18"/>
              </w:rPr>
              <w:t>Expected impact of current interest rates</w:t>
            </w:r>
          </w:p>
        </w:tc>
        <w:tc>
          <w:tcPr>
            <w:tcW w:w="91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52ABD2" w14:textId="7954E973" w:rsidR="006E375D" w:rsidRPr="00F842B5" w:rsidRDefault="006E375D" w:rsidP="00110EBA">
            <w:pPr>
              <w:spacing w:before="120" w:line="120" w:lineRule="auto"/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F842B5">
              <w:rPr>
                <w:rFonts w:cstheme="minorHAnsi"/>
                <w:b/>
                <w:bCs/>
                <w:sz w:val="18"/>
                <w:szCs w:val="18"/>
                <w:u w:val="single"/>
              </w:rPr>
              <w:t>Up</w:t>
            </w:r>
          </w:p>
        </w:tc>
        <w:tc>
          <w:tcPr>
            <w:tcW w:w="91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14:paraId="2B344B3F" w14:textId="51578FB9" w:rsidR="006E375D" w:rsidRPr="00F842B5" w:rsidRDefault="006E375D" w:rsidP="00110EBA">
            <w:pPr>
              <w:spacing w:before="120" w:line="120" w:lineRule="auto"/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F842B5">
              <w:rPr>
                <w:rFonts w:cstheme="minorHAnsi"/>
                <w:b/>
                <w:bCs/>
                <w:sz w:val="18"/>
                <w:szCs w:val="18"/>
                <w:u w:val="single"/>
              </w:rPr>
              <w:t>Same</w:t>
            </w:r>
          </w:p>
        </w:tc>
        <w:tc>
          <w:tcPr>
            <w:tcW w:w="91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14:paraId="371C5952" w14:textId="6086906B" w:rsidR="006E375D" w:rsidRPr="00F842B5" w:rsidRDefault="006E375D" w:rsidP="00110EBA">
            <w:pPr>
              <w:spacing w:before="120" w:line="120" w:lineRule="auto"/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F842B5">
              <w:rPr>
                <w:rFonts w:cstheme="minorHAnsi"/>
                <w:b/>
                <w:bCs/>
                <w:sz w:val="18"/>
                <w:szCs w:val="18"/>
                <w:u w:val="single"/>
              </w:rPr>
              <w:t>Down</w:t>
            </w:r>
          </w:p>
        </w:tc>
        <w:tc>
          <w:tcPr>
            <w:tcW w:w="127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FA8905" w14:textId="785878B6" w:rsidR="006E375D" w:rsidRPr="00F842B5" w:rsidRDefault="006E375D" w:rsidP="00110EBA">
            <w:pPr>
              <w:spacing w:before="120" w:line="120" w:lineRule="auto"/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F842B5">
              <w:rPr>
                <w:rFonts w:cstheme="minorHAnsi"/>
                <w:b/>
                <w:bCs/>
                <w:sz w:val="18"/>
                <w:szCs w:val="18"/>
                <w:u w:val="single"/>
              </w:rPr>
              <w:t>Diffusion</w:t>
            </w:r>
          </w:p>
        </w:tc>
        <w:tc>
          <w:tcPr>
            <w:tcW w:w="127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14:paraId="12AE61B5" w14:textId="1E72DEC8" w:rsidR="006E375D" w:rsidRPr="00F842B5" w:rsidRDefault="006E375D" w:rsidP="00110EBA">
            <w:pPr>
              <w:spacing w:before="120" w:line="120" w:lineRule="auto"/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t>Diffusion</w:t>
            </w:r>
          </w:p>
        </w:tc>
      </w:tr>
      <w:tr w:rsidR="006E375D" w:rsidRPr="00F842B5" w14:paraId="54AFEF13" w14:textId="46E72057" w:rsidTr="0047763E">
        <w:trPr>
          <w:trHeight w:val="260"/>
        </w:trPr>
        <w:tc>
          <w:tcPr>
            <w:tcW w:w="3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12377F" w14:textId="7D9DDB97" w:rsidR="006E375D" w:rsidRPr="00F842B5" w:rsidRDefault="006E375D" w:rsidP="002178EF">
            <w:pPr>
              <w:spacing w:before="120" w:line="12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F842B5">
              <w:rPr>
                <w:rFonts w:cstheme="minorHAnsi"/>
                <w:b/>
                <w:bCs/>
                <w:sz w:val="18"/>
                <w:szCs w:val="18"/>
              </w:rPr>
              <w:t>on your businesses in 202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DE7D7F4" w14:textId="5F2A6AED" w:rsidR="006E375D" w:rsidRPr="00F842B5" w:rsidRDefault="006E375D" w:rsidP="00110EBA">
            <w:pPr>
              <w:spacing w:before="120" w:line="120" w:lineRule="auto"/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549D28" w14:textId="215B945E" w:rsidR="006E375D" w:rsidRPr="00F842B5" w:rsidRDefault="006E375D" w:rsidP="00110EBA">
            <w:pPr>
              <w:spacing w:before="120" w:line="120" w:lineRule="auto"/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1DE87E" w14:textId="1373E78C" w:rsidR="006E375D" w:rsidRPr="00F842B5" w:rsidRDefault="006E375D" w:rsidP="00110EBA">
            <w:pPr>
              <w:spacing w:before="120" w:line="120" w:lineRule="auto"/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6CDEE5" w14:textId="76998B6D" w:rsidR="006E375D" w:rsidRPr="00F842B5" w:rsidRDefault="006E375D" w:rsidP="00110EBA">
            <w:pPr>
              <w:spacing w:before="120" w:line="120" w:lineRule="auto"/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F842B5">
              <w:rPr>
                <w:rFonts w:cstheme="minorHAnsi"/>
                <w:b/>
                <w:bCs/>
                <w:sz w:val="18"/>
                <w:szCs w:val="18"/>
                <w:u w:val="single"/>
              </w:rPr>
              <w:t>Index 202</w:t>
            </w:r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t>4</w:t>
            </w:r>
            <w:r w:rsidRPr="00F842B5">
              <w:rPr>
                <w:rFonts w:cstheme="minorHAnsi"/>
                <w:b/>
                <w:bCs/>
                <w:sz w:val="18"/>
                <w:szCs w:val="18"/>
                <w:u w:val="single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BD088CE" w14:textId="5EFADCE7" w:rsidR="006E375D" w:rsidRPr="00F842B5" w:rsidRDefault="006E375D" w:rsidP="00110EBA">
            <w:pPr>
              <w:spacing w:before="120" w:line="120" w:lineRule="auto"/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t>Index 2023*</w:t>
            </w:r>
          </w:p>
        </w:tc>
      </w:tr>
      <w:tr w:rsidR="006E375D" w:rsidRPr="00F842B5" w14:paraId="187B8560" w14:textId="7A1D04E0" w:rsidTr="0047763E">
        <w:trPr>
          <w:trHeight w:val="247"/>
        </w:trPr>
        <w:tc>
          <w:tcPr>
            <w:tcW w:w="3280" w:type="dxa"/>
            <w:noWrap/>
            <w:vAlign w:val="center"/>
          </w:tcPr>
          <w:p w14:paraId="55651D55" w14:textId="79E346E6" w:rsidR="006E375D" w:rsidRPr="00F842B5" w:rsidRDefault="006E375D" w:rsidP="006E375D">
            <w:pPr>
              <w:spacing w:before="120" w:line="120" w:lineRule="auto"/>
              <w:rPr>
                <w:rFonts w:cstheme="minorHAnsi"/>
                <w:sz w:val="18"/>
                <w:szCs w:val="18"/>
              </w:rPr>
            </w:pPr>
            <w:r w:rsidRPr="00F842B5">
              <w:rPr>
                <w:rFonts w:cstheme="minorHAnsi"/>
                <w:sz w:val="18"/>
                <w:szCs w:val="18"/>
              </w:rPr>
              <w:t>Capital investment</w:t>
            </w:r>
          </w:p>
        </w:tc>
        <w:tc>
          <w:tcPr>
            <w:tcW w:w="911" w:type="dxa"/>
            <w:noWrap/>
            <w:vAlign w:val="center"/>
          </w:tcPr>
          <w:p w14:paraId="23233380" w14:textId="0652F933" w:rsidR="006E375D" w:rsidRPr="00F842B5" w:rsidRDefault="006E375D" w:rsidP="006E375D">
            <w:pPr>
              <w:spacing w:before="120" w:line="12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F842B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911" w:type="dxa"/>
          </w:tcPr>
          <w:p w14:paraId="39CEA2BB" w14:textId="293B1EA7" w:rsidR="006E375D" w:rsidRPr="00F842B5" w:rsidRDefault="006E375D" w:rsidP="006E375D">
            <w:pPr>
              <w:spacing w:before="120" w:line="12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</w:t>
            </w:r>
            <w:r w:rsidRPr="00F842B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911" w:type="dxa"/>
          </w:tcPr>
          <w:p w14:paraId="45B7E975" w14:textId="0B4E8757" w:rsidR="006E375D" w:rsidRPr="00F842B5" w:rsidRDefault="006E375D" w:rsidP="006E375D">
            <w:pPr>
              <w:spacing w:before="120" w:line="12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  <w:r w:rsidRPr="00F842B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272" w:type="dxa"/>
          </w:tcPr>
          <w:p w14:paraId="125857B4" w14:textId="5BEF7B17" w:rsidR="006E375D" w:rsidRPr="00F842B5" w:rsidRDefault="006E375D" w:rsidP="006E375D">
            <w:pPr>
              <w:spacing w:before="120" w:line="12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1272" w:type="dxa"/>
          </w:tcPr>
          <w:p w14:paraId="4650EE80" w14:textId="570D526D" w:rsidR="006E375D" w:rsidRPr="00F842B5" w:rsidRDefault="006E375D" w:rsidP="006E375D">
            <w:pPr>
              <w:spacing w:before="120" w:line="12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42B5"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6E375D" w:rsidRPr="00F842B5" w14:paraId="5AA25555" w14:textId="29DA7859" w:rsidTr="0047763E">
        <w:trPr>
          <w:trHeight w:val="247"/>
        </w:trPr>
        <w:tc>
          <w:tcPr>
            <w:tcW w:w="3280" w:type="dxa"/>
            <w:noWrap/>
            <w:vAlign w:val="center"/>
          </w:tcPr>
          <w:p w14:paraId="55B87F7A" w14:textId="67C1D524" w:rsidR="006E375D" w:rsidRPr="00F842B5" w:rsidRDefault="006E375D" w:rsidP="006E375D">
            <w:pPr>
              <w:spacing w:before="120" w:line="120" w:lineRule="auto"/>
              <w:rPr>
                <w:rFonts w:cstheme="minorHAnsi"/>
                <w:sz w:val="18"/>
                <w:szCs w:val="18"/>
              </w:rPr>
            </w:pPr>
            <w:r w:rsidRPr="00F842B5">
              <w:rPr>
                <w:rFonts w:cstheme="minorHAnsi"/>
                <w:sz w:val="18"/>
                <w:szCs w:val="18"/>
              </w:rPr>
              <w:t>Hiring</w:t>
            </w:r>
          </w:p>
        </w:tc>
        <w:tc>
          <w:tcPr>
            <w:tcW w:w="911" w:type="dxa"/>
            <w:noWrap/>
            <w:vAlign w:val="center"/>
          </w:tcPr>
          <w:p w14:paraId="21FF4FBA" w14:textId="1C9A44CA" w:rsidR="006E375D" w:rsidRPr="00F842B5" w:rsidRDefault="006E375D" w:rsidP="006E375D">
            <w:pPr>
              <w:spacing w:before="120" w:line="12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Pr="00F842B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911" w:type="dxa"/>
          </w:tcPr>
          <w:p w14:paraId="589E767B" w14:textId="525634AC" w:rsidR="006E375D" w:rsidRPr="00F842B5" w:rsidRDefault="006E375D" w:rsidP="006E375D">
            <w:pPr>
              <w:spacing w:before="120" w:line="12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74</w:t>
            </w:r>
            <w:r w:rsidRPr="00F842B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911" w:type="dxa"/>
          </w:tcPr>
          <w:p w14:paraId="53038DAD" w14:textId="4AA66DCE" w:rsidR="006E375D" w:rsidRPr="00F842B5" w:rsidRDefault="006E375D" w:rsidP="006E375D">
            <w:pPr>
              <w:spacing w:before="120" w:line="12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Pr="00F842B5">
              <w:rPr>
                <w:rFonts w:cstheme="minorHAnsi"/>
                <w:sz w:val="18"/>
                <w:szCs w:val="18"/>
              </w:rPr>
              <w:t>7%</w:t>
            </w:r>
          </w:p>
        </w:tc>
        <w:tc>
          <w:tcPr>
            <w:tcW w:w="1272" w:type="dxa"/>
          </w:tcPr>
          <w:p w14:paraId="658E779E" w14:textId="476015CB" w:rsidR="006E375D" w:rsidRPr="00F842B5" w:rsidRDefault="006E375D" w:rsidP="006E375D">
            <w:pPr>
              <w:spacing w:before="120" w:line="12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1272" w:type="dxa"/>
          </w:tcPr>
          <w:p w14:paraId="3D47ABA0" w14:textId="351FF5D7" w:rsidR="006E375D" w:rsidRPr="00F842B5" w:rsidRDefault="006E375D" w:rsidP="006E375D">
            <w:pPr>
              <w:spacing w:before="120" w:line="12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42B5">
              <w:rPr>
                <w:rFonts w:cstheme="minorHAnsi"/>
                <w:sz w:val="18"/>
                <w:szCs w:val="18"/>
              </w:rPr>
              <w:t>35</w:t>
            </w:r>
          </w:p>
        </w:tc>
      </w:tr>
      <w:tr w:rsidR="006E375D" w:rsidRPr="00F842B5" w14:paraId="4EC5E333" w14:textId="018FE2EF" w:rsidTr="0047763E">
        <w:trPr>
          <w:trHeight w:val="247"/>
        </w:trPr>
        <w:tc>
          <w:tcPr>
            <w:tcW w:w="3280" w:type="dxa"/>
            <w:noWrap/>
            <w:vAlign w:val="center"/>
          </w:tcPr>
          <w:p w14:paraId="20B071A7" w14:textId="0D13EFD9" w:rsidR="006E375D" w:rsidRPr="00F842B5" w:rsidRDefault="006E375D" w:rsidP="006E375D">
            <w:pPr>
              <w:spacing w:before="120" w:line="120" w:lineRule="auto"/>
              <w:rPr>
                <w:rFonts w:cstheme="minorHAnsi"/>
                <w:sz w:val="18"/>
                <w:szCs w:val="18"/>
              </w:rPr>
            </w:pPr>
            <w:r w:rsidRPr="00F842B5">
              <w:rPr>
                <w:rFonts w:cstheme="minorHAnsi"/>
                <w:sz w:val="18"/>
                <w:szCs w:val="18"/>
              </w:rPr>
              <w:t>Savings</w:t>
            </w:r>
          </w:p>
        </w:tc>
        <w:tc>
          <w:tcPr>
            <w:tcW w:w="911" w:type="dxa"/>
            <w:noWrap/>
            <w:vAlign w:val="center"/>
          </w:tcPr>
          <w:p w14:paraId="2C04C9FE" w14:textId="2AACC1B6" w:rsidR="006E375D" w:rsidRPr="00F842B5" w:rsidRDefault="006E375D" w:rsidP="006E375D">
            <w:pPr>
              <w:spacing w:before="120" w:line="12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F842B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911" w:type="dxa"/>
          </w:tcPr>
          <w:p w14:paraId="36ED2663" w14:textId="752F5AD3" w:rsidR="006E375D" w:rsidRPr="00F842B5" w:rsidRDefault="006E375D" w:rsidP="006E375D">
            <w:pPr>
              <w:spacing w:before="120" w:line="12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F842B5">
              <w:rPr>
                <w:rFonts w:cstheme="minorHAnsi"/>
                <w:sz w:val="18"/>
                <w:szCs w:val="18"/>
              </w:rPr>
              <w:t>4%</w:t>
            </w:r>
          </w:p>
        </w:tc>
        <w:tc>
          <w:tcPr>
            <w:tcW w:w="911" w:type="dxa"/>
          </w:tcPr>
          <w:p w14:paraId="38A39EB3" w14:textId="21E40A34" w:rsidR="006E375D" w:rsidRPr="00F842B5" w:rsidRDefault="006E375D" w:rsidP="006E375D">
            <w:pPr>
              <w:spacing w:before="120" w:line="12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  <w:r w:rsidRPr="00F842B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272" w:type="dxa"/>
          </w:tcPr>
          <w:p w14:paraId="1C769225" w14:textId="6E4632EC" w:rsidR="006E375D" w:rsidRPr="00F842B5" w:rsidRDefault="006E375D" w:rsidP="006E375D">
            <w:pPr>
              <w:spacing w:before="120" w:line="12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1272" w:type="dxa"/>
          </w:tcPr>
          <w:p w14:paraId="08019B15" w14:textId="26271592" w:rsidR="006E375D" w:rsidRPr="00F842B5" w:rsidRDefault="006E375D" w:rsidP="006E375D">
            <w:pPr>
              <w:spacing w:before="120" w:line="12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42B5"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6E375D" w:rsidRPr="00F842B5" w14:paraId="675ABEED" w14:textId="40A72735" w:rsidTr="0047763E">
        <w:trPr>
          <w:trHeight w:val="247"/>
        </w:trPr>
        <w:tc>
          <w:tcPr>
            <w:tcW w:w="3280" w:type="dxa"/>
            <w:noWrap/>
            <w:vAlign w:val="center"/>
          </w:tcPr>
          <w:p w14:paraId="18A9F1C6" w14:textId="6EDF3913" w:rsidR="006E375D" w:rsidRPr="00F842B5" w:rsidRDefault="006E375D" w:rsidP="006E375D">
            <w:pPr>
              <w:spacing w:before="120" w:line="120" w:lineRule="auto"/>
              <w:rPr>
                <w:rFonts w:cstheme="minorHAnsi"/>
                <w:sz w:val="18"/>
                <w:szCs w:val="18"/>
              </w:rPr>
            </w:pPr>
            <w:r w:rsidRPr="00F842B5">
              <w:rPr>
                <w:rFonts w:cstheme="minorHAnsi"/>
                <w:sz w:val="18"/>
                <w:szCs w:val="18"/>
              </w:rPr>
              <w:t>Inventory</w:t>
            </w:r>
          </w:p>
        </w:tc>
        <w:tc>
          <w:tcPr>
            <w:tcW w:w="911" w:type="dxa"/>
            <w:noWrap/>
            <w:vAlign w:val="center"/>
          </w:tcPr>
          <w:p w14:paraId="4AACEF07" w14:textId="5FE57084" w:rsidR="006E375D" w:rsidRPr="00F842B5" w:rsidRDefault="006E375D" w:rsidP="006E375D">
            <w:pPr>
              <w:spacing w:before="120" w:line="12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Pr="00F842B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911" w:type="dxa"/>
          </w:tcPr>
          <w:p w14:paraId="1BEE821E" w14:textId="0F58AC8C" w:rsidR="006E375D" w:rsidRPr="00F842B5" w:rsidRDefault="006E375D" w:rsidP="006E375D">
            <w:pPr>
              <w:spacing w:before="120" w:line="12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Pr="00F842B5"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911" w:type="dxa"/>
          </w:tcPr>
          <w:p w14:paraId="7E994A38" w14:textId="4EC4D9C5" w:rsidR="006E375D" w:rsidRPr="00F842B5" w:rsidRDefault="006E375D" w:rsidP="006E375D">
            <w:pPr>
              <w:spacing w:before="120" w:line="12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F842B5">
              <w:rPr>
                <w:rFonts w:cstheme="minorHAnsi"/>
                <w:sz w:val="18"/>
                <w:szCs w:val="18"/>
              </w:rPr>
              <w:t>4%</w:t>
            </w:r>
          </w:p>
        </w:tc>
        <w:tc>
          <w:tcPr>
            <w:tcW w:w="1272" w:type="dxa"/>
          </w:tcPr>
          <w:p w14:paraId="7B341F82" w14:textId="76CDB617" w:rsidR="006E375D" w:rsidRPr="00F842B5" w:rsidRDefault="006E375D" w:rsidP="006E375D">
            <w:pPr>
              <w:spacing w:before="120" w:line="12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1272" w:type="dxa"/>
          </w:tcPr>
          <w:p w14:paraId="6797F288" w14:textId="44733B0F" w:rsidR="006E375D" w:rsidRPr="00F842B5" w:rsidRDefault="006E375D" w:rsidP="006E375D">
            <w:pPr>
              <w:spacing w:before="120" w:line="12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42B5"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6E375D" w:rsidRPr="00F842B5" w14:paraId="139C9986" w14:textId="4B403E7F" w:rsidTr="0047763E">
        <w:trPr>
          <w:trHeight w:val="247"/>
        </w:trPr>
        <w:tc>
          <w:tcPr>
            <w:tcW w:w="3280" w:type="dxa"/>
            <w:noWrap/>
            <w:vAlign w:val="center"/>
          </w:tcPr>
          <w:p w14:paraId="1F5B6CB5" w14:textId="133C4C23" w:rsidR="006E375D" w:rsidRPr="00F842B5" w:rsidRDefault="006E375D" w:rsidP="006E375D">
            <w:pPr>
              <w:spacing w:before="120" w:line="120" w:lineRule="auto"/>
              <w:rPr>
                <w:rFonts w:cstheme="minorHAnsi"/>
                <w:sz w:val="18"/>
                <w:szCs w:val="18"/>
              </w:rPr>
            </w:pPr>
            <w:r w:rsidRPr="00F842B5">
              <w:rPr>
                <w:rFonts w:cstheme="minorHAnsi"/>
                <w:sz w:val="18"/>
                <w:szCs w:val="18"/>
              </w:rPr>
              <w:t>Pricing to consumers</w:t>
            </w:r>
          </w:p>
        </w:tc>
        <w:tc>
          <w:tcPr>
            <w:tcW w:w="911" w:type="dxa"/>
            <w:noWrap/>
            <w:vAlign w:val="center"/>
          </w:tcPr>
          <w:p w14:paraId="116610BB" w14:textId="50BE21A6" w:rsidR="006E375D" w:rsidRPr="00F842B5" w:rsidRDefault="006E375D" w:rsidP="006E375D">
            <w:pPr>
              <w:spacing w:before="120" w:line="12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</w:t>
            </w:r>
            <w:r w:rsidRPr="00F842B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911" w:type="dxa"/>
          </w:tcPr>
          <w:p w14:paraId="042640F5" w14:textId="715EDE41" w:rsidR="006E375D" w:rsidRPr="00F842B5" w:rsidRDefault="006E375D" w:rsidP="006E375D">
            <w:pPr>
              <w:spacing w:before="120" w:line="12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57</w:t>
            </w:r>
            <w:r w:rsidRPr="00F842B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911" w:type="dxa"/>
          </w:tcPr>
          <w:p w14:paraId="6591480E" w14:textId="7D41C6D3" w:rsidR="006E375D" w:rsidRPr="00F842B5" w:rsidRDefault="006E375D" w:rsidP="006E375D">
            <w:pPr>
              <w:spacing w:before="120" w:line="12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F842B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272" w:type="dxa"/>
          </w:tcPr>
          <w:p w14:paraId="1F183DDA" w14:textId="3C2519D2" w:rsidR="006E375D" w:rsidRPr="00F842B5" w:rsidRDefault="006E375D" w:rsidP="006E375D">
            <w:pPr>
              <w:spacing w:before="120" w:line="12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1272" w:type="dxa"/>
          </w:tcPr>
          <w:p w14:paraId="7AAA67F9" w14:textId="13AD910F" w:rsidR="006E375D" w:rsidRPr="00F842B5" w:rsidRDefault="006E375D" w:rsidP="006E375D">
            <w:pPr>
              <w:spacing w:before="120" w:line="12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42B5">
              <w:rPr>
                <w:rFonts w:cstheme="minorHAnsi"/>
                <w:sz w:val="18"/>
                <w:szCs w:val="18"/>
              </w:rPr>
              <w:t>72</w:t>
            </w:r>
          </w:p>
        </w:tc>
      </w:tr>
    </w:tbl>
    <w:p w14:paraId="2AE0C829" w14:textId="5FAD64BA" w:rsidR="00383319" w:rsidRPr="00F30929" w:rsidRDefault="00257BB5" w:rsidP="00383319">
      <w:pPr>
        <w:pStyle w:val="Title"/>
        <w:spacing w:after="80"/>
        <w:rPr>
          <w:rFonts w:asciiTheme="minorHAnsi" w:hAnsiTheme="minorHAnsi" w:cstheme="minorHAnsi"/>
          <w:sz w:val="16"/>
          <w:szCs w:val="16"/>
        </w:rPr>
      </w:pPr>
      <w:r w:rsidRPr="00F30929">
        <w:rPr>
          <w:rFonts w:asciiTheme="minorHAnsi" w:hAnsiTheme="minorHAnsi" w:cstheme="minorHAnsi"/>
          <w:i/>
          <w:iCs/>
          <w:sz w:val="16"/>
          <w:szCs w:val="16"/>
        </w:rPr>
        <w:t>*</w:t>
      </w:r>
      <w:r w:rsidRPr="00F30929">
        <w:rPr>
          <w:rFonts w:asciiTheme="minorHAnsi" w:hAnsiTheme="minorHAnsi" w:cstheme="minorHAnsi"/>
          <w:sz w:val="16"/>
          <w:szCs w:val="16"/>
        </w:rPr>
        <w:t xml:space="preserve">A diffusion index greater than 50 indicates expansion, lower than 50 indicates contraction. </w:t>
      </w:r>
    </w:p>
    <w:tbl>
      <w:tblPr>
        <w:tblStyle w:val="PlainTable5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Business Comparison Indicators: 2014-2015"/>
        <w:tblDescription w:val="Table coparing business indicators between 2014 and 2015."/>
      </w:tblPr>
      <w:tblGrid>
        <w:gridCol w:w="6475"/>
        <w:gridCol w:w="2070"/>
      </w:tblGrid>
      <w:tr w:rsidR="00A4574E" w:rsidRPr="00F842B5" w14:paraId="722A6215" w14:textId="43E5F3C5" w:rsidTr="001A3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6475" w:type="dxa"/>
            <w:tcBorders>
              <w:bottom w:val="nil"/>
            </w:tcBorders>
            <w:shd w:val="clear" w:color="auto" w:fill="BDD6EE" w:themeFill="accent1" w:themeFillTint="66"/>
            <w:noWrap/>
          </w:tcPr>
          <w:p w14:paraId="5C7F9B26" w14:textId="3901D134" w:rsidR="00A4574E" w:rsidRPr="00F842B5" w:rsidRDefault="00A4574E" w:rsidP="00AF53F7">
            <w:pPr>
              <w:rPr>
                <w:rFonts w:asciiTheme="minorHAnsi" w:eastAsia="Times New Roman" w:hAnsiTheme="minorHAnsi" w:cstheme="minorHAnsi"/>
                <w:b/>
                <w:bCs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 w:val="0"/>
                <w:sz w:val="18"/>
                <w:szCs w:val="18"/>
              </w:rPr>
              <w:t>Indicate if automation has increased over the past</w:t>
            </w:r>
            <w:r w:rsidR="001A31DF">
              <w:rPr>
                <w:rFonts w:asciiTheme="minorHAnsi" w:eastAsia="Times New Roman" w:hAnsiTheme="minorHAnsi" w:cstheme="minorHAnsi"/>
                <w:b/>
                <w:bCs/>
                <w:i w:val="0"/>
                <w:sz w:val="18"/>
                <w:szCs w:val="18"/>
              </w:rPr>
              <w:t xml:space="preserve"> </w:t>
            </w:r>
            <w:r w:rsidR="001A31DF">
              <w:rPr>
                <w:rFonts w:eastAsia="Times New Roman" w:cstheme="minorHAnsi"/>
                <w:b/>
                <w:bCs/>
                <w:i w:val="0"/>
                <w:sz w:val="18"/>
                <w:szCs w:val="18"/>
              </w:rPr>
              <w:t>year due to the following:</w:t>
            </w:r>
          </w:p>
        </w:tc>
        <w:tc>
          <w:tcPr>
            <w:tcW w:w="2070" w:type="dxa"/>
            <w:shd w:val="clear" w:color="auto" w:fill="BDD6EE" w:themeFill="accent1" w:themeFillTint="66"/>
            <w:noWrap/>
            <w:vAlign w:val="center"/>
          </w:tcPr>
          <w:p w14:paraId="266FF1CC" w14:textId="02C8BA40" w:rsidR="00A4574E" w:rsidRPr="00F842B5" w:rsidRDefault="00A4574E" w:rsidP="00AF53F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b/>
                <w:bCs/>
                <w:i w:val="0"/>
                <w:sz w:val="18"/>
                <w:szCs w:val="18"/>
              </w:rPr>
              <w:t>Percent</w:t>
            </w:r>
          </w:p>
        </w:tc>
      </w:tr>
      <w:tr w:rsidR="00BE7D37" w:rsidRPr="00F842B5" w14:paraId="0F15E780" w14:textId="2376E200" w:rsidTr="001A3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6475" w:type="dxa"/>
            <w:tcBorders>
              <w:bottom w:val="single" w:sz="4" w:space="0" w:color="auto"/>
            </w:tcBorders>
            <w:noWrap/>
          </w:tcPr>
          <w:p w14:paraId="5F01C154" w14:textId="245C6193" w:rsidR="00BE7D37" w:rsidRPr="00F842B5" w:rsidRDefault="0057467A" w:rsidP="00AF53F7">
            <w:pP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57467A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Yes. We experienced increased productivity</w:t>
            </w:r>
          </w:p>
        </w:tc>
        <w:tc>
          <w:tcPr>
            <w:tcW w:w="2070" w:type="dxa"/>
            <w:noWrap/>
          </w:tcPr>
          <w:p w14:paraId="61629D8A" w14:textId="029CCEE4" w:rsidR="00BE7D37" w:rsidRPr="00F842B5" w:rsidRDefault="0057467A" w:rsidP="00AF53F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24</w:t>
            </w:r>
            <w:r w:rsidR="00414477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</w:tr>
      <w:tr w:rsidR="00BE7D37" w:rsidRPr="00F842B5" w14:paraId="4A368BE9" w14:textId="0ED857F7" w:rsidTr="001A3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6475" w:type="dxa"/>
            <w:tcBorders>
              <w:bottom w:val="single" w:sz="4" w:space="0" w:color="auto"/>
            </w:tcBorders>
            <w:noWrap/>
          </w:tcPr>
          <w:p w14:paraId="565EC243" w14:textId="5BC6B241" w:rsidR="00BE7D37" w:rsidRPr="00F842B5" w:rsidRDefault="0057467A" w:rsidP="00414477">
            <w:pP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57467A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Yes, to reduce labor cost</w:t>
            </w:r>
          </w:p>
        </w:tc>
        <w:tc>
          <w:tcPr>
            <w:tcW w:w="2070" w:type="dxa"/>
            <w:noWrap/>
          </w:tcPr>
          <w:p w14:paraId="0C4F56FD" w14:textId="54B9AE9C" w:rsidR="00BE7D37" w:rsidRPr="00F842B5" w:rsidRDefault="0057467A" w:rsidP="00AF53F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2</w:t>
            </w:r>
            <w:r w:rsidR="00414477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7%</w:t>
            </w:r>
          </w:p>
        </w:tc>
      </w:tr>
      <w:tr w:rsidR="00BE7D37" w:rsidRPr="00F842B5" w14:paraId="01AFA295" w14:textId="297C095D" w:rsidTr="001A3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6475" w:type="dxa"/>
            <w:tcBorders>
              <w:bottom w:val="single" w:sz="4" w:space="0" w:color="auto"/>
            </w:tcBorders>
            <w:noWrap/>
          </w:tcPr>
          <w:p w14:paraId="29A24090" w14:textId="207F8393" w:rsidR="00BE7D37" w:rsidRPr="00F842B5" w:rsidRDefault="0057467A" w:rsidP="00AF53F7">
            <w:pP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57467A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Yes, to mitigate labor shortages</w:t>
            </w:r>
          </w:p>
        </w:tc>
        <w:tc>
          <w:tcPr>
            <w:tcW w:w="2070" w:type="dxa"/>
            <w:noWrap/>
          </w:tcPr>
          <w:p w14:paraId="5093A2C3" w14:textId="5FBF5A02" w:rsidR="00BE7D37" w:rsidRPr="00F842B5" w:rsidRDefault="0057467A" w:rsidP="00AF53F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29</w:t>
            </w:r>
            <w:r w:rsidR="00414477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</w:tr>
      <w:tr w:rsidR="00BE7D37" w:rsidRPr="00F842B5" w14:paraId="5C41EA55" w14:textId="46906665" w:rsidTr="001A3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6475" w:type="dxa"/>
            <w:tcBorders>
              <w:bottom w:val="single" w:sz="4" w:space="0" w:color="auto"/>
            </w:tcBorders>
            <w:noWrap/>
          </w:tcPr>
          <w:p w14:paraId="49FCD34B" w14:textId="67ABBF10" w:rsidR="00BE7D37" w:rsidRPr="00F842B5" w:rsidRDefault="0057467A" w:rsidP="00414477">
            <w:pP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57467A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Yes, to improve product quality</w:t>
            </w:r>
          </w:p>
        </w:tc>
        <w:tc>
          <w:tcPr>
            <w:tcW w:w="2070" w:type="dxa"/>
            <w:noWrap/>
          </w:tcPr>
          <w:p w14:paraId="0342C1B0" w14:textId="11B43E69" w:rsidR="00BE7D37" w:rsidRPr="00F842B5" w:rsidRDefault="0057467A" w:rsidP="00AF53F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22</w:t>
            </w:r>
            <w:r w:rsidR="00414477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</w:tr>
      <w:tr w:rsidR="00BE7D37" w:rsidRPr="00F842B5" w14:paraId="147BE035" w14:textId="3A9DDB58" w:rsidTr="001A3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6475" w:type="dxa"/>
            <w:tcBorders>
              <w:bottom w:val="single" w:sz="4" w:space="0" w:color="auto"/>
            </w:tcBorders>
            <w:noWrap/>
          </w:tcPr>
          <w:p w14:paraId="67C7B14B" w14:textId="2B57118B" w:rsidR="00BE7D37" w:rsidRPr="00F842B5" w:rsidRDefault="0057467A" w:rsidP="00AF53F7">
            <w:pP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57467A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Yes, to improve worker safety</w:t>
            </w:r>
          </w:p>
        </w:tc>
        <w:tc>
          <w:tcPr>
            <w:tcW w:w="2070" w:type="dxa"/>
            <w:noWrap/>
          </w:tcPr>
          <w:p w14:paraId="72E97218" w14:textId="476D704C" w:rsidR="00BE7D37" w:rsidRPr="00F842B5" w:rsidRDefault="0057467A" w:rsidP="00AF53F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20</w:t>
            </w:r>
            <w:r w:rsidR="00414477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</w:tr>
      <w:tr w:rsidR="00BE7D37" w:rsidRPr="00F842B5" w14:paraId="56B3A81E" w14:textId="445B089B" w:rsidTr="001A3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6475" w:type="dxa"/>
            <w:tcBorders>
              <w:bottom w:val="single" w:sz="4" w:space="0" w:color="auto"/>
            </w:tcBorders>
            <w:noWrap/>
          </w:tcPr>
          <w:p w14:paraId="6F5513F0" w14:textId="595404E5" w:rsidR="00BE7D37" w:rsidRPr="00F842B5" w:rsidRDefault="0057467A" w:rsidP="00AF53F7">
            <w:pP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57467A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Yes, due to AI implementation</w:t>
            </w:r>
          </w:p>
        </w:tc>
        <w:tc>
          <w:tcPr>
            <w:tcW w:w="2070" w:type="dxa"/>
            <w:noWrap/>
          </w:tcPr>
          <w:p w14:paraId="2DEAD15B" w14:textId="7A584050" w:rsidR="00BE7D37" w:rsidRPr="00F842B5" w:rsidRDefault="0057467A" w:rsidP="00AF53F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2</w:t>
            </w:r>
            <w:r w:rsidR="00414477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</w:tr>
      <w:tr w:rsidR="00BE7D37" w:rsidRPr="00F842B5" w14:paraId="73B3067B" w14:textId="2CA0974B" w:rsidTr="001A3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6475" w:type="dxa"/>
            <w:tcBorders>
              <w:bottom w:val="single" w:sz="4" w:space="0" w:color="auto"/>
            </w:tcBorders>
            <w:noWrap/>
          </w:tcPr>
          <w:p w14:paraId="17E2213A" w14:textId="3BD43882" w:rsidR="00BE7D37" w:rsidRPr="00F842B5" w:rsidRDefault="0057467A" w:rsidP="00AF53F7">
            <w:pP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57467A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No increase in automation</w:t>
            </w:r>
          </w:p>
        </w:tc>
        <w:tc>
          <w:tcPr>
            <w:tcW w:w="2070" w:type="dxa"/>
            <w:noWrap/>
          </w:tcPr>
          <w:p w14:paraId="592175DA" w14:textId="2A296113" w:rsidR="00BE7D37" w:rsidRPr="00F842B5" w:rsidRDefault="0057467A" w:rsidP="00AF53F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52</w:t>
            </w:r>
            <w:r w:rsidR="00414477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</w:tr>
      <w:tr w:rsidR="00BE7D37" w:rsidRPr="00F842B5" w14:paraId="080AB8DB" w14:textId="483C4E21" w:rsidTr="001A3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  <w:tblHeader/>
        </w:trPr>
        <w:tc>
          <w:tcPr>
            <w:tcW w:w="6475" w:type="dxa"/>
            <w:tcBorders>
              <w:bottom w:val="single" w:sz="4" w:space="0" w:color="auto"/>
            </w:tcBorders>
            <w:noWrap/>
          </w:tcPr>
          <w:p w14:paraId="6E9842FD" w14:textId="0EC4F460" w:rsidR="00BE7D37" w:rsidRPr="00F842B5" w:rsidRDefault="00414477" w:rsidP="00AF53F7">
            <w:pP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Other**</w:t>
            </w:r>
          </w:p>
        </w:tc>
        <w:tc>
          <w:tcPr>
            <w:tcW w:w="2070" w:type="dxa"/>
            <w:noWrap/>
          </w:tcPr>
          <w:p w14:paraId="624EE742" w14:textId="4718E396" w:rsidR="00BE7D37" w:rsidRPr="00F842B5" w:rsidRDefault="0057467A" w:rsidP="00AF53F7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3</w:t>
            </w:r>
            <w:r w:rsidR="00414477" w:rsidRPr="00F842B5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%</w:t>
            </w:r>
          </w:p>
        </w:tc>
      </w:tr>
    </w:tbl>
    <w:p w14:paraId="751AE583" w14:textId="77777777" w:rsidR="00383319" w:rsidRPr="00F842B5" w:rsidRDefault="00383319" w:rsidP="00383319">
      <w:pPr>
        <w:spacing w:after="0" w:line="240" w:lineRule="auto"/>
        <w:rPr>
          <w:rFonts w:cstheme="minorHAnsi"/>
          <w:sz w:val="16"/>
          <w:szCs w:val="16"/>
        </w:rPr>
      </w:pPr>
      <w:r w:rsidRPr="00F842B5">
        <w:rPr>
          <w:rFonts w:cstheme="minorHAnsi"/>
          <w:sz w:val="16"/>
          <w:szCs w:val="16"/>
        </w:rPr>
        <w:t>Note: Totals might not add to 100% because of multiple choice responses.</w:t>
      </w:r>
    </w:p>
    <w:p w14:paraId="555059D3" w14:textId="0732C7C6" w:rsidR="006F3359" w:rsidRPr="00F842B5" w:rsidRDefault="00417D5F" w:rsidP="00162FEF">
      <w:pPr>
        <w:spacing w:after="0" w:line="240" w:lineRule="auto"/>
        <w:rPr>
          <w:rFonts w:cstheme="minorHAnsi"/>
          <w:sz w:val="16"/>
          <w:szCs w:val="16"/>
        </w:rPr>
      </w:pPr>
      <w:r w:rsidRPr="00F842B5">
        <w:rPr>
          <w:rFonts w:cstheme="minorHAnsi"/>
          <w:sz w:val="16"/>
          <w:szCs w:val="16"/>
        </w:rPr>
        <w:t>** Other includes</w:t>
      </w:r>
      <w:r w:rsidR="00414477" w:rsidRPr="00F842B5">
        <w:rPr>
          <w:rFonts w:cstheme="minorHAnsi"/>
          <w:sz w:val="16"/>
          <w:szCs w:val="16"/>
        </w:rPr>
        <w:t xml:space="preserve">: </w:t>
      </w:r>
      <w:r w:rsidR="001A31DF" w:rsidRPr="001A31DF">
        <w:rPr>
          <w:rFonts w:cstheme="minorHAnsi"/>
          <w:sz w:val="16"/>
          <w:szCs w:val="16"/>
        </w:rPr>
        <w:t>"Due to process standardization improvements, to bring services in house, work instructions added to computers."</w:t>
      </w:r>
      <w:r w:rsidR="00414477" w:rsidRPr="00F842B5">
        <w:rPr>
          <w:rFonts w:cstheme="minorHAnsi"/>
          <w:sz w:val="16"/>
          <w:szCs w:val="16"/>
        </w:rPr>
        <w:br/>
      </w:r>
      <w:r w:rsidRPr="00F842B5">
        <w:rPr>
          <w:rFonts w:cstheme="minorHAnsi"/>
          <w:sz w:val="16"/>
          <w:szCs w:val="16"/>
        </w:rP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35"/>
        <w:gridCol w:w="1620"/>
      </w:tblGrid>
      <w:tr w:rsidR="00A50BF3" w:rsidRPr="00F842B5" w14:paraId="403E5DAD" w14:textId="77777777" w:rsidTr="00DD6084">
        <w:tc>
          <w:tcPr>
            <w:tcW w:w="4135" w:type="dxa"/>
            <w:shd w:val="clear" w:color="auto" w:fill="BDD6EE" w:themeFill="accent1" w:themeFillTint="66"/>
          </w:tcPr>
          <w:p w14:paraId="7FA89F45" w14:textId="4DE07D4F" w:rsidR="00A50BF3" w:rsidRPr="00F842B5" w:rsidRDefault="00A50BF3" w:rsidP="00162FE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842B5">
              <w:rPr>
                <w:rFonts w:cstheme="minorHAnsi"/>
                <w:b/>
                <w:bCs/>
                <w:sz w:val="18"/>
                <w:szCs w:val="18"/>
              </w:rPr>
              <w:t>Business Ownership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14:paraId="02F3061E" w14:textId="602F1A54" w:rsidR="00A50BF3" w:rsidRPr="00F842B5" w:rsidRDefault="00A50BF3" w:rsidP="00A50B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842B5">
              <w:rPr>
                <w:rFonts w:cstheme="minorHAnsi"/>
                <w:b/>
                <w:bCs/>
                <w:sz w:val="18"/>
                <w:szCs w:val="18"/>
              </w:rPr>
              <w:t>Percent</w:t>
            </w:r>
          </w:p>
        </w:tc>
      </w:tr>
      <w:tr w:rsidR="00A50BF3" w:rsidRPr="00F842B5" w14:paraId="4E874E79" w14:textId="77777777" w:rsidTr="00DD6084">
        <w:tc>
          <w:tcPr>
            <w:tcW w:w="4135" w:type="dxa"/>
          </w:tcPr>
          <w:p w14:paraId="339C9935" w14:textId="53356B23" w:rsidR="00A50BF3" w:rsidRPr="00F842B5" w:rsidRDefault="00A50BF3" w:rsidP="00162FEF">
            <w:pPr>
              <w:rPr>
                <w:rFonts w:cstheme="minorHAnsi"/>
                <w:sz w:val="18"/>
                <w:szCs w:val="18"/>
              </w:rPr>
            </w:pPr>
            <w:r w:rsidRPr="00F842B5">
              <w:rPr>
                <w:rFonts w:cstheme="minorHAnsi"/>
                <w:sz w:val="18"/>
                <w:szCs w:val="18"/>
              </w:rPr>
              <w:t xml:space="preserve">Minority-owned </w:t>
            </w:r>
          </w:p>
        </w:tc>
        <w:tc>
          <w:tcPr>
            <w:tcW w:w="1620" w:type="dxa"/>
          </w:tcPr>
          <w:p w14:paraId="19AE4B31" w14:textId="1DFC1FDA" w:rsidR="00A50BF3" w:rsidRPr="00F842B5" w:rsidRDefault="00CB1A9E" w:rsidP="00743C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842B5">
              <w:rPr>
                <w:rFonts w:cstheme="minorHAnsi"/>
                <w:sz w:val="18"/>
                <w:szCs w:val="18"/>
              </w:rPr>
              <w:t>4</w:t>
            </w:r>
            <w:r w:rsidR="00A50BF3" w:rsidRPr="00F842B5">
              <w:rPr>
                <w:rFonts w:cstheme="minorHAnsi"/>
                <w:sz w:val="18"/>
                <w:szCs w:val="18"/>
              </w:rPr>
              <w:t>%</w:t>
            </w:r>
          </w:p>
        </w:tc>
      </w:tr>
      <w:tr w:rsidR="00A50BF3" w:rsidRPr="00F842B5" w14:paraId="560FB257" w14:textId="77777777" w:rsidTr="00DD6084">
        <w:tc>
          <w:tcPr>
            <w:tcW w:w="4135" w:type="dxa"/>
          </w:tcPr>
          <w:p w14:paraId="37DA5039" w14:textId="527A9C86" w:rsidR="00A50BF3" w:rsidRPr="00F842B5" w:rsidRDefault="00A50BF3" w:rsidP="00162FEF">
            <w:pPr>
              <w:rPr>
                <w:rFonts w:cstheme="minorHAnsi"/>
                <w:sz w:val="18"/>
                <w:szCs w:val="18"/>
              </w:rPr>
            </w:pPr>
            <w:r w:rsidRPr="00F842B5">
              <w:rPr>
                <w:rFonts w:cstheme="minorHAnsi"/>
                <w:sz w:val="18"/>
                <w:szCs w:val="18"/>
              </w:rPr>
              <w:t>Veteran-owned</w:t>
            </w:r>
          </w:p>
        </w:tc>
        <w:tc>
          <w:tcPr>
            <w:tcW w:w="1620" w:type="dxa"/>
          </w:tcPr>
          <w:p w14:paraId="4D44737F" w14:textId="220329C4" w:rsidR="00A50BF3" w:rsidRPr="00F842B5" w:rsidRDefault="001F79B4" w:rsidP="00743C8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A50BF3" w:rsidRPr="00F842B5">
              <w:rPr>
                <w:rFonts w:cstheme="minorHAnsi"/>
                <w:sz w:val="18"/>
                <w:szCs w:val="18"/>
              </w:rPr>
              <w:t>%</w:t>
            </w:r>
          </w:p>
        </w:tc>
      </w:tr>
      <w:tr w:rsidR="00A50BF3" w:rsidRPr="00F842B5" w14:paraId="5AD001D4" w14:textId="77777777" w:rsidTr="00DD6084">
        <w:tc>
          <w:tcPr>
            <w:tcW w:w="4135" w:type="dxa"/>
          </w:tcPr>
          <w:p w14:paraId="3339A054" w14:textId="2476557F" w:rsidR="00A50BF3" w:rsidRPr="00F842B5" w:rsidRDefault="00A50BF3" w:rsidP="00162FEF">
            <w:pPr>
              <w:rPr>
                <w:rFonts w:cstheme="minorHAnsi"/>
                <w:sz w:val="18"/>
                <w:szCs w:val="18"/>
              </w:rPr>
            </w:pPr>
            <w:r w:rsidRPr="00F842B5">
              <w:rPr>
                <w:rFonts w:cstheme="minorHAnsi"/>
                <w:sz w:val="18"/>
                <w:szCs w:val="18"/>
              </w:rPr>
              <w:t>Women-owned</w:t>
            </w:r>
          </w:p>
        </w:tc>
        <w:tc>
          <w:tcPr>
            <w:tcW w:w="1620" w:type="dxa"/>
          </w:tcPr>
          <w:p w14:paraId="44C87F7F" w14:textId="69ED20D0" w:rsidR="00A50BF3" w:rsidRPr="00F842B5" w:rsidRDefault="00A50BF3" w:rsidP="00743C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842B5">
              <w:rPr>
                <w:rFonts w:cstheme="minorHAnsi"/>
                <w:sz w:val="18"/>
                <w:szCs w:val="18"/>
              </w:rPr>
              <w:t>1</w:t>
            </w:r>
            <w:r w:rsidR="001F79B4">
              <w:rPr>
                <w:rFonts w:cstheme="minorHAnsi"/>
                <w:sz w:val="18"/>
                <w:szCs w:val="18"/>
              </w:rPr>
              <w:t>2</w:t>
            </w:r>
            <w:r w:rsidRPr="00F842B5">
              <w:rPr>
                <w:rFonts w:cstheme="minorHAnsi"/>
                <w:sz w:val="18"/>
                <w:szCs w:val="18"/>
              </w:rPr>
              <w:t>%</w:t>
            </w:r>
          </w:p>
        </w:tc>
      </w:tr>
      <w:tr w:rsidR="00A50BF3" w:rsidRPr="00F842B5" w14:paraId="67A97C0A" w14:textId="77777777" w:rsidTr="00DD6084">
        <w:tc>
          <w:tcPr>
            <w:tcW w:w="4135" w:type="dxa"/>
          </w:tcPr>
          <w:p w14:paraId="78E301EC" w14:textId="599BEC53" w:rsidR="00A50BF3" w:rsidRPr="00F842B5" w:rsidRDefault="00A50BF3" w:rsidP="00162FEF">
            <w:pPr>
              <w:rPr>
                <w:rFonts w:cstheme="minorHAnsi"/>
                <w:sz w:val="18"/>
                <w:szCs w:val="18"/>
              </w:rPr>
            </w:pPr>
            <w:r w:rsidRPr="00F842B5">
              <w:rPr>
                <w:rFonts w:cstheme="minorHAnsi"/>
                <w:sz w:val="18"/>
                <w:szCs w:val="18"/>
              </w:rPr>
              <w:t>Prefer not to answer</w:t>
            </w:r>
          </w:p>
        </w:tc>
        <w:tc>
          <w:tcPr>
            <w:tcW w:w="1620" w:type="dxa"/>
          </w:tcPr>
          <w:p w14:paraId="37CDA7C2" w14:textId="1F444AFB" w:rsidR="00A50BF3" w:rsidRPr="00F842B5" w:rsidRDefault="00743C82" w:rsidP="00743C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842B5">
              <w:rPr>
                <w:rFonts w:cstheme="minorHAnsi"/>
                <w:sz w:val="18"/>
                <w:szCs w:val="18"/>
              </w:rPr>
              <w:t>1</w:t>
            </w:r>
            <w:r w:rsidR="001F79B4">
              <w:rPr>
                <w:rFonts w:cstheme="minorHAnsi"/>
                <w:sz w:val="18"/>
                <w:szCs w:val="18"/>
              </w:rPr>
              <w:t>2</w:t>
            </w:r>
            <w:r w:rsidRPr="00F842B5">
              <w:rPr>
                <w:rFonts w:cstheme="minorHAnsi"/>
                <w:sz w:val="18"/>
                <w:szCs w:val="18"/>
              </w:rPr>
              <w:t>%</w:t>
            </w:r>
          </w:p>
        </w:tc>
      </w:tr>
      <w:tr w:rsidR="00A50BF3" w:rsidRPr="00F842B5" w14:paraId="2DF56E74" w14:textId="77777777" w:rsidTr="00DD6084">
        <w:tc>
          <w:tcPr>
            <w:tcW w:w="4135" w:type="dxa"/>
          </w:tcPr>
          <w:p w14:paraId="6C087F2B" w14:textId="7B97A5AC" w:rsidR="00A50BF3" w:rsidRPr="00F842B5" w:rsidRDefault="00743C82" w:rsidP="00162FEF">
            <w:pPr>
              <w:rPr>
                <w:rFonts w:cstheme="minorHAnsi"/>
                <w:sz w:val="18"/>
                <w:szCs w:val="18"/>
              </w:rPr>
            </w:pPr>
            <w:r w:rsidRPr="00F842B5">
              <w:rPr>
                <w:rFonts w:cstheme="minorHAnsi"/>
                <w:sz w:val="18"/>
                <w:szCs w:val="18"/>
              </w:rPr>
              <w:t>None of the above</w:t>
            </w:r>
          </w:p>
        </w:tc>
        <w:tc>
          <w:tcPr>
            <w:tcW w:w="1620" w:type="dxa"/>
          </w:tcPr>
          <w:p w14:paraId="1D039846" w14:textId="7D183BCE" w:rsidR="00A50BF3" w:rsidRPr="00F842B5" w:rsidRDefault="00743C82" w:rsidP="00743C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842B5">
              <w:rPr>
                <w:rFonts w:cstheme="minorHAnsi"/>
                <w:sz w:val="18"/>
                <w:szCs w:val="18"/>
              </w:rPr>
              <w:t>6</w:t>
            </w:r>
            <w:r w:rsidR="00CB1A9E" w:rsidRPr="00F842B5">
              <w:rPr>
                <w:rFonts w:cstheme="minorHAnsi"/>
                <w:sz w:val="18"/>
                <w:szCs w:val="18"/>
              </w:rPr>
              <w:t>7</w:t>
            </w:r>
            <w:r w:rsidRPr="00F842B5">
              <w:rPr>
                <w:rFonts w:cstheme="minorHAnsi"/>
                <w:sz w:val="18"/>
                <w:szCs w:val="18"/>
              </w:rPr>
              <w:t>%</w:t>
            </w:r>
          </w:p>
        </w:tc>
      </w:tr>
    </w:tbl>
    <w:p w14:paraId="2B8D0A7A" w14:textId="45E7080C" w:rsidR="00383319" w:rsidRPr="00383319" w:rsidRDefault="00383319" w:rsidP="00383319">
      <w:pPr>
        <w:spacing w:after="0" w:line="240" w:lineRule="auto"/>
        <w:rPr>
          <w:sz w:val="16"/>
          <w:szCs w:val="16"/>
        </w:rPr>
      </w:pPr>
      <w:r w:rsidRPr="00383319">
        <w:rPr>
          <w:sz w:val="16"/>
          <w:szCs w:val="16"/>
        </w:rPr>
        <w:t>Note: Totals might not add to 100% because of multiple choice responses.</w:t>
      </w:r>
    </w:p>
    <w:p w14:paraId="4F6087E3" w14:textId="21145257" w:rsidR="00383319" w:rsidRDefault="00383319" w:rsidP="00E009AD">
      <w:pPr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br/>
      </w:r>
    </w:p>
    <w:p w14:paraId="781E3235" w14:textId="054EA815" w:rsidR="0051765D" w:rsidRPr="00CB1A9E" w:rsidRDefault="00F62F57" w:rsidP="00162FEF">
      <w:pPr>
        <w:spacing w:after="0" w:line="240" w:lineRule="auto"/>
        <w:sectPr w:rsidR="0051765D" w:rsidRPr="00CB1A9E" w:rsidSect="00892CAA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bCs/>
          <w:color w:val="2E74B5" w:themeColor="accent1" w:themeShade="BF"/>
        </w:rPr>
        <w:t xml:space="preserve">Selected </w:t>
      </w:r>
      <w:r w:rsidR="00491368" w:rsidRPr="00CB1A9E">
        <w:rPr>
          <w:b/>
          <w:bCs/>
          <w:color w:val="2E74B5" w:themeColor="accent1" w:themeShade="BF"/>
        </w:rPr>
        <w:t>Comments</w:t>
      </w:r>
      <w:r w:rsidR="00491368" w:rsidRPr="00491368">
        <w:rPr>
          <w:b/>
          <w:bCs/>
          <w:color w:val="2E74B5" w:themeColor="accent1" w:themeShade="BF"/>
          <w:sz w:val="24"/>
          <w:szCs w:val="24"/>
        </w:rPr>
        <w:br/>
      </w:r>
      <w:r w:rsidR="00491368">
        <w:t xml:space="preserve">Respondents were asked to provide additional </w:t>
      </w:r>
      <w:r w:rsidR="00AD02C1">
        <w:t>commen</w:t>
      </w:r>
      <w:r w:rsidR="003762CC">
        <w:t>ts</w:t>
      </w:r>
      <w:r w:rsidR="00491368">
        <w:t>.</w:t>
      </w:r>
      <w:r w:rsidR="00DC3D95">
        <w:t xml:space="preserve"> Several were made in reference </w:t>
      </w:r>
      <w:r w:rsidR="00FA608B">
        <w:t>to</w:t>
      </w:r>
      <w:r w:rsidR="00DC3D95">
        <w:t xml:space="preserve"> labor force shortages</w:t>
      </w:r>
      <w:r w:rsidR="005C1936">
        <w:t>,</w:t>
      </w:r>
      <w:r w:rsidR="00FA608B">
        <w:t xml:space="preserve"> benefit</w:t>
      </w:r>
      <w:r w:rsidR="00637319">
        <w:t>s</w:t>
      </w:r>
      <w:r w:rsidR="00FA608B">
        <w:t xml:space="preserve"> cost</w:t>
      </w:r>
      <w:r w:rsidR="002E5548">
        <w:t xml:space="preserve"> and </w:t>
      </w:r>
      <w:r w:rsidR="005C1936">
        <w:t>higher incentives</w:t>
      </w:r>
      <w:r w:rsidR="002E5548">
        <w:t xml:space="preserve"> elsewhere.</w:t>
      </w:r>
      <w:r w:rsidR="00122401">
        <w:t xml:space="preserve"> They are shown below </w:t>
      </w:r>
      <w:r w:rsidR="00122401" w:rsidRPr="00122401">
        <w:rPr>
          <w:i/>
          <w:iCs/>
        </w:rPr>
        <w:t>verbatim</w:t>
      </w:r>
      <w:r w:rsidR="00122401">
        <w:t>:</w:t>
      </w:r>
      <w:r w:rsidR="00122401">
        <w:br/>
      </w:r>
    </w:p>
    <w:p w14:paraId="5D1FBCEF" w14:textId="2449FBB3" w:rsidR="00A65B7A" w:rsidRPr="00A65B7A" w:rsidRDefault="00A65B7A" w:rsidP="00162FEF">
      <w:pPr>
        <w:spacing w:after="0" w:line="240" w:lineRule="auto"/>
        <w:rPr>
          <w:i/>
          <w:iCs/>
          <w:color w:val="2E74B5" w:themeColor="accent1" w:themeShade="BF"/>
        </w:rPr>
      </w:pPr>
    </w:p>
    <w:p w14:paraId="048048BC" w14:textId="1A92AA69" w:rsidR="00DC3D95" w:rsidRDefault="00DC3D95" w:rsidP="00162FEF">
      <w:pPr>
        <w:spacing w:after="0" w:line="240" w:lineRule="auto"/>
        <w:rPr>
          <w:i/>
          <w:iCs/>
        </w:rPr>
      </w:pPr>
      <w:r>
        <w:rPr>
          <w:i/>
          <w:iCs/>
        </w:rPr>
        <w:t>“Biggest challenge is skilled labor-pool</w:t>
      </w:r>
      <w:r w:rsidR="00637319">
        <w:rPr>
          <w:i/>
          <w:iCs/>
        </w:rPr>
        <w:t xml:space="preserve"> (l</w:t>
      </w:r>
      <w:r>
        <w:rPr>
          <w:i/>
          <w:iCs/>
        </w:rPr>
        <w:t>ack of skilled labor)</w:t>
      </w:r>
      <w:r w:rsidR="00B85627">
        <w:rPr>
          <w:i/>
          <w:iCs/>
        </w:rPr>
        <w:t>.</w:t>
      </w:r>
      <w:r>
        <w:rPr>
          <w:i/>
          <w:iCs/>
        </w:rPr>
        <w:t>”</w:t>
      </w:r>
    </w:p>
    <w:p w14:paraId="0A92F9F1" w14:textId="77777777" w:rsidR="00DC3D95" w:rsidRDefault="00DC3D95" w:rsidP="00162FEF">
      <w:pPr>
        <w:spacing w:after="0" w:line="240" w:lineRule="auto"/>
        <w:rPr>
          <w:i/>
          <w:iCs/>
        </w:rPr>
      </w:pPr>
    </w:p>
    <w:p w14:paraId="51270AEC" w14:textId="061995E0" w:rsidR="00DC3D95" w:rsidRDefault="00FA608B" w:rsidP="00162FEF">
      <w:pPr>
        <w:spacing w:after="0" w:line="240" w:lineRule="auto"/>
        <w:rPr>
          <w:i/>
          <w:iCs/>
        </w:rPr>
      </w:pPr>
      <w:r>
        <w:rPr>
          <w:i/>
          <w:iCs/>
        </w:rPr>
        <w:t>“</w:t>
      </w:r>
      <w:r w:rsidR="00DC3D95">
        <w:rPr>
          <w:i/>
          <w:iCs/>
        </w:rPr>
        <w:t>Horrible shortage of workforce availability.”</w:t>
      </w:r>
    </w:p>
    <w:p w14:paraId="15CA6B8F" w14:textId="77777777" w:rsidR="00FA608B" w:rsidRDefault="00FA608B" w:rsidP="00162FEF">
      <w:pPr>
        <w:spacing w:after="0" w:line="240" w:lineRule="auto"/>
        <w:rPr>
          <w:i/>
          <w:iCs/>
        </w:rPr>
      </w:pPr>
    </w:p>
    <w:p w14:paraId="6CA7DA5E" w14:textId="3ADF7219" w:rsidR="00B85627" w:rsidRDefault="00B85627" w:rsidP="00162FEF">
      <w:pPr>
        <w:spacing w:after="0" w:line="240" w:lineRule="auto"/>
        <w:rPr>
          <w:i/>
          <w:iCs/>
        </w:rPr>
      </w:pPr>
      <w:r>
        <w:rPr>
          <w:i/>
          <w:iCs/>
        </w:rPr>
        <w:t>“Still can’t find enough labor.”</w:t>
      </w:r>
    </w:p>
    <w:p w14:paraId="6D443A01" w14:textId="2ED13830" w:rsidR="00FA608B" w:rsidRDefault="00FA608B" w:rsidP="00162FEF">
      <w:pPr>
        <w:spacing w:after="0" w:line="240" w:lineRule="auto"/>
        <w:rPr>
          <w:i/>
          <w:iCs/>
        </w:rPr>
      </w:pPr>
    </w:p>
    <w:p w14:paraId="05ECFBEB" w14:textId="2488B65A" w:rsidR="009D0466" w:rsidRPr="00B624A4" w:rsidRDefault="009D0466" w:rsidP="00162FEF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“Health insurance was up for us 50% over 2023. We expect 10% this year. As a small business that provides </w:t>
      </w:r>
      <w:r>
        <w:rPr>
          <w:i/>
          <w:iCs/>
        </w:rPr>
        <w:t>health insurance as a benefit to our FT employees it is a huge cost.”</w:t>
      </w:r>
    </w:p>
    <w:p w14:paraId="3CD5B1FA" w14:textId="0769D7B5" w:rsidR="00075B86" w:rsidRPr="00F864BD" w:rsidRDefault="00075B86" w:rsidP="00162FEF">
      <w:pPr>
        <w:spacing w:after="0" w:line="240" w:lineRule="auto"/>
        <w:rPr>
          <w:i/>
          <w:iCs/>
        </w:rPr>
      </w:pPr>
    </w:p>
    <w:p w14:paraId="0C03E454" w14:textId="6DD6E459" w:rsidR="00075B86" w:rsidRDefault="002E5548" w:rsidP="00162FEF">
      <w:pPr>
        <w:spacing w:after="0" w:line="240" w:lineRule="auto"/>
        <w:rPr>
          <w:i/>
          <w:iCs/>
        </w:rPr>
      </w:pPr>
      <w:r>
        <w:rPr>
          <w:i/>
          <w:iCs/>
        </w:rPr>
        <w:t>“</w:t>
      </w:r>
      <w:r w:rsidRPr="002E5548">
        <w:rPr>
          <w:i/>
          <w:iCs/>
        </w:rPr>
        <w:t>Need tax breaks and rebates to continue Mfg. in MN. Other states offer much larger incentives than MN.</w:t>
      </w:r>
      <w:r>
        <w:rPr>
          <w:i/>
          <w:iCs/>
        </w:rPr>
        <w:t>”</w:t>
      </w:r>
    </w:p>
    <w:p w14:paraId="53541334" w14:textId="77777777" w:rsidR="005C1936" w:rsidRDefault="005C1936" w:rsidP="00162FEF">
      <w:pPr>
        <w:spacing w:after="0" w:line="240" w:lineRule="auto"/>
        <w:rPr>
          <w:i/>
          <w:iCs/>
        </w:rPr>
      </w:pPr>
    </w:p>
    <w:p w14:paraId="2D01E281" w14:textId="77777777" w:rsidR="005C1936" w:rsidRDefault="005C1936" w:rsidP="00162FEF">
      <w:pPr>
        <w:spacing w:after="0" w:line="240" w:lineRule="auto"/>
        <w:rPr>
          <w:i/>
          <w:iCs/>
        </w:rPr>
      </w:pPr>
    </w:p>
    <w:p w14:paraId="14433B9A" w14:textId="77777777" w:rsidR="005C1936" w:rsidRPr="002E5548" w:rsidRDefault="005C1936" w:rsidP="00162FEF">
      <w:pPr>
        <w:spacing w:after="0" w:line="240" w:lineRule="auto"/>
        <w:rPr>
          <w:i/>
          <w:iCs/>
        </w:rPr>
      </w:pPr>
    </w:p>
    <w:p w14:paraId="675B4F25" w14:textId="77777777" w:rsidR="00075B86" w:rsidRDefault="00075B86" w:rsidP="00162FEF">
      <w:pPr>
        <w:spacing w:after="0" w:line="240" w:lineRule="auto"/>
        <w:rPr>
          <w:i/>
          <w:iCs/>
        </w:rPr>
      </w:pPr>
    </w:p>
    <w:p w14:paraId="3979026E" w14:textId="4BE6F1A3" w:rsidR="00F864BD" w:rsidRPr="00F864BD" w:rsidRDefault="00F864BD" w:rsidP="00162FEF">
      <w:pPr>
        <w:spacing w:after="0" w:line="240" w:lineRule="auto"/>
        <w:rPr>
          <w:b/>
          <w:bCs/>
          <w:i/>
          <w:iCs/>
          <w:color w:val="2E74B5" w:themeColor="accent1" w:themeShade="BF"/>
        </w:rPr>
        <w:sectPr w:rsidR="00F864BD" w:rsidRPr="00F864BD" w:rsidSect="0051765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223BDCC" w14:textId="77777777" w:rsidR="005C1936" w:rsidRDefault="005C1936" w:rsidP="00383319">
      <w:pPr>
        <w:spacing w:after="0" w:line="240" w:lineRule="auto"/>
        <w:rPr>
          <w:i/>
          <w:iCs/>
          <w:color w:val="2E74B5" w:themeColor="accent1" w:themeShade="BF"/>
          <w:sz w:val="16"/>
          <w:szCs w:val="16"/>
        </w:rPr>
      </w:pPr>
    </w:p>
    <w:p w14:paraId="5FDA6C6A" w14:textId="77777777" w:rsidR="00B85627" w:rsidRDefault="00B85627" w:rsidP="00383319">
      <w:pPr>
        <w:spacing w:after="0" w:line="240" w:lineRule="auto"/>
        <w:rPr>
          <w:i/>
          <w:iCs/>
          <w:color w:val="2E74B5" w:themeColor="accent1" w:themeShade="BF"/>
          <w:sz w:val="16"/>
          <w:szCs w:val="16"/>
        </w:rPr>
      </w:pPr>
    </w:p>
    <w:p w14:paraId="56EC42BB" w14:textId="77777777" w:rsidR="00310377" w:rsidRDefault="00383319" w:rsidP="00383319">
      <w:pPr>
        <w:spacing w:after="0" w:line="240" w:lineRule="auto"/>
        <w:rPr>
          <w:i/>
          <w:iCs/>
          <w:sz w:val="16"/>
          <w:szCs w:val="16"/>
        </w:rPr>
      </w:pPr>
      <w:r w:rsidRPr="00122401">
        <w:rPr>
          <w:i/>
          <w:iCs/>
          <w:sz w:val="16"/>
          <w:szCs w:val="16"/>
        </w:rPr>
        <w:br/>
      </w:r>
      <w:r w:rsidR="006D11FD" w:rsidRPr="00122401">
        <w:rPr>
          <w:i/>
          <w:iCs/>
          <w:sz w:val="16"/>
          <w:szCs w:val="16"/>
        </w:rPr>
        <w:t>Notes:</w:t>
      </w:r>
    </w:p>
    <w:p w14:paraId="29D5E851" w14:textId="05C0F7BA" w:rsidR="00E21BCD" w:rsidRDefault="006D11FD" w:rsidP="00383319">
      <w:pPr>
        <w:spacing w:after="0" w:line="240" w:lineRule="auto"/>
        <w:rPr>
          <w:i/>
          <w:iCs/>
          <w:sz w:val="16"/>
          <w:szCs w:val="16"/>
        </w:rPr>
      </w:pPr>
      <w:r w:rsidRPr="00122401">
        <w:rPr>
          <w:i/>
          <w:iCs/>
          <w:sz w:val="16"/>
          <w:szCs w:val="16"/>
        </w:rPr>
        <w:t xml:space="preserve"> Based on responses from 299 Minnesota businesses.  From those, 67 indicated they did not have manufacturing operations for an adjusted response rate of 23.2%.</w:t>
      </w:r>
      <w:r w:rsidR="00927744">
        <w:rPr>
          <w:i/>
          <w:iCs/>
          <w:sz w:val="16"/>
          <w:szCs w:val="16"/>
        </w:rPr>
        <w:t xml:space="preserve"> </w:t>
      </w:r>
      <w:r w:rsidR="00927744" w:rsidRPr="00927744">
        <w:rPr>
          <w:i/>
          <w:iCs/>
          <w:sz w:val="16"/>
          <w:szCs w:val="16"/>
        </w:rPr>
        <w:t xml:space="preserve"> </w:t>
      </w:r>
    </w:p>
    <w:p w14:paraId="04A0E2A4" w14:textId="77777777" w:rsidR="00E21BCD" w:rsidRDefault="00927744" w:rsidP="00383319">
      <w:pPr>
        <w:spacing w:after="0" w:line="240" w:lineRule="auto"/>
        <w:rPr>
          <w:i/>
          <w:iCs/>
          <w:sz w:val="16"/>
          <w:szCs w:val="16"/>
        </w:rPr>
      </w:pPr>
      <w:r w:rsidRPr="00927744">
        <w:rPr>
          <w:i/>
          <w:iCs/>
          <w:sz w:val="16"/>
          <w:szCs w:val="16"/>
        </w:rPr>
        <w:t xml:space="preserve">Percentages may not add to 100 percent due to rounding.   </w:t>
      </w:r>
    </w:p>
    <w:p w14:paraId="68287AF6" w14:textId="0E3E3C6D" w:rsidR="00383319" w:rsidRPr="00376328" w:rsidRDefault="002D38B2" w:rsidP="00383319">
      <w:pPr>
        <w:spacing w:after="0" w:line="240" w:lineRule="auto"/>
        <w:rPr>
          <w:i/>
          <w:iCs/>
          <w:sz w:val="16"/>
          <w:szCs w:val="16"/>
        </w:rPr>
      </w:pPr>
      <w:r w:rsidRPr="00376328">
        <w:rPr>
          <w:i/>
          <w:iCs/>
          <w:sz w:val="16"/>
          <w:szCs w:val="16"/>
        </w:rPr>
        <w:t xml:space="preserve">The </w:t>
      </w:r>
      <w:r w:rsidR="0022192C">
        <w:rPr>
          <w:i/>
          <w:iCs/>
          <w:sz w:val="16"/>
          <w:szCs w:val="16"/>
        </w:rPr>
        <w:t xml:space="preserve">margin of </w:t>
      </w:r>
      <w:r w:rsidRPr="00376328">
        <w:rPr>
          <w:i/>
          <w:iCs/>
          <w:sz w:val="16"/>
          <w:szCs w:val="16"/>
        </w:rPr>
        <w:t xml:space="preserve"> error is plus or minus 5.</w:t>
      </w:r>
      <w:r w:rsidR="00E12F87">
        <w:rPr>
          <w:i/>
          <w:iCs/>
          <w:sz w:val="16"/>
          <w:szCs w:val="16"/>
        </w:rPr>
        <w:t>4</w:t>
      </w:r>
      <w:r w:rsidRPr="00376328">
        <w:rPr>
          <w:i/>
          <w:iCs/>
          <w:sz w:val="16"/>
          <w:szCs w:val="16"/>
        </w:rPr>
        <w:t>% at a 95% confidence level.</w:t>
      </w:r>
    </w:p>
    <w:p w14:paraId="76683ACD" w14:textId="77777777" w:rsidR="00310377" w:rsidRDefault="00310377" w:rsidP="00162FEF">
      <w:pPr>
        <w:spacing w:after="0" w:line="240" w:lineRule="auto"/>
        <w:rPr>
          <w:i/>
          <w:iCs/>
          <w:sz w:val="16"/>
          <w:szCs w:val="16"/>
        </w:rPr>
      </w:pPr>
    </w:p>
    <w:p w14:paraId="71062360" w14:textId="40C8E78F" w:rsidR="00AD02C1" w:rsidRPr="0071288A" w:rsidRDefault="0051765D" w:rsidP="00162FEF">
      <w:pPr>
        <w:spacing w:after="0" w:line="240" w:lineRule="auto"/>
        <w:rPr>
          <w:i/>
          <w:iCs/>
          <w:sz w:val="16"/>
          <w:szCs w:val="16"/>
        </w:rPr>
      </w:pPr>
      <w:r w:rsidRPr="0071288A">
        <w:rPr>
          <w:i/>
          <w:iCs/>
          <w:sz w:val="16"/>
          <w:szCs w:val="16"/>
        </w:rPr>
        <w:t>Prepared by the Economic Analysis Unit, Minnesota Department of Employment and Economic Development, January 202</w:t>
      </w:r>
      <w:r w:rsidR="00E21BCD">
        <w:rPr>
          <w:i/>
          <w:iCs/>
          <w:sz w:val="16"/>
          <w:szCs w:val="16"/>
        </w:rPr>
        <w:t>5</w:t>
      </w:r>
      <w:r w:rsidRPr="0071288A">
        <w:rPr>
          <w:i/>
          <w:iCs/>
          <w:sz w:val="16"/>
          <w:szCs w:val="16"/>
        </w:rPr>
        <w:t>.</w:t>
      </w:r>
    </w:p>
    <w:sectPr w:rsidR="00AD02C1" w:rsidRPr="0071288A" w:rsidSect="00BE1B8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727B5" w14:textId="77777777" w:rsidR="007B7BA6" w:rsidRDefault="007B7BA6" w:rsidP="00722892">
      <w:pPr>
        <w:spacing w:after="0" w:line="240" w:lineRule="auto"/>
      </w:pPr>
      <w:r>
        <w:separator/>
      </w:r>
    </w:p>
  </w:endnote>
  <w:endnote w:type="continuationSeparator" w:id="0">
    <w:p w14:paraId="5090ADED" w14:textId="77777777" w:rsidR="007B7BA6" w:rsidRDefault="007B7BA6" w:rsidP="0072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3821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6A977B" w14:textId="3EC0ED30" w:rsidR="00417D5F" w:rsidRDefault="00417D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3795EA" w14:textId="77777777" w:rsidR="00417D5F" w:rsidRDefault="00417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4D0F3" w14:textId="77777777" w:rsidR="007B7BA6" w:rsidRDefault="007B7BA6" w:rsidP="00722892">
      <w:pPr>
        <w:spacing w:after="0" w:line="240" w:lineRule="auto"/>
      </w:pPr>
      <w:r>
        <w:separator/>
      </w:r>
    </w:p>
  </w:footnote>
  <w:footnote w:type="continuationSeparator" w:id="0">
    <w:p w14:paraId="0713C593" w14:textId="77777777" w:rsidR="007B7BA6" w:rsidRDefault="007B7BA6" w:rsidP="00722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9792C"/>
    <w:multiLevelType w:val="hybridMultilevel"/>
    <w:tmpl w:val="4F46C5A4"/>
    <w:lvl w:ilvl="0" w:tplc="7EC498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4002"/>
    <w:multiLevelType w:val="hybridMultilevel"/>
    <w:tmpl w:val="90360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12B2C"/>
    <w:multiLevelType w:val="hybridMultilevel"/>
    <w:tmpl w:val="725470E6"/>
    <w:lvl w:ilvl="0" w:tplc="BD004B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A67D2"/>
    <w:multiLevelType w:val="hybridMultilevel"/>
    <w:tmpl w:val="85CC5548"/>
    <w:lvl w:ilvl="0" w:tplc="44607A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10DA1"/>
    <w:multiLevelType w:val="hybridMultilevel"/>
    <w:tmpl w:val="B8CE587E"/>
    <w:lvl w:ilvl="0" w:tplc="C196342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2D4075"/>
    <w:multiLevelType w:val="hybridMultilevel"/>
    <w:tmpl w:val="77DE0E20"/>
    <w:lvl w:ilvl="0" w:tplc="FEC443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A73C2"/>
    <w:multiLevelType w:val="hybridMultilevel"/>
    <w:tmpl w:val="C54C98A6"/>
    <w:lvl w:ilvl="0" w:tplc="710E8D2E">
      <w:start w:val="1"/>
      <w:numFmt w:val="decimal"/>
      <w:lvlText w:val="(%1)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3AAD4C75"/>
    <w:multiLevelType w:val="hybridMultilevel"/>
    <w:tmpl w:val="D97AB74E"/>
    <w:lvl w:ilvl="0" w:tplc="593A9BF6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229547C"/>
    <w:multiLevelType w:val="hybridMultilevel"/>
    <w:tmpl w:val="63AE7CF0"/>
    <w:lvl w:ilvl="0" w:tplc="16A4D16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C3162D5"/>
    <w:multiLevelType w:val="hybridMultilevel"/>
    <w:tmpl w:val="2B5E2D2E"/>
    <w:lvl w:ilvl="0" w:tplc="18A02B5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FFF4843"/>
    <w:multiLevelType w:val="hybridMultilevel"/>
    <w:tmpl w:val="CA0CEBC6"/>
    <w:lvl w:ilvl="0" w:tplc="EC82D616">
      <w:start w:val="1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2053310011">
    <w:abstractNumId w:val="10"/>
  </w:num>
  <w:num w:numId="2" w16cid:durableId="488139020">
    <w:abstractNumId w:val="5"/>
  </w:num>
  <w:num w:numId="3" w16cid:durableId="1856767724">
    <w:abstractNumId w:val="0"/>
  </w:num>
  <w:num w:numId="4" w16cid:durableId="844051788">
    <w:abstractNumId w:val="4"/>
  </w:num>
  <w:num w:numId="5" w16cid:durableId="903565800">
    <w:abstractNumId w:val="6"/>
  </w:num>
  <w:num w:numId="6" w16cid:durableId="1079719224">
    <w:abstractNumId w:val="7"/>
  </w:num>
  <w:num w:numId="7" w16cid:durableId="2128866">
    <w:abstractNumId w:val="9"/>
  </w:num>
  <w:num w:numId="8" w16cid:durableId="1765952083">
    <w:abstractNumId w:val="8"/>
  </w:num>
  <w:num w:numId="9" w16cid:durableId="1107584255">
    <w:abstractNumId w:val="1"/>
  </w:num>
  <w:num w:numId="10" w16cid:durableId="611980086">
    <w:abstractNumId w:val="2"/>
  </w:num>
  <w:num w:numId="11" w16cid:durableId="827863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FA"/>
    <w:rsid w:val="000017A0"/>
    <w:rsid w:val="000055EB"/>
    <w:rsid w:val="00006BCD"/>
    <w:rsid w:val="000102FA"/>
    <w:rsid w:val="00014AD2"/>
    <w:rsid w:val="0001635B"/>
    <w:rsid w:val="00020BB4"/>
    <w:rsid w:val="00023BB3"/>
    <w:rsid w:val="000251AA"/>
    <w:rsid w:val="00043367"/>
    <w:rsid w:val="0004396B"/>
    <w:rsid w:val="00044954"/>
    <w:rsid w:val="000514D1"/>
    <w:rsid w:val="000530CD"/>
    <w:rsid w:val="0005336B"/>
    <w:rsid w:val="000547A3"/>
    <w:rsid w:val="00061628"/>
    <w:rsid w:val="000631E3"/>
    <w:rsid w:val="00064F89"/>
    <w:rsid w:val="000653D5"/>
    <w:rsid w:val="000715D1"/>
    <w:rsid w:val="00074F5D"/>
    <w:rsid w:val="00075B86"/>
    <w:rsid w:val="000824B7"/>
    <w:rsid w:val="00082B96"/>
    <w:rsid w:val="000838C0"/>
    <w:rsid w:val="00085CB5"/>
    <w:rsid w:val="00085F89"/>
    <w:rsid w:val="00093843"/>
    <w:rsid w:val="00096E85"/>
    <w:rsid w:val="00097993"/>
    <w:rsid w:val="000A0BC3"/>
    <w:rsid w:val="000A28AD"/>
    <w:rsid w:val="000A65D8"/>
    <w:rsid w:val="000B4888"/>
    <w:rsid w:val="000B4D88"/>
    <w:rsid w:val="000B68D5"/>
    <w:rsid w:val="000B7992"/>
    <w:rsid w:val="000C04EE"/>
    <w:rsid w:val="000C0B66"/>
    <w:rsid w:val="000C107F"/>
    <w:rsid w:val="000C1BCF"/>
    <w:rsid w:val="000C4230"/>
    <w:rsid w:val="000D53DE"/>
    <w:rsid w:val="000D77A9"/>
    <w:rsid w:val="000E1E86"/>
    <w:rsid w:val="000E746C"/>
    <w:rsid w:val="000F3FB7"/>
    <w:rsid w:val="000F5899"/>
    <w:rsid w:val="000F78D5"/>
    <w:rsid w:val="00100C21"/>
    <w:rsid w:val="00101B46"/>
    <w:rsid w:val="001023E5"/>
    <w:rsid w:val="00110EBA"/>
    <w:rsid w:val="001141C4"/>
    <w:rsid w:val="001172B3"/>
    <w:rsid w:val="001215A7"/>
    <w:rsid w:val="00122401"/>
    <w:rsid w:val="00126400"/>
    <w:rsid w:val="00130B1B"/>
    <w:rsid w:val="0013508B"/>
    <w:rsid w:val="00141598"/>
    <w:rsid w:val="001429B3"/>
    <w:rsid w:val="00144626"/>
    <w:rsid w:val="0015193C"/>
    <w:rsid w:val="001541B5"/>
    <w:rsid w:val="0015684F"/>
    <w:rsid w:val="00157B6A"/>
    <w:rsid w:val="00157FEC"/>
    <w:rsid w:val="00162FEF"/>
    <w:rsid w:val="00170768"/>
    <w:rsid w:val="00174C4B"/>
    <w:rsid w:val="00174D79"/>
    <w:rsid w:val="00180F16"/>
    <w:rsid w:val="00181E11"/>
    <w:rsid w:val="0018232A"/>
    <w:rsid w:val="001873F4"/>
    <w:rsid w:val="00187FA1"/>
    <w:rsid w:val="00190F03"/>
    <w:rsid w:val="00193751"/>
    <w:rsid w:val="00196671"/>
    <w:rsid w:val="001A1D64"/>
    <w:rsid w:val="001A31DF"/>
    <w:rsid w:val="001A70BD"/>
    <w:rsid w:val="001B733E"/>
    <w:rsid w:val="001D0139"/>
    <w:rsid w:val="001D19AD"/>
    <w:rsid w:val="001D1D2A"/>
    <w:rsid w:val="001D489B"/>
    <w:rsid w:val="001D7C7A"/>
    <w:rsid w:val="001E20FF"/>
    <w:rsid w:val="001E2293"/>
    <w:rsid w:val="001E385C"/>
    <w:rsid w:val="001E5A34"/>
    <w:rsid w:val="001E5E26"/>
    <w:rsid w:val="001F094E"/>
    <w:rsid w:val="001F0C8E"/>
    <w:rsid w:val="001F26CC"/>
    <w:rsid w:val="001F4C74"/>
    <w:rsid w:val="001F6FBD"/>
    <w:rsid w:val="001F7133"/>
    <w:rsid w:val="001F79B4"/>
    <w:rsid w:val="00200309"/>
    <w:rsid w:val="002054F5"/>
    <w:rsid w:val="002178EF"/>
    <w:rsid w:val="0022192C"/>
    <w:rsid w:val="00225875"/>
    <w:rsid w:val="0023223B"/>
    <w:rsid w:val="00235D13"/>
    <w:rsid w:val="00236C0B"/>
    <w:rsid w:val="00243472"/>
    <w:rsid w:val="002439E6"/>
    <w:rsid w:val="0024440C"/>
    <w:rsid w:val="00244841"/>
    <w:rsid w:val="00245A31"/>
    <w:rsid w:val="0025036B"/>
    <w:rsid w:val="002557E3"/>
    <w:rsid w:val="00257BB5"/>
    <w:rsid w:val="00263477"/>
    <w:rsid w:val="002643C0"/>
    <w:rsid w:val="00266F95"/>
    <w:rsid w:val="002727C4"/>
    <w:rsid w:val="00273A9B"/>
    <w:rsid w:val="00273DC2"/>
    <w:rsid w:val="00280798"/>
    <w:rsid w:val="00286A99"/>
    <w:rsid w:val="00291F79"/>
    <w:rsid w:val="002934A2"/>
    <w:rsid w:val="00293720"/>
    <w:rsid w:val="00294C47"/>
    <w:rsid w:val="00297604"/>
    <w:rsid w:val="002A39E0"/>
    <w:rsid w:val="002A419E"/>
    <w:rsid w:val="002A4627"/>
    <w:rsid w:val="002A54B0"/>
    <w:rsid w:val="002C0DF7"/>
    <w:rsid w:val="002C1301"/>
    <w:rsid w:val="002C48DC"/>
    <w:rsid w:val="002C5461"/>
    <w:rsid w:val="002C784F"/>
    <w:rsid w:val="002D0924"/>
    <w:rsid w:val="002D20C8"/>
    <w:rsid w:val="002D322B"/>
    <w:rsid w:val="002D383B"/>
    <w:rsid w:val="002D38B2"/>
    <w:rsid w:val="002D42D6"/>
    <w:rsid w:val="002D6E69"/>
    <w:rsid w:val="002E0F6D"/>
    <w:rsid w:val="002E4C76"/>
    <w:rsid w:val="002E5548"/>
    <w:rsid w:val="002E60AC"/>
    <w:rsid w:val="002E6A4A"/>
    <w:rsid w:val="002F1C66"/>
    <w:rsid w:val="002F2803"/>
    <w:rsid w:val="002F38A6"/>
    <w:rsid w:val="003058BA"/>
    <w:rsid w:val="00310377"/>
    <w:rsid w:val="00311D39"/>
    <w:rsid w:val="00322627"/>
    <w:rsid w:val="00323773"/>
    <w:rsid w:val="00325C47"/>
    <w:rsid w:val="003312D1"/>
    <w:rsid w:val="003368D3"/>
    <w:rsid w:val="00337ABD"/>
    <w:rsid w:val="00342F1E"/>
    <w:rsid w:val="00346D0D"/>
    <w:rsid w:val="00351D1F"/>
    <w:rsid w:val="003549BF"/>
    <w:rsid w:val="00364C1F"/>
    <w:rsid w:val="00365391"/>
    <w:rsid w:val="00366ED6"/>
    <w:rsid w:val="00367060"/>
    <w:rsid w:val="003673A3"/>
    <w:rsid w:val="00373ED3"/>
    <w:rsid w:val="00374DDE"/>
    <w:rsid w:val="003762CC"/>
    <w:rsid w:val="00376328"/>
    <w:rsid w:val="003774CD"/>
    <w:rsid w:val="003809EF"/>
    <w:rsid w:val="00381CAE"/>
    <w:rsid w:val="00383319"/>
    <w:rsid w:val="003844D4"/>
    <w:rsid w:val="00391C69"/>
    <w:rsid w:val="003925F0"/>
    <w:rsid w:val="003942C0"/>
    <w:rsid w:val="00394DB6"/>
    <w:rsid w:val="00395B45"/>
    <w:rsid w:val="003A2A40"/>
    <w:rsid w:val="003A5144"/>
    <w:rsid w:val="003A615D"/>
    <w:rsid w:val="003A656A"/>
    <w:rsid w:val="003B032B"/>
    <w:rsid w:val="003B28DB"/>
    <w:rsid w:val="003B2FD3"/>
    <w:rsid w:val="003B5595"/>
    <w:rsid w:val="003B59F7"/>
    <w:rsid w:val="003B5D7E"/>
    <w:rsid w:val="003C059D"/>
    <w:rsid w:val="003C1F68"/>
    <w:rsid w:val="003C72A5"/>
    <w:rsid w:val="003E0958"/>
    <w:rsid w:val="003E3664"/>
    <w:rsid w:val="003E50F2"/>
    <w:rsid w:val="003E5789"/>
    <w:rsid w:val="003F1728"/>
    <w:rsid w:val="003F33BB"/>
    <w:rsid w:val="003F4C3D"/>
    <w:rsid w:val="003F5F27"/>
    <w:rsid w:val="003F62BE"/>
    <w:rsid w:val="003F67FA"/>
    <w:rsid w:val="00411327"/>
    <w:rsid w:val="00413D79"/>
    <w:rsid w:val="00414477"/>
    <w:rsid w:val="00415EA7"/>
    <w:rsid w:val="0041750B"/>
    <w:rsid w:val="00417D5F"/>
    <w:rsid w:val="004262DB"/>
    <w:rsid w:val="0042686B"/>
    <w:rsid w:val="00427A28"/>
    <w:rsid w:val="0043194C"/>
    <w:rsid w:val="004340B0"/>
    <w:rsid w:val="0044138F"/>
    <w:rsid w:val="00444F06"/>
    <w:rsid w:val="004569DA"/>
    <w:rsid w:val="00457917"/>
    <w:rsid w:val="004609C7"/>
    <w:rsid w:val="0046490E"/>
    <w:rsid w:val="004662B5"/>
    <w:rsid w:val="0047340A"/>
    <w:rsid w:val="00483587"/>
    <w:rsid w:val="00486CB2"/>
    <w:rsid w:val="00490F2E"/>
    <w:rsid w:val="00491368"/>
    <w:rsid w:val="00492659"/>
    <w:rsid w:val="0049334A"/>
    <w:rsid w:val="004A770C"/>
    <w:rsid w:val="004B002E"/>
    <w:rsid w:val="004B3D02"/>
    <w:rsid w:val="004B46A0"/>
    <w:rsid w:val="004C194A"/>
    <w:rsid w:val="004C508D"/>
    <w:rsid w:val="004C79A8"/>
    <w:rsid w:val="004D5B1E"/>
    <w:rsid w:val="004E068C"/>
    <w:rsid w:val="004E12F2"/>
    <w:rsid w:val="004E3C39"/>
    <w:rsid w:val="004F254E"/>
    <w:rsid w:val="004F502B"/>
    <w:rsid w:val="004F7A42"/>
    <w:rsid w:val="00500E37"/>
    <w:rsid w:val="00502B55"/>
    <w:rsid w:val="00503243"/>
    <w:rsid w:val="00503CFE"/>
    <w:rsid w:val="0051195F"/>
    <w:rsid w:val="00514988"/>
    <w:rsid w:val="0051765D"/>
    <w:rsid w:val="005252B0"/>
    <w:rsid w:val="00531B2D"/>
    <w:rsid w:val="00546732"/>
    <w:rsid w:val="00550643"/>
    <w:rsid w:val="00553572"/>
    <w:rsid w:val="005554E5"/>
    <w:rsid w:val="0055748C"/>
    <w:rsid w:val="00565C48"/>
    <w:rsid w:val="00567732"/>
    <w:rsid w:val="0057467A"/>
    <w:rsid w:val="00575487"/>
    <w:rsid w:val="005764D5"/>
    <w:rsid w:val="00584451"/>
    <w:rsid w:val="00584FAB"/>
    <w:rsid w:val="00591D4E"/>
    <w:rsid w:val="005928F4"/>
    <w:rsid w:val="005A24D4"/>
    <w:rsid w:val="005A2834"/>
    <w:rsid w:val="005A3847"/>
    <w:rsid w:val="005A45F6"/>
    <w:rsid w:val="005B3CE6"/>
    <w:rsid w:val="005B6565"/>
    <w:rsid w:val="005B6BED"/>
    <w:rsid w:val="005C1936"/>
    <w:rsid w:val="005C5C85"/>
    <w:rsid w:val="005C75EA"/>
    <w:rsid w:val="005D05C5"/>
    <w:rsid w:val="005D072B"/>
    <w:rsid w:val="005D393F"/>
    <w:rsid w:val="005D442B"/>
    <w:rsid w:val="005E10F4"/>
    <w:rsid w:val="005E3C4C"/>
    <w:rsid w:val="005E7101"/>
    <w:rsid w:val="005F0E3F"/>
    <w:rsid w:val="005F2F5A"/>
    <w:rsid w:val="005F3E68"/>
    <w:rsid w:val="00607DC1"/>
    <w:rsid w:val="006179E9"/>
    <w:rsid w:val="00626719"/>
    <w:rsid w:val="00627309"/>
    <w:rsid w:val="006301CA"/>
    <w:rsid w:val="006309E6"/>
    <w:rsid w:val="006327BB"/>
    <w:rsid w:val="00633C3B"/>
    <w:rsid w:val="0063644F"/>
    <w:rsid w:val="00637319"/>
    <w:rsid w:val="00644828"/>
    <w:rsid w:val="006449F7"/>
    <w:rsid w:val="00645D18"/>
    <w:rsid w:val="00646650"/>
    <w:rsid w:val="00646763"/>
    <w:rsid w:val="00647B4B"/>
    <w:rsid w:val="0065167F"/>
    <w:rsid w:val="00655F3E"/>
    <w:rsid w:val="006572AC"/>
    <w:rsid w:val="0065730A"/>
    <w:rsid w:val="00662C1A"/>
    <w:rsid w:val="00663AA2"/>
    <w:rsid w:val="00663DCC"/>
    <w:rsid w:val="00664466"/>
    <w:rsid w:val="00664726"/>
    <w:rsid w:val="006659C8"/>
    <w:rsid w:val="00667728"/>
    <w:rsid w:val="00671474"/>
    <w:rsid w:val="00671D12"/>
    <w:rsid w:val="00691A35"/>
    <w:rsid w:val="00692DDC"/>
    <w:rsid w:val="006A04E5"/>
    <w:rsid w:val="006A1085"/>
    <w:rsid w:val="006A387C"/>
    <w:rsid w:val="006A44DF"/>
    <w:rsid w:val="006A620C"/>
    <w:rsid w:val="006A75FE"/>
    <w:rsid w:val="006B0B3E"/>
    <w:rsid w:val="006B28F7"/>
    <w:rsid w:val="006B3637"/>
    <w:rsid w:val="006B4564"/>
    <w:rsid w:val="006B6F5E"/>
    <w:rsid w:val="006C6700"/>
    <w:rsid w:val="006D11FD"/>
    <w:rsid w:val="006D227B"/>
    <w:rsid w:val="006D3884"/>
    <w:rsid w:val="006D3B3F"/>
    <w:rsid w:val="006E2A3A"/>
    <w:rsid w:val="006E375D"/>
    <w:rsid w:val="006E4CAD"/>
    <w:rsid w:val="006F1E4A"/>
    <w:rsid w:val="006F3359"/>
    <w:rsid w:val="006F3F19"/>
    <w:rsid w:val="006F7EFC"/>
    <w:rsid w:val="00700745"/>
    <w:rsid w:val="0070287B"/>
    <w:rsid w:val="00702D96"/>
    <w:rsid w:val="0070375F"/>
    <w:rsid w:val="0070546F"/>
    <w:rsid w:val="007075DF"/>
    <w:rsid w:val="0071048E"/>
    <w:rsid w:val="0071288A"/>
    <w:rsid w:val="007145B2"/>
    <w:rsid w:val="007171B2"/>
    <w:rsid w:val="007178EA"/>
    <w:rsid w:val="0072120D"/>
    <w:rsid w:val="00721A9D"/>
    <w:rsid w:val="00722892"/>
    <w:rsid w:val="007242DF"/>
    <w:rsid w:val="00726C57"/>
    <w:rsid w:val="0072747A"/>
    <w:rsid w:val="0073212E"/>
    <w:rsid w:val="007339B7"/>
    <w:rsid w:val="00734E9C"/>
    <w:rsid w:val="00742BA0"/>
    <w:rsid w:val="00742D62"/>
    <w:rsid w:val="00743632"/>
    <w:rsid w:val="00743C82"/>
    <w:rsid w:val="0075193C"/>
    <w:rsid w:val="00752148"/>
    <w:rsid w:val="007530EC"/>
    <w:rsid w:val="00756DD3"/>
    <w:rsid w:val="007579D5"/>
    <w:rsid w:val="00762DAF"/>
    <w:rsid w:val="00765F50"/>
    <w:rsid w:val="00771521"/>
    <w:rsid w:val="00772584"/>
    <w:rsid w:val="0077664E"/>
    <w:rsid w:val="007850A1"/>
    <w:rsid w:val="00786854"/>
    <w:rsid w:val="0078741E"/>
    <w:rsid w:val="007874B0"/>
    <w:rsid w:val="00793695"/>
    <w:rsid w:val="00795376"/>
    <w:rsid w:val="00797604"/>
    <w:rsid w:val="007B16BB"/>
    <w:rsid w:val="007B45A1"/>
    <w:rsid w:val="007B7BA6"/>
    <w:rsid w:val="007C3754"/>
    <w:rsid w:val="007C629F"/>
    <w:rsid w:val="007C7D80"/>
    <w:rsid w:val="007D36A3"/>
    <w:rsid w:val="007D7CFA"/>
    <w:rsid w:val="007E2463"/>
    <w:rsid w:val="007E38D6"/>
    <w:rsid w:val="007E6DBA"/>
    <w:rsid w:val="007F04CE"/>
    <w:rsid w:val="007F61A9"/>
    <w:rsid w:val="00804275"/>
    <w:rsid w:val="008051D0"/>
    <w:rsid w:val="00810157"/>
    <w:rsid w:val="00811679"/>
    <w:rsid w:val="00814ED5"/>
    <w:rsid w:val="00814F86"/>
    <w:rsid w:val="0081729C"/>
    <w:rsid w:val="00820241"/>
    <w:rsid w:val="008226A6"/>
    <w:rsid w:val="00825F3C"/>
    <w:rsid w:val="00830CF4"/>
    <w:rsid w:val="00831B82"/>
    <w:rsid w:val="00832344"/>
    <w:rsid w:val="00835E20"/>
    <w:rsid w:val="00836269"/>
    <w:rsid w:val="00836305"/>
    <w:rsid w:val="008374CB"/>
    <w:rsid w:val="008417ED"/>
    <w:rsid w:val="0084634F"/>
    <w:rsid w:val="008505F9"/>
    <w:rsid w:val="00853F8F"/>
    <w:rsid w:val="00855892"/>
    <w:rsid w:val="00855A77"/>
    <w:rsid w:val="00860D34"/>
    <w:rsid w:val="00866AE5"/>
    <w:rsid w:val="00872472"/>
    <w:rsid w:val="0087386F"/>
    <w:rsid w:val="00873CE5"/>
    <w:rsid w:val="00875E22"/>
    <w:rsid w:val="00877E6A"/>
    <w:rsid w:val="00881A20"/>
    <w:rsid w:val="00881C43"/>
    <w:rsid w:val="008859C9"/>
    <w:rsid w:val="00886856"/>
    <w:rsid w:val="008917AD"/>
    <w:rsid w:val="0089194E"/>
    <w:rsid w:val="00892CAA"/>
    <w:rsid w:val="008959F9"/>
    <w:rsid w:val="008A289C"/>
    <w:rsid w:val="008A3741"/>
    <w:rsid w:val="008A3B5D"/>
    <w:rsid w:val="008A7B58"/>
    <w:rsid w:val="008B00D4"/>
    <w:rsid w:val="008B2E6E"/>
    <w:rsid w:val="008B388C"/>
    <w:rsid w:val="008B5D54"/>
    <w:rsid w:val="008B7D8E"/>
    <w:rsid w:val="008C0851"/>
    <w:rsid w:val="008C1810"/>
    <w:rsid w:val="008C1E38"/>
    <w:rsid w:val="008C4339"/>
    <w:rsid w:val="008C6664"/>
    <w:rsid w:val="008C6794"/>
    <w:rsid w:val="008C7C93"/>
    <w:rsid w:val="008D3F64"/>
    <w:rsid w:val="008D6DDD"/>
    <w:rsid w:val="008E015A"/>
    <w:rsid w:val="008E0A05"/>
    <w:rsid w:val="008E359F"/>
    <w:rsid w:val="008E655C"/>
    <w:rsid w:val="008E7E58"/>
    <w:rsid w:val="008F3959"/>
    <w:rsid w:val="008F3AB3"/>
    <w:rsid w:val="00902FE2"/>
    <w:rsid w:val="00927744"/>
    <w:rsid w:val="00930B60"/>
    <w:rsid w:val="0093264D"/>
    <w:rsid w:val="0093302A"/>
    <w:rsid w:val="00933559"/>
    <w:rsid w:val="00937AC5"/>
    <w:rsid w:val="009409C2"/>
    <w:rsid w:val="00941384"/>
    <w:rsid w:val="0094164D"/>
    <w:rsid w:val="00943BA4"/>
    <w:rsid w:val="009468D5"/>
    <w:rsid w:val="00955E99"/>
    <w:rsid w:val="0095690F"/>
    <w:rsid w:val="00961887"/>
    <w:rsid w:val="00961CE3"/>
    <w:rsid w:val="00962FBB"/>
    <w:rsid w:val="00965C6D"/>
    <w:rsid w:val="00970393"/>
    <w:rsid w:val="009713A3"/>
    <w:rsid w:val="00972D5C"/>
    <w:rsid w:val="009768AE"/>
    <w:rsid w:val="00977109"/>
    <w:rsid w:val="0098094E"/>
    <w:rsid w:val="009949AA"/>
    <w:rsid w:val="00995CB9"/>
    <w:rsid w:val="009969EB"/>
    <w:rsid w:val="009A0736"/>
    <w:rsid w:val="009A0E36"/>
    <w:rsid w:val="009A1D8F"/>
    <w:rsid w:val="009A1F63"/>
    <w:rsid w:val="009A7E27"/>
    <w:rsid w:val="009B07B0"/>
    <w:rsid w:val="009B2A97"/>
    <w:rsid w:val="009B3DF5"/>
    <w:rsid w:val="009B617F"/>
    <w:rsid w:val="009B70AB"/>
    <w:rsid w:val="009B7995"/>
    <w:rsid w:val="009B7A08"/>
    <w:rsid w:val="009C0451"/>
    <w:rsid w:val="009C245E"/>
    <w:rsid w:val="009C2E72"/>
    <w:rsid w:val="009D0466"/>
    <w:rsid w:val="009D2102"/>
    <w:rsid w:val="009D6A9C"/>
    <w:rsid w:val="009D720D"/>
    <w:rsid w:val="009E4192"/>
    <w:rsid w:val="009E438F"/>
    <w:rsid w:val="009E5174"/>
    <w:rsid w:val="009E53CB"/>
    <w:rsid w:val="009F13ED"/>
    <w:rsid w:val="009F1D58"/>
    <w:rsid w:val="009F26AA"/>
    <w:rsid w:val="009F5499"/>
    <w:rsid w:val="009F568F"/>
    <w:rsid w:val="009F5AAB"/>
    <w:rsid w:val="009F7D57"/>
    <w:rsid w:val="00A02317"/>
    <w:rsid w:val="00A075E0"/>
    <w:rsid w:val="00A121AF"/>
    <w:rsid w:val="00A257DB"/>
    <w:rsid w:val="00A2646F"/>
    <w:rsid w:val="00A27021"/>
    <w:rsid w:val="00A31665"/>
    <w:rsid w:val="00A31D9F"/>
    <w:rsid w:val="00A31FC2"/>
    <w:rsid w:val="00A32042"/>
    <w:rsid w:val="00A37B68"/>
    <w:rsid w:val="00A41AC1"/>
    <w:rsid w:val="00A43276"/>
    <w:rsid w:val="00A447BD"/>
    <w:rsid w:val="00A448E3"/>
    <w:rsid w:val="00A4574E"/>
    <w:rsid w:val="00A45FA5"/>
    <w:rsid w:val="00A47279"/>
    <w:rsid w:val="00A50BF3"/>
    <w:rsid w:val="00A516F3"/>
    <w:rsid w:val="00A5586F"/>
    <w:rsid w:val="00A561F7"/>
    <w:rsid w:val="00A60C3F"/>
    <w:rsid w:val="00A65B7A"/>
    <w:rsid w:val="00A66699"/>
    <w:rsid w:val="00A66C22"/>
    <w:rsid w:val="00A67406"/>
    <w:rsid w:val="00A70BA3"/>
    <w:rsid w:val="00A71C3F"/>
    <w:rsid w:val="00A7507C"/>
    <w:rsid w:val="00A774BE"/>
    <w:rsid w:val="00A81232"/>
    <w:rsid w:val="00A908BB"/>
    <w:rsid w:val="00A94CA9"/>
    <w:rsid w:val="00A94D17"/>
    <w:rsid w:val="00A979C6"/>
    <w:rsid w:val="00A97B35"/>
    <w:rsid w:val="00A97C01"/>
    <w:rsid w:val="00AA42E2"/>
    <w:rsid w:val="00AA4804"/>
    <w:rsid w:val="00AA4D66"/>
    <w:rsid w:val="00AA7E23"/>
    <w:rsid w:val="00AB04CF"/>
    <w:rsid w:val="00AB54BD"/>
    <w:rsid w:val="00AB5A0D"/>
    <w:rsid w:val="00AB6F70"/>
    <w:rsid w:val="00AC628A"/>
    <w:rsid w:val="00AC6BEA"/>
    <w:rsid w:val="00AD02C1"/>
    <w:rsid w:val="00AD38E8"/>
    <w:rsid w:val="00AD5C32"/>
    <w:rsid w:val="00AD66B8"/>
    <w:rsid w:val="00AE0EFF"/>
    <w:rsid w:val="00AE2D5B"/>
    <w:rsid w:val="00AE5AA1"/>
    <w:rsid w:val="00AF1833"/>
    <w:rsid w:val="00AF49FA"/>
    <w:rsid w:val="00B056BB"/>
    <w:rsid w:val="00B17A37"/>
    <w:rsid w:val="00B22064"/>
    <w:rsid w:val="00B22FAE"/>
    <w:rsid w:val="00B31C93"/>
    <w:rsid w:val="00B3350B"/>
    <w:rsid w:val="00B354AB"/>
    <w:rsid w:val="00B40464"/>
    <w:rsid w:val="00B4100B"/>
    <w:rsid w:val="00B42CDA"/>
    <w:rsid w:val="00B5399B"/>
    <w:rsid w:val="00B624A4"/>
    <w:rsid w:val="00B76A86"/>
    <w:rsid w:val="00B76C4D"/>
    <w:rsid w:val="00B81B7A"/>
    <w:rsid w:val="00B84C71"/>
    <w:rsid w:val="00B85627"/>
    <w:rsid w:val="00B86180"/>
    <w:rsid w:val="00B86E7E"/>
    <w:rsid w:val="00B87284"/>
    <w:rsid w:val="00B90819"/>
    <w:rsid w:val="00B93533"/>
    <w:rsid w:val="00BA015F"/>
    <w:rsid w:val="00BA5968"/>
    <w:rsid w:val="00BB3024"/>
    <w:rsid w:val="00BB4D26"/>
    <w:rsid w:val="00BC0C4D"/>
    <w:rsid w:val="00BC4B7A"/>
    <w:rsid w:val="00BC5DD8"/>
    <w:rsid w:val="00BD5061"/>
    <w:rsid w:val="00BD5C80"/>
    <w:rsid w:val="00BE03E4"/>
    <w:rsid w:val="00BE1B88"/>
    <w:rsid w:val="00BE474F"/>
    <w:rsid w:val="00BE7561"/>
    <w:rsid w:val="00BE7D37"/>
    <w:rsid w:val="00BF2600"/>
    <w:rsid w:val="00C016FB"/>
    <w:rsid w:val="00C02858"/>
    <w:rsid w:val="00C0363D"/>
    <w:rsid w:val="00C04F76"/>
    <w:rsid w:val="00C067E2"/>
    <w:rsid w:val="00C10313"/>
    <w:rsid w:val="00C1258E"/>
    <w:rsid w:val="00C125E3"/>
    <w:rsid w:val="00C1455B"/>
    <w:rsid w:val="00C163DF"/>
    <w:rsid w:val="00C1728F"/>
    <w:rsid w:val="00C22885"/>
    <w:rsid w:val="00C2607A"/>
    <w:rsid w:val="00C26663"/>
    <w:rsid w:val="00C27D1B"/>
    <w:rsid w:val="00C310C5"/>
    <w:rsid w:val="00C31EB6"/>
    <w:rsid w:val="00C33B94"/>
    <w:rsid w:val="00C33C45"/>
    <w:rsid w:val="00C34B1A"/>
    <w:rsid w:val="00C35CB2"/>
    <w:rsid w:val="00C36DA7"/>
    <w:rsid w:val="00C36ED7"/>
    <w:rsid w:val="00C37A2C"/>
    <w:rsid w:val="00C4627B"/>
    <w:rsid w:val="00C46B75"/>
    <w:rsid w:val="00C47D27"/>
    <w:rsid w:val="00C50ABC"/>
    <w:rsid w:val="00C5553E"/>
    <w:rsid w:val="00C570D5"/>
    <w:rsid w:val="00C6136E"/>
    <w:rsid w:val="00C62FD9"/>
    <w:rsid w:val="00C633BF"/>
    <w:rsid w:val="00C707A3"/>
    <w:rsid w:val="00C74624"/>
    <w:rsid w:val="00C74737"/>
    <w:rsid w:val="00C7708C"/>
    <w:rsid w:val="00C80C65"/>
    <w:rsid w:val="00C82881"/>
    <w:rsid w:val="00C90B12"/>
    <w:rsid w:val="00C927EB"/>
    <w:rsid w:val="00CA1016"/>
    <w:rsid w:val="00CA167D"/>
    <w:rsid w:val="00CA4F8E"/>
    <w:rsid w:val="00CA5832"/>
    <w:rsid w:val="00CA6491"/>
    <w:rsid w:val="00CB1A9E"/>
    <w:rsid w:val="00CB586B"/>
    <w:rsid w:val="00CC2FD0"/>
    <w:rsid w:val="00CD106C"/>
    <w:rsid w:val="00CE1510"/>
    <w:rsid w:val="00CE28CD"/>
    <w:rsid w:val="00CE3A43"/>
    <w:rsid w:val="00CE3E64"/>
    <w:rsid w:val="00CE70D6"/>
    <w:rsid w:val="00CF0F48"/>
    <w:rsid w:val="00CF304A"/>
    <w:rsid w:val="00CF5F34"/>
    <w:rsid w:val="00D016CA"/>
    <w:rsid w:val="00D056A9"/>
    <w:rsid w:val="00D06AFE"/>
    <w:rsid w:val="00D101D6"/>
    <w:rsid w:val="00D11E9C"/>
    <w:rsid w:val="00D12E13"/>
    <w:rsid w:val="00D12EE2"/>
    <w:rsid w:val="00D168FF"/>
    <w:rsid w:val="00D16F71"/>
    <w:rsid w:val="00D21E21"/>
    <w:rsid w:val="00D304C7"/>
    <w:rsid w:val="00D33609"/>
    <w:rsid w:val="00D361E1"/>
    <w:rsid w:val="00D3621B"/>
    <w:rsid w:val="00D40EDB"/>
    <w:rsid w:val="00D43D4F"/>
    <w:rsid w:val="00D47417"/>
    <w:rsid w:val="00D50991"/>
    <w:rsid w:val="00D52CFB"/>
    <w:rsid w:val="00D53E18"/>
    <w:rsid w:val="00D57F6C"/>
    <w:rsid w:val="00D60273"/>
    <w:rsid w:val="00D606DD"/>
    <w:rsid w:val="00D656A2"/>
    <w:rsid w:val="00D76077"/>
    <w:rsid w:val="00D82690"/>
    <w:rsid w:val="00D91D98"/>
    <w:rsid w:val="00D939BA"/>
    <w:rsid w:val="00DA18EA"/>
    <w:rsid w:val="00DB159E"/>
    <w:rsid w:val="00DB1BE2"/>
    <w:rsid w:val="00DC0856"/>
    <w:rsid w:val="00DC3D95"/>
    <w:rsid w:val="00DC7F57"/>
    <w:rsid w:val="00DD0D08"/>
    <w:rsid w:val="00DD1D04"/>
    <w:rsid w:val="00DD39EC"/>
    <w:rsid w:val="00DD6084"/>
    <w:rsid w:val="00DE60D0"/>
    <w:rsid w:val="00DE7AC6"/>
    <w:rsid w:val="00DF475B"/>
    <w:rsid w:val="00DF526E"/>
    <w:rsid w:val="00E009AD"/>
    <w:rsid w:val="00E06AA3"/>
    <w:rsid w:val="00E07616"/>
    <w:rsid w:val="00E12F87"/>
    <w:rsid w:val="00E168E6"/>
    <w:rsid w:val="00E2110F"/>
    <w:rsid w:val="00E21BCD"/>
    <w:rsid w:val="00E30A4D"/>
    <w:rsid w:val="00E32536"/>
    <w:rsid w:val="00E40D08"/>
    <w:rsid w:val="00E40F71"/>
    <w:rsid w:val="00E43901"/>
    <w:rsid w:val="00E5009B"/>
    <w:rsid w:val="00E50B04"/>
    <w:rsid w:val="00E5354B"/>
    <w:rsid w:val="00E55E81"/>
    <w:rsid w:val="00E647F4"/>
    <w:rsid w:val="00E66525"/>
    <w:rsid w:val="00E66A72"/>
    <w:rsid w:val="00E6747E"/>
    <w:rsid w:val="00E7356E"/>
    <w:rsid w:val="00E83520"/>
    <w:rsid w:val="00E841AC"/>
    <w:rsid w:val="00E8710E"/>
    <w:rsid w:val="00E91C23"/>
    <w:rsid w:val="00E97321"/>
    <w:rsid w:val="00EA2AE1"/>
    <w:rsid w:val="00EB5E15"/>
    <w:rsid w:val="00EC4760"/>
    <w:rsid w:val="00EC6FBE"/>
    <w:rsid w:val="00EE216E"/>
    <w:rsid w:val="00EE271E"/>
    <w:rsid w:val="00EE2D4D"/>
    <w:rsid w:val="00EE3CA8"/>
    <w:rsid w:val="00EE6084"/>
    <w:rsid w:val="00EF2617"/>
    <w:rsid w:val="00EF4AC7"/>
    <w:rsid w:val="00EF6469"/>
    <w:rsid w:val="00F05B94"/>
    <w:rsid w:val="00F0687F"/>
    <w:rsid w:val="00F069A3"/>
    <w:rsid w:val="00F077D4"/>
    <w:rsid w:val="00F10ED0"/>
    <w:rsid w:val="00F15348"/>
    <w:rsid w:val="00F267EF"/>
    <w:rsid w:val="00F30929"/>
    <w:rsid w:val="00F332C2"/>
    <w:rsid w:val="00F5365E"/>
    <w:rsid w:val="00F573FD"/>
    <w:rsid w:val="00F60B34"/>
    <w:rsid w:val="00F61F1A"/>
    <w:rsid w:val="00F62F57"/>
    <w:rsid w:val="00F62FD1"/>
    <w:rsid w:val="00F648C0"/>
    <w:rsid w:val="00F65394"/>
    <w:rsid w:val="00F6539A"/>
    <w:rsid w:val="00F7064F"/>
    <w:rsid w:val="00F76002"/>
    <w:rsid w:val="00F76D55"/>
    <w:rsid w:val="00F82F8E"/>
    <w:rsid w:val="00F842B5"/>
    <w:rsid w:val="00F86309"/>
    <w:rsid w:val="00F864BD"/>
    <w:rsid w:val="00F97D05"/>
    <w:rsid w:val="00FA15BD"/>
    <w:rsid w:val="00FA2EC9"/>
    <w:rsid w:val="00FA608B"/>
    <w:rsid w:val="00FB2673"/>
    <w:rsid w:val="00FB3065"/>
    <w:rsid w:val="00FB474B"/>
    <w:rsid w:val="00FC11C8"/>
    <w:rsid w:val="00FD02D1"/>
    <w:rsid w:val="00FD40A7"/>
    <w:rsid w:val="00FD429A"/>
    <w:rsid w:val="00FD4BBE"/>
    <w:rsid w:val="00FD5052"/>
    <w:rsid w:val="00FD51F6"/>
    <w:rsid w:val="00FE0621"/>
    <w:rsid w:val="00FE2083"/>
    <w:rsid w:val="00FF5EB2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FD48E"/>
  <w15:chartTrackingRefBased/>
  <w15:docId w15:val="{1B52D937-C38F-41B4-9481-0129100F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319"/>
  </w:style>
  <w:style w:type="paragraph" w:styleId="Heading1">
    <w:name w:val="heading 1"/>
    <w:basedOn w:val="Normal"/>
    <w:next w:val="Normal"/>
    <w:link w:val="Heading1Char"/>
    <w:uiPriority w:val="9"/>
    <w:qFormat/>
    <w:rsid w:val="00AB6F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7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E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2A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F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07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85589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814E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969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B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F61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PlainTable5">
    <w:name w:val="Plain Table 5"/>
    <w:basedOn w:val="TableNormal"/>
    <w:uiPriority w:val="45"/>
    <w:rsid w:val="00A97C0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97C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C80C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9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28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8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289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E7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7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7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A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35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7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D5F"/>
  </w:style>
  <w:style w:type="paragraph" w:styleId="Footer">
    <w:name w:val="footer"/>
    <w:basedOn w:val="Normal"/>
    <w:link w:val="FooterChar"/>
    <w:uiPriority w:val="99"/>
    <w:unhideWhenUsed/>
    <w:rsid w:val="00417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D5F"/>
  </w:style>
  <w:style w:type="character" w:customStyle="1" w:styleId="Heading4Char">
    <w:name w:val="Heading 4 Char"/>
    <w:basedOn w:val="DefaultParagraphFont"/>
    <w:link w:val="Heading4"/>
    <w:uiPriority w:val="9"/>
    <w:rsid w:val="003A2A4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900" b="1" i="0" baseline="0">
                <a:effectLst/>
              </a:rPr>
              <a:t>Chart 1: Economic Performance for Minnesota's Manufacturing Businesses  - 2024</a:t>
            </a:r>
          </a:p>
        </c:rich>
      </c:tx>
      <c:layout>
        <c:manualLayout>
          <c:xMode val="edge"/>
          <c:yMode val="edge"/>
          <c:x val="0.20565822670106879"/>
          <c:y val="4.62958597241213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5374827639445679"/>
          <c:y val="0.19212962962962962"/>
          <c:w val="0.81114308987238659"/>
          <c:h val="0.668534741540540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'Diffusion Indexes'!$B$1</c:f>
              <c:strCache>
                <c:ptCount val="1"/>
                <c:pt idx="0">
                  <c:v>Diffusion Index </c:v>
                </c:pt>
              </c:strCache>
            </c:strRef>
          </c:tx>
          <c:spPr>
            <a:solidFill>
              <a:srgbClr val="003865"/>
            </a:solidFill>
            <a:ln>
              <a:solidFill>
                <a:schemeClr val="tx2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'Diffusion Indexes'!$A$2:$A$10</c:f>
              <c:strCache>
                <c:ptCount val="9"/>
                <c:pt idx="0">
                  <c:v>Orders</c:v>
                </c:pt>
                <c:pt idx="1">
                  <c:v>Product-
level</c:v>
                </c:pt>
                <c:pt idx="2">
                  <c:v>Emp.-
level</c:v>
                </c:pt>
                <c:pt idx="3">
                  <c:v>Labor 
availa.</c:v>
                </c:pt>
                <c:pt idx="4">
                  <c:v>Invest-
ment</c:v>
                </c:pt>
                <c:pt idx="5">
                  <c:v>Selling
prices</c:v>
                </c:pt>
                <c:pt idx="6">
                  <c:v>Profits
</c:v>
                </c:pt>
                <c:pt idx="7">
                  <c:v>Pro-
ductivity</c:v>
                </c:pt>
                <c:pt idx="8">
                  <c:v>Exports</c:v>
                </c:pt>
              </c:strCache>
            </c:strRef>
          </c:cat>
          <c:val>
            <c:numRef>
              <c:f>'Diffusion Indexes'!$B$2:$B$10</c:f>
              <c:numCache>
                <c:formatCode>0</c:formatCode>
                <c:ptCount val="9"/>
                <c:pt idx="0">
                  <c:v>35</c:v>
                </c:pt>
                <c:pt idx="1">
                  <c:v>45</c:v>
                </c:pt>
                <c:pt idx="2">
                  <c:v>40</c:v>
                </c:pt>
                <c:pt idx="3">
                  <c:v>47</c:v>
                </c:pt>
                <c:pt idx="4">
                  <c:v>53</c:v>
                </c:pt>
                <c:pt idx="5">
                  <c:v>69</c:v>
                </c:pt>
                <c:pt idx="6">
                  <c:v>34</c:v>
                </c:pt>
                <c:pt idx="7">
                  <c:v>50</c:v>
                </c:pt>
                <c:pt idx="8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73-4F74-9500-05B0E7C85D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5"/>
        <c:axId val="593427568"/>
        <c:axId val="593431176"/>
      </c:barChart>
      <c:lineChart>
        <c:grouping val="standard"/>
        <c:varyColors val="0"/>
        <c:ser>
          <c:idx val="1"/>
          <c:order val="1"/>
          <c:tx>
            <c:strRef>
              <c:f>'Diffusion Indexes'!$C$1</c:f>
              <c:strCache>
                <c:ptCount val="1"/>
                <c:pt idx="0">
                  <c:v>Vertical Line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'Diffusion Indexes'!$A$2:$A$10</c:f>
              <c:strCache>
                <c:ptCount val="9"/>
                <c:pt idx="0">
                  <c:v>Orders</c:v>
                </c:pt>
                <c:pt idx="1">
                  <c:v>Product-
level</c:v>
                </c:pt>
                <c:pt idx="2">
                  <c:v>Emp.-
level</c:v>
                </c:pt>
                <c:pt idx="3">
                  <c:v>Labor 
availa.</c:v>
                </c:pt>
                <c:pt idx="4">
                  <c:v>Invest-
ment</c:v>
                </c:pt>
                <c:pt idx="5">
                  <c:v>Selling
prices</c:v>
                </c:pt>
                <c:pt idx="6">
                  <c:v>Profits
</c:v>
                </c:pt>
                <c:pt idx="7">
                  <c:v>Pro-
ductivity</c:v>
                </c:pt>
                <c:pt idx="8">
                  <c:v>Exports</c:v>
                </c:pt>
              </c:strCache>
            </c:strRef>
          </c:cat>
          <c:val>
            <c:numRef>
              <c:f>'Diffusion Indexes'!$C$2:$C$10</c:f>
              <c:numCache>
                <c:formatCode>0</c:formatCode>
                <c:ptCount val="9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6">
                  <c:v>50</c:v>
                </c:pt>
                <c:pt idx="7">
                  <c:v>50</c:v>
                </c:pt>
                <c:pt idx="8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E73-4F74-9500-05B0E7C85D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3427568"/>
        <c:axId val="593431176"/>
      </c:lineChart>
      <c:catAx>
        <c:axId val="593427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3431176"/>
        <c:crosses val="autoZero"/>
        <c:auto val="1"/>
        <c:lblAlgn val="ctr"/>
        <c:lblOffset val="100"/>
        <c:noMultiLvlLbl val="0"/>
      </c:catAx>
      <c:valAx>
        <c:axId val="593431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Difussion</a:t>
                </a:r>
                <a:r>
                  <a:rPr lang="en-US" baseline="0"/>
                  <a:t> Index*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342756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900" b="1" i="0" baseline="0">
                <a:effectLst/>
              </a:rPr>
              <a:t> Chart 2: Outlook Economic Performance for Minnesota's Manufacturing Businesses  - 2024</a:t>
            </a:r>
          </a:p>
        </c:rich>
      </c:tx>
      <c:layout>
        <c:manualLayout>
          <c:xMode val="edge"/>
          <c:yMode val="edge"/>
          <c:x val="0.16931661555630803"/>
          <c:y val="4.62958597241213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5374827639445679"/>
          <c:y val="0.19212962962962962"/>
          <c:w val="0.81114308987238659"/>
          <c:h val="0.668534741540540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'Diffusion Indexes'!$B$1</c:f>
              <c:strCache>
                <c:ptCount val="1"/>
                <c:pt idx="0">
                  <c:v>Diffusion Index </c:v>
                </c:pt>
              </c:strCache>
            </c:strRef>
          </c:tx>
          <c:spPr>
            <a:solidFill>
              <a:srgbClr val="003865"/>
            </a:solidFill>
            <a:ln>
              <a:solidFill>
                <a:schemeClr val="tx2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'Diffusion Indexes'!$A$2:$A$10</c:f>
              <c:strCache>
                <c:ptCount val="9"/>
                <c:pt idx="0">
                  <c:v>Orders</c:v>
                </c:pt>
                <c:pt idx="1">
                  <c:v>Product-
level</c:v>
                </c:pt>
                <c:pt idx="2">
                  <c:v>Emp.-
level</c:v>
                </c:pt>
                <c:pt idx="3">
                  <c:v>Labor 
availa.</c:v>
                </c:pt>
                <c:pt idx="4">
                  <c:v>Invest-
ment</c:v>
                </c:pt>
                <c:pt idx="5">
                  <c:v>Selling
prices</c:v>
                </c:pt>
                <c:pt idx="6">
                  <c:v>Profits
</c:v>
                </c:pt>
                <c:pt idx="7">
                  <c:v>Pro-
ductivity</c:v>
                </c:pt>
                <c:pt idx="8">
                  <c:v>Exports</c:v>
                </c:pt>
              </c:strCache>
            </c:strRef>
          </c:cat>
          <c:val>
            <c:numRef>
              <c:f>'Diffusion Indexes'!$B$2:$B$10</c:f>
              <c:numCache>
                <c:formatCode>0</c:formatCode>
                <c:ptCount val="9"/>
                <c:pt idx="0">
                  <c:v>68</c:v>
                </c:pt>
                <c:pt idx="1">
                  <c:v>63</c:v>
                </c:pt>
                <c:pt idx="2">
                  <c:v>60</c:v>
                </c:pt>
                <c:pt idx="3">
                  <c:v>51</c:v>
                </c:pt>
                <c:pt idx="4">
                  <c:v>58</c:v>
                </c:pt>
                <c:pt idx="5">
                  <c:v>67</c:v>
                </c:pt>
                <c:pt idx="6">
                  <c:v>61</c:v>
                </c:pt>
                <c:pt idx="7">
                  <c:v>67</c:v>
                </c:pt>
                <c:pt idx="8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45-4D76-902F-AB977B469C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5"/>
        <c:axId val="593427568"/>
        <c:axId val="593431176"/>
      </c:barChart>
      <c:lineChart>
        <c:grouping val="standard"/>
        <c:varyColors val="0"/>
        <c:ser>
          <c:idx val="1"/>
          <c:order val="1"/>
          <c:tx>
            <c:strRef>
              <c:f>'Diffusion Indexes'!$C$1</c:f>
              <c:strCache>
                <c:ptCount val="1"/>
                <c:pt idx="0">
                  <c:v>Vertical Line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'Diffusion Indexes'!$A$2:$A$10</c:f>
              <c:strCache>
                <c:ptCount val="9"/>
                <c:pt idx="0">
                  <c:v>Orders</c:v>
                </c:pt>
                <c:pt idx="1">
                  <c:v>Product-
level</c:v>
                </c:pt>
                <c:pt idx="2">
                  <c:v>Emp.-
level</c:v>
                </c:pt>
                <c:pt idx="3">
                  <c:v>Labor 
availa.</c:v>
                </c:pt>
                <c:pt idx="4">
                  <c:v>Invest-
ment</c:v>
                </c:pt>
                <c:pt idx="5">
                  <c:v>Selling
prices</c:v>
                </c:pt>
                <c:pt idx="6">
                  <c:v>Profits
</c:v>
                </c:pt>
                <c:pt idx="7">
                  <c:v>Pro-
ductivity</c:v>
                </c:pt>
                <c:pt idx="8">
                  <c:v>Exports</c:v>
                </c:pt>
              </c:strCache>
            </c:strRef>
          </c:cat>
          <c:val>
            <c:numRef>
              <c:f>'Diffusion Indexes'!$C$2:$C$10</c:f>
              <c:numCache>
                <c:formatCode>0</c:formatCode>
                <c:ptCount val="9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6">
                  <c:v>50</c:v>
                </c:pt>
                <c:pt idx="7">
                  <c:v>50</c:v>
                </c:pt>
                <c:pt idx="8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245-4D76-902F-AB977B469C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3427568"/>
        <c:axId val="593431176"/>
      </c:lineChart>
      <c:catAx>
        <c:axId val="593427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3431176"/>
        <c:crosses val="autoZero"/>
        <c:auto val="1"/>
        <c:lblAlgn val="ctr"/>
        <c:lblOffset val="100"/>
        <c:noMultiLvlLbl val="0"/>
      </c:catAx>
      <c:valAx>
        <c:axId val="593431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Difussion</a:t>
                </a:r>
                <a:r>
                  <a:rPr lang="en-US" baseline="0"/>
                  <a:t> Index*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342756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105E1E-698F-4F45-92E1-3A91BBF659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3F1E7F-D338-4798-96B3-121AACA41E6C}"/>
</file>

<file path=customXml/itemProps3.xml><?xml version="1.0" encoding="utf-8"?>
<ds:datastoreItem xmlns:ds="http://schemas.openxmlformats.org/officeDocument/2006/customXml" ds:itemID="{A0089619-BFAE-4D2C-851A-EA4416F74DEE}"/>
</file>

<file path=customXml/itemProps4.xml><?xml version="1.0" encoding="utf-8"?>
<ds:datastoreItem xmlns:ds="http://schemas.openxmlformats.org/officeDocument/2006/customXml" ds:itemID="{60B93973-8EB7-4C95-A28A-64DF3C35EC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Olson</dc:creator>
  <cp:keywords/>
  <dc:description/>
  <cp:lastModifiedBy>Olson, Magda (DEED)</cp:lastModifiedBy>
  <cp:revision>2</cp:revision>
  <cp:lastPrinted>2024-01-31T17:38:00Z</cp:lastPrinted>
  <dcterms:created xsi:type="dcterms:W3CDTF">2025-01-22T18:44:00Z</dcterms:created>
  <dcterms:modified xsi:type="dcterms:W3CDTF">2025-01-22T18:44:00Z</dcterms:modified>
</cp:coreProperties>
</file>