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color w:val="003865" w:themeColor="accent1"/>
          <w:sz w:val="32"/>
          <w:szCs w:val="32"/>
        </w:rPr>
        <w:id w:val="10729564"/>
        <w:docPartObj>
          <w:docPartGallery w:val="Cover Pages"/>
          <w:docPartUnique/>
        </w:docPartObj>
      </w:sdtPr>
      <w:sdtEndPr>
        <w:rPr>
          <w:szCs w:val="20"/>
        </w:rPr>
      </w:sdtEndPr>
      <w:sdtContent>
        <w:p w14:paraId="1A8A79B4" w14:textId="77777777" w:rsidR="00FD7649" w:rsidRDefault="00FD7649" w:rsidP="00FD7649">
          <w:pPr>
            <w:pStyle w:val="BodyText"/>
            <w:spacing w:before="10"/>
            <w:rPr>
              <w:rFonts w:ascii="Times New Roman"/>
              <w:sz w:val="21"/>
            </w:rPr>
          </w:pPr>
        </w:p>
        <w:p w14:paraId="4D6BAE9B" w14:textId="77777777" w:rsidR="00FD7649" w:rsidRDefault="00FD7649" w:rsidP="00FD7649">
          <w:pPr>
            <w:pStyle w:val="BodyText"/>
            <w:ind w:left="3690"/>
            <w:rPr>
              <w:rFonts w:ascii="Times New Roman"/>
              <w:sz w:val="20"/>
            </w:rPr>
          </w:pPr>
          <w:r>
            <w:rPr>
              <w:rFonts w:ascii="Times New Roman"/>
              <w:noProof/>
              <w:sz w:val="20"/>
            </w:rPr>
            <w:drawing>
              <wp:inline distT="0" distB="0" distL="0" distR="0" wp14:anchorId="5CE74726" wp14:editId="2FA16C60">
                <wp:extent cx="4092555" cy="414909"/>
                <wp:effectExtent l="0" t="0" r="0" b="0"/>
                <wp:docPr id="3" name="image1.jpeg"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092555" cy="414909"/>
                        </a:xfrm>
                        <a:prstGeom prst="rect">
                          <a:avLst/>
                        </a:prstGeom>
                      </pic:spPr>
                    </pic:pic>
                  </a:graphicData>
                </a:graphic>
              </wp:inline>
            </w:drawing>
          </w:r>
        </w:p>
        <w:p w14:paraId="0BB20571" w14:textId="05FC9973" w:rsidR="00FD7649" w:rsidRPr="00271E79" w:rsidRDefault="00FD7649" w:rsidP="00617B2E">
          <w:pPr>
            <w:pStyle w:val="Title"/>
            <w:spacing w:before="3240"/>
            <w:rPr>
              <w:color w:val="003864"/>
            </w:rPr>
          </w:pPr>
          <w:bookmarkStart w:id="0" w:name="Youthprise:_East_African_Youth_Economic_"/>
          <w:bookmarkEnd w:id="0"/>
          <w:r>
            <w:rPr>
              <w:color w:val="003864"/>
            </w:rPr>
            <w:t>SFY 202</w:t>
          </w:r>
          <w:r w:rsidR="00A72180">
            <w:rPr>
              <w:color w:val="003864"/>
            </w:rPr>
            <w:t>4</w:t>
          </w:r>
          <w:r>
            <w:rPr>
              <w:color w:val="003864"/>
            </w:rPr>
            <w:t xml:space="preserve"> </w:t>
          </w:r>
          <w:r w:rsidR="008E45DF">
            <w:rPr>
              <w:color w:val="003864"/>
            </w:rPr>
            <w:t>Boys and Girls Club of Central Minnesota</w:t>
          </w:r>
          <w:r w:rsidR="00617B2E">
            <w:rPr>
              <w:color w:val="003864"/>
            </w:rPr>
            <w:t xml:space="preserve"> -</w:t>
          </w:r>
          <w:r w:rsidR="008F4AD2">
            <w:rPr>
              <w:color w:val="003864"/>
            </w:rPr>
            <w:t xml:space="preserve"> Direct Appropriation</w:t>
          </w:r>
        </w:p>
        <w:p w14:paraId="478784D6" w14:textId="2E6B2580" w:rsidR="00FD7649" w:rsidRPr="00124671" w:rsidRDefault="00E7453C" w:rsidP="00617B2E">
          <w:pPr>
            <w:jc w:val="right"/>
            <w:rPr>
              <w:color w:val="003865" w:themeColor="text1"/>
              <w:sz w:val="32"/>
              <w:szCs w:val="32"/>
            </w:rPr>
          </w:pPr>
          <w:bookmarkStart w:id="1" w:name="_Toc60249760"/>
          <w:r>
            <w:rPr>
              <w:color w:val="003865" w:themeColor="text1"/>
              <w:sz w:val="32"/>
              <w:szCs w:val="32"/>
            </w:rPr>
            <w:t>Progress</w:t>
          </w:r>
          <w:r w:rsidR="00FD7649" w:rsidRPr="00124671">
            <w:rPr>
              <w:color w:val="003865" w:themeColor="text1"/>
              <w:sz w:val="32"/>
              <w:szCs w:val="32"/>
            </w:rPr>
            <w:t xml:space="preserve"> Report</w:t>
          </w:r>
          <w:bookmarkEnd w:id="1"/>
        </w:p>
        <w:p w14:paraId="34FFD5D7" w14:textId="34DB4B20" w:rsidR="00FD7649" w:rsidRPr="00124671" w:rsidRDefault="000A7ED1" w:rsidP="00617B2E">
          <w:pPr>
            <w:jc w:val="right"/>
            <w:rPr>
              <w:color w:val="003865" w:themeColor="text1"/>
              <w:sz w:val="32"/>
              <w:szCs w:val="32"/>
            </w:rPr>
          </w:pPr>
          <w:r>
            <w:rPr>
              <w:color w:val="003865" w:themeColor="text1"/>
              <w:sz w:val="32"/>
              <w:szCs w:val="32"/>
            </w:rPr>
            <w:t>1/14</w:t>
          </w:r>
          <w:r w:rsidR="00F3444F" w:rsidRPr="009766C9">
            <w:rPr>
              <w:color w:val="003865" w:themeColor="text1"/>
              <w:sz w:val="32"/>
              <w:szCs w:val="32"/>
            </w:rPr>
            <w:t>/</w:t>
          </w:r>
          <w:r w:rsidR="008E45DF">
            <w:rPr>
              <w:color w:val="003865" w:themeColor="text1"/>
              <w:sz w:val="32"/>
              <w:szCs w:val="32"/>
            </w:rPr>
            <w:t>20</w:t>
          </w:r>
          <w:r w:rsidR="00F3444F" w:rsidRPr="009766C9">
            <w:rPr>
              <w:color w:val="003865" w:themeColor="text1"/>
              <w:sz w:val="32"/>
              <w:szCs w:val="32"/>
            </w:rPr>
            <w:t>2</w:t>
          </w:r>
          <w:r w:rsidR="008E45DF">
            <w:rPr>
              <w:color w:val="003865" w:themeColor="text1"/>
              <w:sz w:val="32"/>
              <w:szCs w:val="32"/>
            </w:rPr>
            <w:t>5</w:t>
          </w:r>
        </w:p>
        <w:p w14:paraId="60ED1F37" w14:textId="77777777" w:rsidR="00FD7649" w:rsidRDefault="00FD7649">
          <w:pPr>
            <w:spacing w:before="120" w:after="0"/>
          </w:pPr>
          <w:r>
            <w:br w:type="page"/>
          </w:r>
        </w:p>
        <w:p w14:paraId="0103E4C5" w14:textId="415E7CF8" w:rsidR="004738ED" w:rsidRDefault="004738ED" w:rsidP="008A0FE8">
          <w:pPr>
            <w:spacing w:after="0"/>
          </w:pPr>
          <w:r>
            <w:lastRenderedPageBreak/>
            <w:t>Minnesota Department of Employment and Economic Development</w:t>
          </w:r>
          <w:r w:rsidR="00F6052E" w:rsidRPr="0042247B">
            <w:br/>
          </w:r>
          <w:r>
            <w:t>Employment</w:t>
          </w:r>
          <w:r w:rsidR="008A0FE8">
            <w:t xml:space="preserve"> and Training Programs Division</w:t>
          </w:r>
        </w:p>
        <w:p w14:paraId="545B9D18" w14:textId="77777777" w:rsidR="00E7453C" w:rsidRDefault="00E7453C" w:rsidP="000A7ED1">
          <w:pPr>
            <w:spacing w:before="0" w:after="0"/>
          </w:pPr>
          <w:r>
            <w:t>180 E 5</w:t>
          </w:r>
          <w:r w:rsidRPr="00E7453C">
            <w:rPr>
              <w:vertAlign w:val="superscript"/>
            </w:rPr>
            <w:t>th</w:t>
          </w:r>
          <w:r>
            <w:t xml:space="preserve"> St Suite 1200 </w:t>
          </w:r>
        </w:p>
        <w:p w14:paraId="0D6C0AF3" w14:textId="762714F3" w:rsidR="008A0FE8" w:rsidRDefault="008A0FE8" w:rsidP="000A7ED1">
          <w:pPr>
            <w:spacing w:before="0" w:after="0"/>
          </w:pPr>
          <w:r w:rsidRPr="0042247B">
            <w:t xml:space="preserve">St. Paul, MN </w:t>
          </w:r>
          <w:r>
            <w:t>55101</w:t>
          </w:r>
        </w:p>
        <w:p w14:paraId="04ECB44B" w14:textId="1B3D8CD7" w:rsidR="009B6381" w:rsidRDefault="000B1794" w:rsidP="008236B9">
          <w:pPr>
            <w:spacing w:line="240" w:lineRule="auto"/>
          </w:pPr>
          <w:r>
            <w:t>Kay Tracy</w:t>
          </w:r>
        </w:p>
        <w:p w14:paraId="6CEB8B49" w14:textId="26A4AA38" w:rsidR="009B6381" w:rsidRDefault="00534847" w:rsidP="00891812">
          <w:pPr>
            <w:spacing w:line="240" w:lineRule="auto"/>
          </w:pPr>
          <w:hyperlink r:id="rId12" w:history="1">
            <w:r w:rsidR="00661031" w:rsidRPr="006531F1">
              <w:rPr>
                <w:rStyle w:val="Hyperlink"/>
              </w:rPr>
              <w:t>Kay.Tracy@state.mn.us</w:t>
            </w:r>
          </w:hyperlink>
        </w:p>
        <w:p w14:paraId="234B5191" w14:textId="77777777" w:rsidR="00F6052E" w:rsidRPr="004738ED" w:rsidRDefault="00F6052E" w:rsidP="00F6052E">
          <w:pPr>
            <w:rPr>
              <w:rStyle w:val="Hyperlink"/>
              <w:color w:val="auto"/>
              <w:u w:val="none"/>
            </w:rPr>
          </w:pPr>
          <w:r w:rsidRPr="0013434B">
            <w:rPr>
              <w:rStyle w:val="Hyperlink"/>
            </w:rPr>
            <w:fldChar w:fldCharType="begin"/>
          </w:r>
          <w:r w:rsidR="00003C92">
            <w:rPr>
              <w:rStyle w:val="Hyperlink"/>
            </w:rPr>
            <w:instrText>HYPERLINK "https://mn.gov/deed/" \o "DEED website"</w:instrText>
          </w:r>
          <w:r w:rsidRPr="0013434B">
            <w:rPr>
              <w:rStyle w:val="Hyperlink"/>
            </w:rPr>
          </w:r>
          <w:r w:rsidRPr="0013434B">
            <w:rPr>
              <w:rStyle w:val="Hyperlink"/>
            </w:rPr>
            <w:fldChar w:fldCharType="separate"/>
          </w:r>
          <w:r>
            <w:rPr>
              <w:rStyle w:val="Hyperlink"/>
            </w:rPr>
            <w:t>mn.gov/</w:t>
          </w:r>
          <w:r w:rsidR="00003C92">
            <w:rPr>
              <w:rStyle w:val="Hyperlink"/>
            </w:rPr>
            <w:t>deed</w:t>
          </w:r>
        </w:p>
        <w:p w14:paraId="1B84E20C" w14:textId="33EC56DA" w:rsidR="00F6052E" w:rsidRPr="0042247B" w:rsidRDefault="00F6052E" w:rsidP="00F6052E">
          <w:r w:rsidRPr="0013434B">
            <w:rPr>
              <w:rStyle w:val="Hyperlink"/>
            </w:rPr>
            <w:fldChar w:fldCharType="end"/>
          </w:r>
          <w:r w:rsidRPr="0042247B">
            <w:t>As requested by Minnesota Statute 3.197: This report cost approximately $</w:t>
          </w:r>
          <w:r w:rsidR="008F4AD2">
            <w:t>149</w:t>
          </w:r>
          <w:r w:rsidRPr="0042247B">
            <w:t xml:space="preserve"> to prepare, including staff time, printing and mailing expenses.</w:t>
          </w:r>
        </w:p>
        <w:p w14:paraId="53E0ACF1" w14:textId="77777777" w:rsidR="00F6052E" w:rsidRDefault="00F6052E" w:rsidP="00F6052E">
          <w:pPr>
            <w:rPr>
              <w:rStyle w:val="Emphasis"/>
            </w:rPr>
          </w:pPr>
          <w:r w:rsidRPr="00BE1756">
            <w:rPr>
              <w:rStyle w:val="Emphasis"/>
            </w:rPr>
            <w:t>Upon request, this material will be made available in an alternative format such as large print, Braille or audio recording. Printed on recycled paper.</w:t>
          </w:r>
        </w:p>
        <w:p w14:paraId="6D57776F" w14:textId="77777777" w:rsidR="00074A30" w:rsidRDefault="00074A30">
          <w:pPr>
            <w:spacing w:before="120" w:after="0"/>
            <w:rPr>
              <w:rStyle w:val="Emphasis"/>
            </w:rPr>
            <w:sectPr w:rsidR="00074A30" w:rsidSect="00CF7D85">
              <w:footerReference w:type="default" r:id="rId13"/>
              <w:pgSz w:w="12240" w:h="15840" w:code="1"/>
              <w:pgMar w:top="1728" w:right="1080" w:bottom="1440" w:left="1080" w:header="0" w:footer="504" w:gutter="0"/>
              <w:cols w:space="720"/>
              <w:vAlign w:val="center"/>
              <w:titlePg/>
              <w:docGrid w:linePitch="326"/>
            </w:sectPr>
          </w:pPr>
        </w:p>
        <w:bookmarkStart w:id="2" w:name="_Toc188434127" w:displacedByCustomXml="next"/>
        <w:bookmarkStart w:id="3" w:name="_Toc118365739" w:displacedByCustomXml="next"/>
        <w:bookmarkStart w:id="4" w:name="_Toc93045289" w:displacedByCustomXml="next"/>
        <w:bookmarkStart w:id="5" w:name="_Toc92897047" w:displacedByCustomXml="next"/>
        <w:bookmarkStart w:id="6" w:name="_Toc534793188" w:displacedByCustomXml="next"/>
        <w:bookmarkStart w:id="7" w:name="_Toc86674303" w:displacedByCustomXml="next"/>
        <w:bookmarkStart w:id="8" w:name="_Toc93905753" w:displacedByCustomXml="next"/>
        <w:bookmarkStart w:id="9" w:name="_Toc118282736" w:displacedByCustomXml="next"/>
        <w:bookmarkStart w:id="10" w:name="_Toc156373888" w:displacedByCustomXml="next"/>
        <w:bookmarkStart w:id="11" w:name="_Toc461105257" w:displacedByCustomXml="next"/>
        <w:sdt>
          <w:sdtPr>
            <w:rPr>
              <w:rFonts w:ascii="Calibri" w:eastAsia="Times New Roman" w:hAnsi="Calibri" w:cs="Times New Roman"/>
              <w:b w:val="0"/>
              <w:bCs/>
              <w:i/>
              <w:color w:val="auto"/>
              <w:sz w:val="22"/>
              <w:szCs w:val="22"/>
            </w:rPr>
            <w:id w:val="-1936895440"/>
            <w:docPartObj>
              <w:docPartGallery w:val="Table of Contents"/>
              <w:docPartUnique/>
            </w:docPartObj>
          </w:sdtPr>
          <w:sdtEndPr>
            <w:rPr>
              <w:bCs w:val="0"/>
              <w:noProof/>
            </w:rPr>
          </w:sdtEndPr>
          <w:sdtContent>
            <w:p w14:paraId="019BB243" w14:textId="77777777" w:rsidR="000A7ED1" w:rsidRDefault="00014777" w:rsidP="00014777">
              <w:pPr>
                <w:pStyle w:val="Heading2"/>
                <w:rPr>
                  <w:noProof/>
                </w:rPr>
              </w:pPr>
              <w:r w:rsidRPr="00D27B38">
                <w:t>Contents</w:t>
              </w:r>
              <w:bookmarkEnd w:id="10"/>
              <w:bookmarkEnd w:id="9"/>
              <w:bookmarkEnd w:id="8"/>
              <w:bookmarkEnd w:id="7"/>
              <w:bookmarkEnd w:id="6"/>
              <w:bookmarkEnd w:id="5"/>
              <w:bookmarkEnd w:id="4"/>
              <w:bookmarkEnd w:id="3"/>
              <w:bookmarkEnd w:id="2"/>
              <w:r w:rsidRPr="00D27B38">
                <w:rPr>
                  <w:rFonts w:asciiTheme="majorHAnsi" w:hAnsiTheme="majorHAnsi"/>
                  <w:color w:val="00294B" w:themeColor="accent1" w:themeShade="BF"/>
                  <w:sz w:val="28"/>
                  <w:szCs w:val="28"/>
                </w:rPr>
                <w:fldChar w:fldCharType="begin"/>
              </w:r>
              <w:r w:rsidRPr="00D27B38">
                <w:instrText xml:space="preserve"> TOC \o "1-3" \h \z \u </w:instrText>
              </w:r>
              <w:r w:rsidRPr="00D27B38">
                <w:rPr>
                  <w:rFonts w:asciiTheme="majorHAnsi" w:hAnsiTheme="majorHAnsi"/>
                  <w:color w:val="00294B" w:themeColor="accent1" w:themeShade="BF"/>
                  <w:sz w:val="28"/>
                  <w:szCs w:val="28"/>
                </w:rPr>
                <w:fldChar w:fldCharType="separate"/>
              </w:r>
            </w:p>
            <w:p w14:paraId="4D126D36" w14:textId="4A5C251C" w:rsidR="000A7ED1" w:rsidRDefault="000A7ED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8434127" w:history="1">
                <w:r w:rsidRPr="00E309F4">
                  <w:rPr>
                    <w:rStyle w:val="Hyperlink"/>
                    <w:noProof/>
                  </w:rPr>
                  <w:t>Contents</w:t>
                </w:r>
                <w:r>
                  <w:rPr>
                    <w:noProof/>
                    <w:webHidden/>
                  </w:rPr>
                  <w:tab/>
                </w:r>
                <w:r>
                  <w:rPr>
                    <w:noProof/>
                    <w:webHidden/>
                  </w:rPr>
                  <w:fldChar w:fldCharType="begin"/>
                </w:r>
                <w:r>
                  <w:rPr>
                    <w:noProof/>
                    <w:webHidden/>
                  </w:rPr>
                  <w:instrText xml:space="preserve"> PAGEREF _Toc188434127 \h </w:instrText>
                </w:r>
                <w:r>
                  <w:rPr>
                    <w:noProof/>
                    <w:webHidden/>
                  </w:rPr>
                </w:r>
                <w:r>
                  <w:rPr>
                    <w:noProof/>
                    <w:webHidden/>
                  </w:rPr>
                  <w:fldChar w:fldCharType="separate"/>
                </w:r>
                <w:r>
                  <w:rPr>
                    <w:noProof/>
                    <w:webHidden/>
                  </w:rPr>
                  <w:t>3</w:t>
                </w:r>
                <w:r>
                  <w:rPr>
                    <w:noProof/>
                    <w:webHidden/>
                  </w:rPr>
                  <w:fldChar w:fldCharType="end"/>
                </w:r>
              </w:hyperlink>
            </w:p>
            <w:p w14:paraId="56F48549" w14:textId="5A2092CA" w:rsidR="000A7ED1" w:rsidRDefault="000A7ED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8434128" w:history="1">
                <w:r w:rsidRPr="00E309F4">
                  <w:rPr>
                    <w:rStyle w:val="Hyperlink"/>
                    <w:noProof/>
                  </w:rPr>
                  <w:t>Introduction</w:t>
                </w:r>
                <w:r>
                  <w:rPr>
                    <w:noProof/>
                    <w:webHidden/>
                  </w:rPr>
                  <w:tab/>
                </w:r>
                <w:r>
                  <w:rPr>
                    <w:noProof/>
                    <w:webHidden/>
                  </w:rPr>
                  <w:fldChar w:fldCharType="begin"/>
                </w:r>
                <w:r>
                  <w:rPr>
                    <w:noProof/>
                    <w:webHidden/>
                  </w:rPr>
                  <w:instrText xml:space="preserve"> PAGEREF _Toc188434128 \h </w:instrText>
                </w:r>
                <w:r>
                  <w:rPr>
                    <w:noProof/>
                    <w:webHidden/>
                  </w:rPr>
                </w:r>
                <w:r>
                  <w:rPr>
                    <w:noProof/>
                    <w:webHidden/>
                  </w:rPr>
                  <w:fldChar w:fldCharType="separate"/>
                </w:r>
                <w:r>
                  <w:rPr>
                    <w:noProof/>
                    <w:webHidden/>
                  </w:rPr>
                  <w:t>4</w:t>
                </w:r>
                <w:r>
                  <w:rPr>
                    <w:noProof/>
                    <w:webHidden/>
                  </w:rPr>
                  <w:fldChar w:fldCharType="end"/>
                </w:r>
              </w:hyperlink>
            </w:p>
            <w:p w14:paraId="7DAA308F" w14:textId="47EF5A4C" w:rsidR="000A7ED1" w:rsidRDefault="000A7ED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8434129" w:history="1">
                <w:r w:rsidRPr="00E309F4">
                  <w:rPr>
                    <w:rStyle w:val="Hyperlink"/>
                    <w:noProof/>
                  </w:rPr>
                  <w:t>Allowable Use of Funds</w:t>
                </w:r>
                <w:r>
                  <w:rPr>
                    <w:noProof/>
                    <w:webHidden/>
                  </w:rPr>
                  <w:tab/>
                </w:r>
                <w:r>
                  <w:rPr>
                    <w:noProof/>
                    <w:webHidden/>
                  </w:rPr>
                  <w:fldChar w:fldCharType="begin"/>
                </w:r>
                <w:r>
                  <w:rPr>
                    <w:noProof/>
                    <w:webHidden/>
                  </w:rPr>
                  <w:instrText xml:space="preserve"> PAGEREF _Toc188434129 \h </w:instrText>
                </w:r>
                <w:r>
                  <w:rPr>
                    <w:noProof/>
                    <w:webHidden/>
                  </w:rPr>
                </w:r>
                <w:r>
                  <w:rPr>
                    <w:noProof/>
                    <w:webHidden/>
                  </w:rPr>
                  <w:fldChar w:fldCharType="separate"/>
                </w:r>
                <w:r>
                  <w:rPr>
                    <w:noProof/>
                    <w:webHidden/>
                  </w:rPr>
                  <w:t>4</w:t>
                </w:r>
                <w:r>
                  <w:rPr>
                    <w:noProof/>
                    <w:webHidden/>
                  </w:rPr>
                  <w:fldChar w:fldCharType="end"/>
                </w:r>
              </w:hyperlink>
            </w:p>
            <w:p w14:paraId="0515E580" w14:textId="65C0C568" w:rsidR="000A7ED1" w:rsidRDefault="000A7ED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8434130" w:history="1">
                <w:r w:rsidRPr="00E309F4">
                  <w:rPr>
                    <w:rStyle w:val="Hyperlink"/>
                    <w:noProof/>
                  </w:rPr>
                  <w:t>Program Overview</w:t>
                </w:r>
                <w:r>
                  <w:rPr>
                    <w:noProof/>
                    <w:webHidden/>
                  </w:rPr>
                  <w:tab/>
                </w:r>
                <w:r>
                  <w:rPr>
                    <w:noProof/>
                    <w:webHidden/>
                  </w:rPr>
                  <w:fldChar w:fldCharType="begin"/>
                </w:r>
                <w:r>
                  <w:rPr>
                    <w:noProof/>
                    <w:webHidden/>
                  </w:rPr>
                  <w:instrText xml:space="preserve"> PAGEREF _Toc188434130 \h </w:instrText>
                </w:r>
                <w:r>
                  <w:rPr>
                    <w:noProof/>
                    <w:webHidden/>
                  </w:rPr>
                </w:r>
                <w:r>
                  <w:rPr>
                    <w:noProof/>
                    <w:webHidden/>
                  </w:rPr>
                  <w:fldChar w:fldCharType="separate"/>
                </w:r>
                <w:r>
                  <w:rPr>
                    <w:noProof/>
                    <w:webHidden/>
                  </w:rPr>
                  <w:t>4</w:t>
                </w:r>
                <w:r>
                  <w:rPr>
                    <w:noProof/>
                    <w:webHidden/>
                  </w:rPr>
                  <w:fldChar w:fldCharType="end"/>
                </w:r>
              </w:hyperlink>
            </w:p>
            <w:p w14:paraId="3412033E" w14:textId="401518DA" w:rsidR="000A7ED1" w:rsidRDefault="000A7ED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8434131" w:history="1">
                <w:r w:rsidRPr="00E309F4">
                  <w:rPr>
                    <w:rStyle w:val="Hyperlink"/>
                    <w:noProof/>
                  </w:rPr>
                  <w:t>Program Activities and Performance Metrics</w:t>
                </w:r>
                <w:r>
                  <w:rPr>
                    <w:noProof/>
                    <w:webHidden/>
                  </w:rPr>
                  <w:tab/>
                </w:r>
                <w:r>
                  <w:rPr>
                    <w:noProof/>
                    <w:webHidden/>
                  </w:rPr>
                  <w:fldChar w:fldCharType="begin"/>
                </w:r>
                <w:r>
                  <w:rPr>
                    <w:noProof/>
                    <w:webHidden/>
                  </w:rPr>
                  <w:instrText xml:space="preserve"> PAGEREF _Toc188434131 \h </w:instrText>
                </w:r>
                <w:r>
                  <w:rPr>
                    <w:noProof/>
                    <w:webHidden/>
                  </w:rPr>
                </w:r>
                <w:r>
                  <w:rPr>
                    <w:noProof/>
                    <w:webHidden/>
                  </w:rPr>
                  <w:fldChar w:fldCharType="separate"/>
                </w:r>
                <w:r>
                  <w:rPr>
                    <w:noProof/>
                    <w:webHidden/>
                  </w:rPr>
                  <w:t>5</w:t>
                </w:r>
                <w:r>
                  <w:rPr>
                    <w:noProof/>
                    <w:webHidden/>
                  </w:rPr>
                  <w:fldChar w:fldCharType="end"/>
                </w:r>
              </w:hyperlink>
            </w:p>
            <w:p w14:paraId="32132DA7" w14:textId="41A30584" w:rsidR="000A7ED1" w:rsidRDefault="000A7ED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8434132" w:history="1">
                <w:r w:rsidRPr="00E309F4">
                  <w:rPr>
                    <w:rStyle w:val="Hyperlink"/>
                    <w:noProof/>
                  </w:rPr>
                  <w:t>Program Data</w:t>
                </w:r>
                <w:r>
                  <w:rPr>
                    <w:noProof/>
                    <w:webHidden/>
                  </w:rPr>
                  <w:tab/>
                </w:r>
                <w:r>
                  <w:rPr>
                    <w:noProof/>
                    <w:webHidden/>
                  </w:rPr>
                  <w:fldChar w:fldCharType="begin"/>
                </w:r>
                <w:r>
                  <w:rPr>
                    <w:noProof/>
                    <w:webHidden/>
                  </w:rPr>
                  <w:instrText xml:space="preserve"> PAGEREF _Toc188434132 \h </w:instrText>
                </w:r>
                <w:r>
                  <w:rPr>
                    <w:noProof/>
                    <w:webHidden/>
                  </w:rPr>
                </w:r>
                <w:r>
                  <w:rPr>
                    <w:noProof/>
                    <w:webHidden/>
                  </w:rPr>
                  <w:fldChar w:fldCharType="separate"/>
                </w:r>
                <w:r>
                  <w:rPr>
                    <w:noProof/>
                    <w:webHidden/>
                  </w:rPr>
                  <w:t>6</w:t>
                </w:r>
                <w:r>
                  <w:rPr>
                    <w:noProof/>
                    <w:webHidden/>
                  </w:rPr>
                  <w:fldChar w:fldCharType="end"/>
                </w:r>
              </w:hyperlink>
            </w:p>
            <w:p w14:paraId="24CB2820" w14:textId="1A80BE1C" w:rsidR="000A7ED1" w:rsidRDefault="000A7ED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8434133" w:history="1">
                <w:r w:rsidRPr="00E309F4">
                  <w:rPr>
                    <w:rStyle w:val="Hyperlink"/>
                    <w:noProof/>
                  </w:rPr>
                  <w:t>Expenditure Data</w:t>
                </w:r>
                <w:r>
                  <w:rPr>
                    <w:noProof/>
                    <w:webHidden/>
                  </w:rPr>
                  <w:tab/>
                </w:r>
                <w:r>
                  <w:rPr>
                    <w:noProof/>
                    <w:webHidden/>
                  </w:rPr>
                  <w:fldChar w:fldCharType="begin"/>
                </w:r>
                <w:r>
                  <w:rPr>
                    <w:noProof/>
                    <w:webHidden/>
                  </w:rPr>
                  <w:instrText xml:space="preserve"> PAGEREF _Toc188434133 \h </w:instrText>
                </w:r>
                <w:r>
                  <w:rPr>
                    <w:noProof/>
                    <w:webHidden/>
                  </w:rPr>
                </w:r>
                <w:r>
                  <w:rPr>
                    <w:noProof/>
                    <w:webHidden/>
                  </w:rPr>
                  <w:fldChar w:fldCharType="separate"/>
                </w:r>
                <w:r>
                  <w:rPr>
                    <w:noProof/>
                    <w:webHidden/>
                  </w:rPr>
                  <w:t>8</w:t>
                </w:r>
                <w:r>
                  <w:rPr>
                    <w:noProof/>
                    <w:webHidden/>
                  </w:rPr>
                  <w:fldChar w:fldCharType="end"/>
                </w:r>
              </w:hyperlink>
            </w:p>
            <w:p w14:paraId="20CF1FE7" w14:textId="315D6149" w:rsidR="000A7ED1" w:rsidRDefault="000A7ED1">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8434134" w:history="1">
                <w:r w:rsidRPr="00E309F4">
                  <w:rPr>
                    <w:rStyle w:val="Hyperlink"/>
                    <w:noProof/>
                  </w:rPr>
                  <w:t>Success Stories</w:t>
                </w:r>
                <w:r>
                  <w:rPr>
                    <w:noProof/>
                    <w:webHidden/>
                  </w:rPr>
                  <w:tab/>
                </w:r>
                <w:r>
                  <w:rPr>
                    <w:noProof/>
                    <w:webHidden/>
                  </w:rPr>
                  <w:fldChar w:fldCharType="begin"/>
                </w:r>
                <w:r>
                  <w:rPr>
                    <w:noProof/>
                    <w:webHidden/>
                  </w:rPr>
                  <w:instrText xml:space="preserve"> PAGEREF _Toc188434134 \h </w:instrText>
                </w:r>
                <w:r>
                  <w:rPr>
                    <w:noProof/>
                    <w:webHidden/>
                  </w:rPr>
                </w:r>
                <w:r>
                  <w:rPr>
                    <w:noProof/>
                    <w:webHidden/>
                  </w:rPr>
                  <w:fldChar w:fldCharType="separate"/>
                </w:r>
                <w:r>
                  <w:rPr>
                    <w:noProof/>
                    <w:webHidden/>
                  </w:rPr>
                  <w:t>8</w:t>
                </w:r>
                <w:r>
                  <w:rPr>
                    <w:noProof/>
                    <w:webHidden/>
                  </w:rPr>
                  <w:fldChar w:fldCharType="end"/>
                </w:r>
              </w:hyperlink>
            </w:p>
            <w:p w14:paraId="52FE39A4" w14:textId="77777777" w:rsidR="00014777" w:rsidRPr="003F61EE" w:rsidRDefault="00014777" w:rsidP="00014777">
              <w:pPr>
                <w:tabs>
                  <w:tab w:val="right" w:leader="dot" w:pos="10070"/>
                </w:tabs>
                <w:rPr>
                  <w:rFonts w:eastAsiaTheme="minorEastAsia" w:cstheme="minorBidi"/>
                  <w:noProof/>
                  <w:lang w:bidi="ar-SA"/>
                </w:rPr>
              </w:pPr>
              <w:r w:rsidRPr="00D27B38">
                <w:rPr>
                  <w:b/>
                  <w:bCs/>
                  <w:noProof/>
                </w:rPr>
                <w:fldChar w:fldCharType="end"/>
              </w:r>
            </w:p>
          </w:sdtContent>
        </w:sdt>
        <w:p w14:paraId="7DF61D65" w14:textId="77777777" w:rsidR="00014777" w:rsidRDefault="00014777" w:rsidP="006B0D98">
          <w:pPr>
            <w:rPr>
              <w:rFonts w:eastAsiaTheme="majorEastAsia"/>
            </w:rPr>
          </w:pPr>
          <w:r>
            <w:br w:type="page"/>
          </w:r>
        </w:p>
        <w:p w14:paraId="65D29D35" w14:textId="51AD00DC" w:rsidR="00E41BD2" w:rsidRPr="00BA23A4" w:rsidRDefault="008D1B20" w:rsidP="000261E8">
          <w:pPr>
            <w:pStyle w:val="Heading2"/>
          </w:pPr>
          <w:bookmarkStart w:id="12" w:name="_Toc188434128"/>
          <w:bookmarkEnd w:id="11"/>
          <w:r>
            <w:lastRenderedPageBreak/>
            <w:t>Introduction</w:t>
          </w:r>
        </w:p>
      </w:sdtContent>
    </w:sdt>
    <w:bookmarkEnd w:id="12" w:displacedByCustomXml="prev"/>
    <w:p w14:paraId="7D3A5002" w14:textId="17199064" w:rsidR="002B5FE1" w:rsidRDefault="008D1B20" w:rsidP="008D1B20">
      <w:bookmarkStart w:id="13" w:name="_Hlk120875632"/>
      <w:bookmarkStart w:id="14" w:name="_Toc502833079"/>
      <w:r>
        <w:t xml:space="preserve">The Minnesota State Legislature </w:t>
      </w:r>
      <w:r w:rsidR="00D86BCE">
        <w:t xml:space="preserve">appropriated a </w:t>
      </w:r>
      <w:r w:rsidR="008E426D">
        <w:t>onetime</w:t>
      </w:r>
      <w:r w:rsidR="00D86BCE">
        <w:t xml:space="preserve"> </w:t>
      </w:r>
      <w:r w:rsidR="008E426D">
        <w:t xml:space="preserve">allotment of </w:t>
      </w:r>
      <w:r w:rsidR="00C603F1" w:rsidRPr="00E7453C">
        <w:t>$463,000</w:t>
      </w:r>
      <w:r w:rsidR="00C603F1">
        <w:rPr>
          <w:b/>
          <w:bCs/>
        </w:rPr>
        <w:t xml:space="preserve"> </w:t>
      </w:r>
      <w:r w:rsidR="002B5FE1" w:rsidRPr="00211147">
        <w:t xml:space="preserve">in State Fiscal Year (SFY) </w:t>
      </w:r>
      <w:r w:rsidR="00A72180">
        <w:t xml:space="preserve">2024 </w:t>
      </w:r>
      <w:r w:rsidRPr="002B5FE1">
        <w:t>t</w:t>
      </w:r>
      <w:r>
        <w:t>o</w:t>
      </w:r>
      <w:r w:rsidR="0026077B">
        <w:t xml:space="preserve"> the </w:t>
      </w:r>
      <w:r w:rsidR="00C603F1">
        <w:t>Boys and Girls Club of Central M</w:t>
      </w:r>
      <w:r w:rsidR="00564FDA">
        <w:t>innesota</w:t>
      </w:r>
      <w:r w:rsidR="004F7026">
        <w:t xml:space="preserve">. </w:t>
      </w:r>
      <w:r w:rsidR="00E7453C">
        <w:t>This d</w:t>
      </w:r>
      <w:r w:rsidR="00CE5037">
        <w:t xml:space="preserve">irect </w:t>
      </w:r>
      <w:r w:rsidR="004B7D4A">
        <w:t>appropriation</w:t>
      </w:r>
      <w:r w:rsidR="00CE5037">
        <w:t xml:space="preserve"> is to</w:t>
      </w:r>
      <w:r w:rsidR="004B7D4A">
        <w:t xml:space="preserve"> firstly </w:t>
      </w:r>
      <w:r w:rsidR="004F7026">
        <w:t xml:space="preserve">fund one year of full-service programming for a new </w:t>
      </w:r>
      <w:r w:rsidR="00CE5037">
        <w:t>program</w:t>
      </w:r>
      <w:r w:rsidR="004F7026">
        <w:t xml:space="preserve"> in Waite </w:t>
      </w:r>
      <w:bookmarkEnd w:id="13"/>
      <w:r w:rsidR="00CE5037">
        <w:t>Park.</w:t>
      </w:r>
      <w:r w:rsidR="004B7D4A">
        <w:t xml:space="preserve"> Secondly</w:t>
      </w:r>
      <w:r w:rsidR="00E7453C">
        <w:t xml:space="preserve"> it</w:t>
      </w:r>
      <w:r w:rsidR="004B7D4A">
        <w:t xml:space="preserve"> is</w:t>
      </w:r>
      <w:r w:rsidR="00E7453C">
        <w:t xml:space="preserve"> for the</w:t>
      </w:r>
      <w:r w:rsidR="004B7D4A">
        <w:t xml:space="preserve"> </w:t>
      </w:r>
      <w:r w:rsidR="00C75687">
        <w:t xml:space="preserve">planning and design for a new multiuse facility for the Boys and Girls Club of Wait Park and </w:t>
      </w:r>
      <w:r w:rsidR="00E7453C">
        <w:t>other community partners</w:t>
      </w:r>
      <w:r w:rsidR="000A7ED1">
        <w:t>.</w:t>
      </w:r>
      <w:r w:rsidR="00CE5037">
        <w:t xml:space="preserve"> </w:t>
      </w:r>
      <w:r w:rsidR="00A72180">
        <w:t>(</w:t>
      </w:r>
      <w:hyperlink r:id="rId14" w:history="1">
        <w:r w:rsidR="00F42BE0">
          <w:rPr>
            <w:rStyle w:val="Hyperlink"/>
            <w:rFonts w:cs="Arial"/>
            <w:snapToGrid w:val="0"/>
          </w:rPr>
          <w:t>Minnesota Session Laws – 2023, Chapter 53, S.F. 3035, Article 20, Section</w:t>
        </w:r>
        <w:r w:rsidR="00F42BE0">
          <w:rPr>
            <w:rStyle w:val="Hyperlink"/>
            <w:rFonts w:cs="Arial"/>
            <w:snapToGrid w:val="0"/>
          </w:rPr>
          <w:t xml:space="preserve"> </w:t>
        </w:r>
        <w:r w:rsidR="00F42BE0">
          <w:rPr>
            <w:rStyle w:val="Hyperlink"/>
            <w:rFonts w:cs="Arial"/>
            <w:snapToGrid w:val="0"/>
          </w:rPr>
          <w:t>2, Subdivision 3 (u)</w:t>
        </w:r>
      </w:hyperlink>
      <w:r w:rsidR="002B5FE1" w:rsidRPr="002B5FE1">
        <w:rPr>
          <w:rStyle w:val="Hyperlink"/>
          <w:color w:val="auto"/>
          <w:u w:val="none"/>
        </w:rPr>
        <w:t>)</w:t>
      </w:r>
      <w:r w:rsidR="002B5FE1" w:rsidRPr="00EA0F1B">
        <w:t>.</w:t>
      </w:r>
      <w:r w:rsidR="002B5FE1">
        <w:t xml:space="preserve"> </w:t>
      </w:r>
      <w:r w:rsidR="002B5FE1" w:rsidRPr="00211147">
        <w:t xml:space="preserve">The </w:t>
      </w:r>
      <w:r w:rsidR="002B5FE1">
        <w:t>enacted l</w:t>
      </w:r>
      <w:r w:rsidR="002B5FE1" w:rsidRPr="00211147">
        <w:t>egislat</w:t>
      </w:r>
      <w:r w:rsidR="002B5FE1">
        <w:t>ion</w:t>
      </w:r>
      <w:r w:rsidR="002B5FE1" w:rsidRPr="00211147">
        <w:t xml:space="preserve"> permits the Department of Employment and Economic Development (DEED) to retain </w:t>
      </w:r>
      <w:r w:rsidR="002B5FE1">
        <w:t>five</w:t>
      </w:r>
      <w:r w:rsidR="002B5FE1" w:rsidRPr="00211147">
        <w:t xml:space="preserve"> percent of these funds for administration and monitoring, making the total </w:t>
      </w:r>
      <w:r w:rsidR="00505532">
        <w:t>grant amount available</w:t>
      </w:r>
      <w:r w:rsidR="002B5FE1" w:rsidRPr="00211147">
        <w:t xml:space="preserve"> equal to </w:t>
      </w:r>
      <w:r w:rsidR="002B5FE1" w:rsidRPr="00E7453C">
        <w:t>$</w:t>
      </w:r>
      <w:r w:rsidR="008E426D" w:rsidRPr="00E7453C">
        <w:t>439,850</w:t>
      </w:r>
      <w:r w:rsidR="002B5FE1" w:rsidRPr="00211147">
        <w:t xml:space="preserve">. </w:t>
      </w:r>
    </w:p>
    <w:p w14:paraId="7306B9A8" w14:textId="7E03FC59" w:rsidR="002B5FE1" w:rsidRDefault="002B5FE1" w:rsidP="002B5FE1">
      <w:pPr>
        <w:pStyle w:val="Heading2"/>
      </w:pPr>
      <w:bookmarkStart w:id="15" w:name="_Toc92260574"/>
      <w:bookmarkStart w:id="16" w:name="_Toc188434129"/>
      <w:r>
        <w:t>Allowable Use of Funds</w:t>
      </w:r>
      <w:bookmarkEnd w:id="15"/>
      <w:bookmarkEnd w:id="16"/>
    </w:p>
    <w:p w14:paraId="38DD5466" w14:textId="1D753C85" w:rsidR="000B12B3" w:rsidRDefault="002B5FE1" w:rsidP="000B12B3">
      <w:r w:rsidRPr="00FA73B3">
        <w:rPr>
          <w:rFonts w:cs="Arial"/>
        </w:rPr>
        <w:t xml:space="preserve">In accordance with the language </w:t>
      </w:r>
      <w:r w:rsidR="001E76E4">
        <w:rPr>
          <w:rFonts w:cs="Arial"/>
        </w:rPr>
        <w:t xml:space="preserve">of </w:t>
      </w:r>
      <w:r w:rsidR="00E7453C">
        <w:rPr>
          <w:rFonts w:cs="Arial"/>
        </w:rPr>
        <w:t xml:space="preserve">this </w:t>
      </w:r>
      <w:r w:rsidR="001E76E4">
        <w:rPr>
          <w:rFonts w:cs="Arial"/>
        </w:rPr>
        <w:t>direct appropriation</w:t>
      </w:r>
      <w:r w:rsidR="000A7ED1">
        <w:rPr>
          <w:rFonts w:cs="Arial"/>
        </w:rPr>
        <w:t>,</w:t>
      </w:r>
      <w:r w:rsidR="001E76E4">
        <w:rPr>
          <w:rFonts w:cs="Arial"/>
        </w:rPr>
        <w:t xml:space="preserve"> </w:t>
      </w:r>
      <w:r w:rsidR="00657D50">
        <w:rPr>
          <w:rFonts w:cs="Arial"/>
        </w:rPr>
        <w:t>fun</w:t>
      </w:r>
      <w:r w:rsidR="00E7453C">
        <w:rPr>
          <w:rFonts w:cs="Arial"/>
        </w:rPr>
        <w:t>d</w:t>
      </w:r>
      <w:r w:rsidR="000A7ED1">
        <w:rPr>
          <w:rFonts w:cs="Arial"/>
        </w:rPr>
        <w:t>s</w:t>
      </w:r>
      <w:r w:rsidRPr="00FA73B3">
        <w:rPr>
          <w:rFonts w:cs="Arial"/>
        </w:rPr>
        <w:t xml:space="preserve"> </w:t>
      </w:r>
      <w:r w:rsidR="000B12B3">
        <w:t xml:space="preserve">must be used as follows: </w:t>
      </w:r>
    </w:p>
    <w:p w14:paraId="2178DC32" w14:textId="185492A7" w:rsidR="00760EE5" w:rsidRDefault="00760EE5" w:rsidP="00760EE5">
      <w:pPr>
        <w:ind w:left="720"/>
      </w:pPr>
      <w:r>
        <w:t>$297,350 is to fund one year of free full-service programming for a new program in Waite Park that will employ part-time youth development staff and provide community volunteer opportunities for people of all ages. Career exploration and life skills programming will be a significant dimension of programming at this new site; and</w:t>
      </w:r>
    </w:p>
    <w:p w14:paraId="1F2FF0C6" w14:textId="05BB2F4D" w:rsidR="0026077B" w:rsidRDefault="00760EE5" w:rsidP="000A7ED1">
      <w:pPr>
        <w:ind w:left="720"/>
      </w:pPr>
      <w:r>
        <w:t>$142,500 is for planning and design for a new multiuse facility for the Boys and Girls Club of Waite Park and other community partners, including the Waite Park Police Department and the Whitney Senior Center.</w:t>
      </w:r>
    </w:p>
    <w:p w14:paraId="017C669F" w14:textId="778D5E6C" w:rsidR="00EA715D" w:rsidRDefault="008155D8" w:rsidP="00DD308C">
      <w:pPr>
        <w:pStyle w:val="Heading2"/>
      </w:pPr>
      <w:bookmarkStart w:id="17" w:name="_Toc188434130"/>
      <w:r>
        <w:t>Program Overview</w:t>
      </w:r>
      <w:bookmarkEnd w:id="17"/>
    </w:p>
    <w:p w14:paraId="20A14586" w14:textId="452EDDC6" w:rsidR="00E7453C" w:rsidRPr="00E7453C" w:rsidRDefault="000A7ED1" w:rsidP="00352F26">
      <w:pPr>
        <w:pStyle w:val="Heading4"/>
      </w:pPr>
      <w:r>
        <w:t>Programming</w:t>
      </w:r>
      <w:r w:rsidR="00E7453C">
        <w:t xml:space="preserve"> </w:t>
      </w:r>
    </w:p>
    <w:p w14:paraId="28025C44" w14:textId="6EEDF6B0" w:rsidR="00DD308C" w:rsidRDefault="00DB2117" w:rsidP="00DD308C">
      <w:r>
        <w:t>The</w:t>
      </w:r>
      <w:r w:rsidR="00451CBF">
        <w:t xml:space="preserve"> Boys and Girls Club of Central Minnesota </w:t>
      </w:r>
      <w:r w:rsidR="0034717F">
        <w:t>worked to provide a free workforce development and academic success programming</w:t>
      </w:r>
      <w:r w:rsidR="00FD6C6C">
        <w:t xml:space="preserve"> through CareerS</w:t>
      </w:r>
      <w:r w:rsidR="00534847">
        <w:t>TART</w:t>
      </w:r>
      <w:r w:rsidR="00FD6C6C">
        <w:t xml:space="preserve"> and Project Learn Academic Success</w:t>
      </w:r>
      <w:r w:rsidR="0034717F">
        <w:t xml:space="preserve">. </w:t>
      </w:r>
      <w:r w:rsidR="0014629E">
        <w:t xml:space="preserve">Services were offered </w:t>
      </w:r>
      <w:r w:rsidR="0034717F">
        <w:t>weekdays</w:t>
      </w:r>
      <w:r w:rsidR="000A7ED1">
        <w:t>,</w:t>
      </w:r>
      <w:r w:rsidR="0034717F">
        <w:t xml:space="preserve"> throughout the school year and summer</w:t>
      </w:r>
      <w:r w:rsidR="000A7ED1">
        <w:t>,</w:t>
      </w:r>
      <w:r w:rsidR="0034717F">
        <w:t xml:space="preserve"> to at-risk youth ages 5 – </w:t>
      </w:r>
      <w:r w:rsidR="00FD6C6C">
        <w:t>graduating</w:t>
      </w:r>
      <w:r w:rsidR="0034717F">
        <w:t xml:space="preserve"> high school students</w:t>
      </w:r>
      <w:r w:rsidR="000A7ED1">
        <w:t>,</w:t>
      </w:r>
      <w:r w:rsidR="0014629E">
        <w:t xml:space="preserve"> through a variety of programs and partnership</w:t>
      </w:r>
      <w:r w:rsidR="00FD6C6C">
        <w:t xml:space="preserve">. CareerSTART </w:t>
      </w:r>
      <w:r w:rsidR="00A54855">
        <w:t>was created to provide exploration, development and application of career paths for youth in grades K-12</w:t>
      </w:r>
      <w:r w:rsidR="00415CBD">
        <w:t xml:space="preserve">, to develop employability skills &amp; apply core competencies. The </w:t>
      </w:r>
      <w:r w:rsidR="00B27468">
        <w:t>program’s</w:t>
      </w:r>
      <w:r w:rsidR="00415CBD">
        <w:t xml:space="preserve"> goal </w:t>
      </w:r>
      <w:r w:rsidR="003910E4">
        <w:t xml:space="preserve">is to empower its </w:t>
      </w:r>
      <w:r w:rsidR="00B27468">
        <w:t>participants</w:t>
      </w:r>
      <w:r w:rsidR="003910E4">
        <w:t xml:space="preserve"> to discover </w:t>
      </w:r>
      <w:r w:rsidR="00AA3FED">
        <w:t xml:space="preserve">themselves in </w:t>
      </w:r>
      <w:r w:rsidR="00B27468">
        <w:t xml:space="preserve">the possibilities of their futures. </w:t>
      </w:r>
      <w:r w:rsidR="009C2A2F">
        <w:t xml:space="preserve">The program serves the counties of Sterns, Benton, Sherburne, Morrison &amp; Wright. </w:t>
      </w:r>
    </w:p>
    <w:p w14:paraId="001436F0" w14:textId="6941FD70" w:rsidR="009C2A2F" w:rsidRDefault="009C2A2F" w:rsidP="00352F26">
      <w:pPr>
        <w:pStyle w:val="Heading4"/>
      </w:pPr>
      <w:r>
        <w:t xml:space="preserve">Planning and Design </w:t>
      </w:r>
    </w:p>
    <w:p w14:paraId="7FEA6DC4" w14:textId="39CDD4BF" w:rsidR="009C2A2F" w:rsidRPr="00DD308C" w:rsidRDefault="009C2A2F" w:rsidP="00DD308C">
      <w:r>
        <w:t xml:space="preserve">The planning and design for a new multiuse facility is being undertaken by the Boys &amp; Girls Clubs of Central Minnesota, in partnership with the City of Waite Park, Waite Park Police Department, Waite Park Senior Citizen Community, and the Greater St. Cloud Public Safety Foundation along with many additional program partners. The goal is to build or purchase </w:t>
      </w:r>
      <w:r w:rsidR="000A7ED1">
        <w:t>and</w:t>
      </w:r>
      <w:r>
        <w:t xml:space="preserve"> renovate an approximately 30,000 sq. ft. facility to serve youth, seniors and the greater Waite Park community that </w:t>
      </w:r>
      <w:r w:rsidR="000A7ED1">
        <w:t>i</w:t>
      </w:r>
      <w:r>
        <w:t xml:space="preserve">s designed to enhance community engagement and prevent crime </w:t>
      </w:r>
      <w:r>
        <w:lastRenderedPageBreak/>
        <w:t xml:space="preserve">through a philosophy of collaboration in a multi-jurisdictional, multi-disciplinary, multi-ethnic, and multi-generational environment. </w:t>
      </w:r>
    </w:p>
    <w:p w14:paraId="33300F08" w14:textId="0B3DD1EE" w:rsidR="005E3812" w:rsidRDefault="00924F39" w:rsidP="008155D8">
      <w:pPr>
        <w:pStyle w:val="Heading2"/>
      </w:pPr>
      <w:bookmarkStart w:id="18" w:name="_Toc188434131"/>
      <w:r w:rsidRPr="008155D8">
        <w:t>Program Activities</w:t>
      </w:r>
      <w:r w:rsidR="00885499">
        <w:t xml:space="preserve"> and </w:t>
      </w:r>
      <w:r w:rsidR="00C03C45">
        <w:t>Performance</w:t>
      </w:r>
      <w:r w:rsidR="00885499">
        <w:t xml:space="preserve"> Metrics</w:t>
      </w:r>
      <w:bookmarkEnd w:id="18"/>
    </w:p>
    <w:p w14:paraId="05033B05" w14:textId="5FC34F58" w:rsidR="000B4731" w:rsidRPr="000B4731" w:rsidRDefault="000B4731" w:rsidP="00352F26">
      <w:pPr>
        <w:pStyle w:val="Heading4"/>
      </w:pPr>
      <w:r>
        <w:t>Programming</w:t>
      </w:r>
    </w:p>
    <w:p w14:paraId="175FB2C1" w14:textId="5262EC43" w:rsidR="00BA3E2F" w:rsidRPr="00BA3E2F" w:rsidRDefault="00BA3E2F" w:rsidP="00477150">
      <w:pPr>
        <w:rPr>
          <w:color w:val="000000"/>
        </w:rPr>
      </w:pPr>
      <w:r>
        <w:t xml:space="preserve">The </w:t>
      </w:r>
      <w:r w:rsidR="004B665F">
        <w:t>primary goal of the program is to prepare</w:t>
      </w:r>
      <w:r>
        <w:rPr>
          <w:rFonts w:asciiTheme="minorHAnsi" w:hAnsiTheme="minorHAnsi" w:cs="Arial"/>
          <w:iCs/>
          <w:szCs w:val="24"/>
        </w:rPr>
        <w:t xml:space="preserve"> </w:t>
      </w:r>
      <w:r w:rsidRPr="00860ECC">
        <w:t>youth</w:t>
      </w:r>
      <w:r>
        <w:t xml:space="preserve">, age 8-18, </w:t>
      </w:r>
      <w:r w:rsidRPr="00BA3E2F">
        <w:t>for their future careers through workforce programs in career exploration, skill development</w:t>
      </w:r>
      <w:r>
        <w:t xml:space="preserve">. </w:t>
      </w:r>
      <w:r w:rsidR="00207D92">
        <w:rPr>
          <w:color w:val="000000"/>
        </w:rPr>
        <w:t xml:space="preserve">Described below </w:t>
      </w:r>
      <w:r w:rsidR="006B2603">
        <w:rPr>
          <w:color w:val="000000"/>
        </w:rPr>
        <w:t xml:space="preserve">are </w:t>
      </w:r>
      <w:r w:rsidR="00577B61">
        <w:rPr>
          <w:color w:val="000000"/>
        </w:rPr>
        <w:t xml:space="preserve">the </w:t>
      </w:r>
      <w:r w:rsidR="00E13BE6">
        <w:rPr>
          <w:color w:val="000000"/>
        </w:rPr>
        <w:t xml:space="preserve">stages in which the program was designed to guide students through </w:t>
      </w:r>
      <w:r w:rsidR="00D07BB7">
        <w:rPr>
          <w:color w:val="000000"/>
        </w:rPr>
        <w:t>career exploration, professional development and academic growth.</w:t>
      </w:r>
      <w:r>
        <w:t xml:space="preserve"> </w:t>
      </w:r>
    </w:p>
    <w:p w14:paraId="66D95EFA" w14:textId="77777777" w:rsidR="00C52EDD" w:rsidRDefault="00C52EDD" w:rsidP="00C52EDD">
      <w:pPr>
        <w:spacing w:before="100" w:beforeAutospacing="1" w:after="100" w:afterAutospacing="1"/>
        <w:jc w:val="both"/>
        <w:rPr>
          <w:rFonts w:cstheme="minorHAnsi"/>
        </w:rPr>
      </w:pPr>
      <w:r>
        <w:rPr>
          <w:rFonts w:cstheme="minorHAnsi"/>
        </w:rPr>
        <w:t>Boys &amp; Girls Club partners with numerous community organizations to provide the three stages of CareerSTART.</w:t>
      </w:r>
    </w:p>
    <w:p w14:paraId="0362EEBF" w14:textId="77777777" w:rsidR="00D07BB7" w:rsidRDefault="00D07BB7" w:rsidP="00D07BB7">
      <w:pPr>
        <w:spacing w:before="100" w:beforeAutospacing="1" w:after="100" w:afterAutospacing="1"/>
        <w:ind w:left="180"/>
        <w:jc w:val="both"/>
        <w:outlineLvl w:val="3"/>
        <w:rPr>
          <w:rFonts w:cstheme="minorHAnsi"/>
        </w:rPr>
      </w:pPr>
      <w:r>
        <w:rPr>
          <w:rFonts w:cstheme="minorHAnsi"/>
          <w:b/>
          <w:bCs/>
        </w:rPr>
        <w:t xml:space="preserve">Stage 1 – </w:t>
      </w:r>
      <w:r w:rsidR="00C52EDD" w:rsidRPr="00D07BB7">
        <w:rPr>
          <w:rFonts w:cstheme="minorHAnsi"/>
          <w:b/>
          <w:bCs/>
        </w:rPr>
        <w:t>EXPLORE</w:t>
      </w:r>
      <w:r>
        <w:rPr>
          <w:rFonts w:cstheme="minorHAnsi"/>
          <w:b/>
          <w:bCs/>
        </w:rPr>
        <w:t xml:space="preserve">: </w:t>
      </w:r>
      <w:r w:rsidR="00C52EDD" w:rsidRPr="00D07BB7">
        <w:rPr>
          <w:rFonts w:cstheme="minorHAnsi"/>
          <w:b/>
          <w:bCs/>
        </w:rPr>
        <w:t xml:space="preserve">Career Exploration Club - </w:t>
      </w:r>
      <w:r w:rsidR="00C52EDD" w:rsidRPr="00D07BB7">
        <w:rPr>
          <w:rFonts w:cstheme="minorHAnsi"/>
        </w:rPr>
        <w:t>Clubs and KIDSTOP sites provide age-appropriate exposure to career opportunities in the six cluster areas on a bi-monthly basis. Careers are featured in programming, appear on bulletin boards and staff reinforce a career-focused strategy across our programs.</w:t>
      </w:r>
    </w:p>
    <w:p w14:paraId="0073A976" w14:textId="77777777" w:rsidR="00D07BB7" w:rsidRDefault="00D07BB7" w:rsidP="00D07BB7">
      <w:pPr>
        <w:spacing w:before="100" w:beforeAutospacing="1" w:after="100" w:afterAutospacing="1"/>
        <w:ind w:left="180"/>
        <w:jc w:val="both"/>
        <w:outlineLvl w:val="3"/>
        <w:rPr>
          <w:rFonts w:cstheme="minorHAnsi"/>
          <w:b/>
          <w:bCs/>
        </w:rPr>
      </w:pPr>
      <w:r>
        <w:rPr>
          <w:rFonts w:cstheme="minorHAnsi"/>
          <w:b/>
          <w:bCs/>
        </w:rPr>
        <w:t xml:space="preserve">Stage 2 – </w:t>
      </w:r>
      <w:r w:rsidR="00C52EDD" w:rsidRPr="00D07BB7">
        <w:rPr>
          <w:rFonts w:cstheme="minorHAnsi"/>
          <w:b/>
          <w:bCs/>
        </w:rPr>
        <w:t>DEVELOP</w:t>
      </w:r>
      <w:r>
        <w:rPr>
          <w:rFonts w:cstheme="minorHAnsi"/>
          <w:b/>
          <w:bCs/>
        </w:rPr>
        <w:t xml:space="preserve">: </w:t>
      </w:r>
      <w:r w:rsidR="00C52EDD" w:rsidRPr="00D07BB7">
        <w:rPr>
          <w:rFonts w:cstheme="minorHAnsi"/>
          <w:b/>
          <w:bCs/>
        </w:rPr>
        <w:t xml:space="preserve">Career Development Club - </w:t>
      </w:r>
      <w:r w:rsidR="00C52EDD" w:rsidRPr="00D07BB7">
        <w:rPr>
          <w:rFonts w:cstheme="minorHAnsi"/>
        </w:rPr>
        <w:t>Middle school and high school students have the opportunity to develop career readiness skills, with programs like Career Launch that teach youth how to create a resume, fill out job applications and perform mock interviews. Money Matters teaches youth financial literacy, how to open a bank account, what credit is and why it’s important, and the financial aid process. Youth can explore careers in human services with our Junior Staff Career Development Program. The Club also offers a culinary trades program and the construction trades.</w:t>
      </w:r>
    </w:p>
    <w:p w14:paraId="7B16333D" w14:textId="13B8CD08" w:rsidR="00C52EDD" w:rsidRDefault="00C52EDD" w:rsidP="00D07BB7">
      <w:pPr>
        <w:spacing w:before="100" w:beforeAutospacing="1" w:after="100" w:afterAutospacing="1"/>
        <w:ind w:left="180"/>
        <w:jc w:val="both"/>
        <w:outlineLvl w:val="3"/>
        <w:rPr>
          <w:rFonts w:cstheme="minorHAnsi"/>
          <w:b/>
          <w:bCs/>
        </w:rPr>
      </w:pPr>
      <w:r>
        <w:rPr>
          <w:rFonts w:cstheme="minorHAnsi"/>
          <w:b/>
          <w:bCs/>
        </w:rPr>
        <w:t>Stage 3</w:t>
      </w:r>
      <w:r w:rsidR="00D05901">
        <w:rPr>
          <w:rFonts w:cstheme="minorHAnsi"/>
          <w:b/>
          <w:bCs/>
        </w:rPr>
        <w:t xml:space="preserve"> </w:t>
      </w:r>
      <w:r w:rsidR="00352F26">
        <w:rPr>
          <w:rFonts w:cstheme="minorHAnsi"/>
          <w:b/>
          <w:bCs/>
        </w:rPr>
        <w:t>- Career</w:t>
      </w:r>
      <w:r>
        <w:rPr>
          <w:rFonts w:cstheme="minorHAnsi"/>
          <w:b/>
          <w:bCs/>
        </w:rPr>
        <w:t xml:space="preserve"> Apprentice Club - </w:t>
      </w:r>
      <w:r>
        <w:rPr>
          <w:rFonts w:cstheme="minorHAnsi"/>
        </w:rPr>
        <w:t>Once youth enter high school, they meet with Club mentors to apply for work outside the Club, internships, and post-secondary education. They finish the financial aid process. Youth who complete all CareerSTART components are eligible for a scholarship to attend St. Cloud Technical and Community College.</w:t>
      </w:r>
    </w:p>
    <w:p w14:paraId="1DB8927D" w14:textId="1DDD311F" w:rsidR="00C52EDD" w:rsidRDefault="00C52EDD" w:rsidP="00C52EDD">
      <w:pPr>
        <w:spacing w:before="100" w:beforeAutospacing="1" w:after="100" w:afterAutospacing="1"/>
        <w:jc w:val="both"/>
        <w:outlineLvl w:val="3"/>
        <w:rPr>
          <w:rFonts w:cstheme="minorHAnsi"/>
          <w:b/>
          <w:bCs/>
        </w:rPr>
      </w:pPr>
      <w:r>
        <w:rPr>
          <w:rFonts w:cstheme="minorHAnsi"/>
          <w:b/>
          <w:bCs/>
        </w:rPr>
        <w:t xml:space="preserve">CareerACHIEVE - </w:t>
      </w:r>
      <w:r>
        <w:rPr>
          <w:rFonts w:cstheme="minorHAnsi"/>
        </w:rPr>
        <w:t xml:space="preserve">Upon high school graduation, Club staff continue to mentor CareerSTART scholars to ensure successful post-secondary graduation and career satisfaction. </w:t>
      </w:r>
      <w:r w:rsidR="000B4731">
        <w:rPr>
          <w:rFonts w:cstheme="minorHAnsi"/>
        </w:rPr>
        <w:t>The program</w:t>
      </w:r>
      <w:r>
        <w:rPr>
          <w:rFonts w:cstheme="minorHAnsi"/>
        </w:rPr>
        <w:t xml:space="preserve"> developed a partnership agreement with St. Cloud Technical and Community College </w:t>
      </w:r>
      <w:r w:rsidR="000B4731">
        <w:rPr>
          <w:rFonts w:cstheme="minorHAnsi"/>
        </w:rPr>
        <w:t xml:space="preserve">(SCTCC) </w:t>
      </w:r>
      <w:r>
        <w:rPr>
          <w:rFonts w:cstheme="minorHAnsi"/>
        </w:rPr>
        <w:t>to create a continuum of support for CareerSTART scholars throughout college. This program is called Career ACHIEVE and creates a holistic student wrap around support program designed to close achievement gaps and aid successful program completion at SCTCC.</w:t>
      </w:r>
    </w:p>
    <w:p w14:paraId="4CD88B78" w14:textId="77777777" w:rsidR="00C52EDD" w:rsidRDefault="00C52EDD" w:rsidP="00C52EDD">
      <w:pPr>
        <w:spacing w:before="100" w:beforeAutospacing="1" w:after="100" w:afterAutospacing="1"/>
        <w:jc w:val="both"/>
        <w:outlineLvl w:val="3"/>
        <w:rPr>
          <w:rFonts w:cstheme="minorHAnsi"/>
          <w:b/>
          <w:bCs/>
        </w:rPr>
      </w:pPr>
      <w:r>
        <w:rPr>
          <w:rFonts w:cstheme="minorHAnsi"/>
          <w:b/>
          <w:bCs/>
        </w:rPr>
        <w:t xml:space="preserve">CareerPROMISE - </w:t>
      </w:r>
      <w:r>
        <w:rPr>
          <w:rFonts w:cstheme="minorHAnsi"/>
        </w:rPr>
        <w:t>CareerSTART scholars who complete all components of the CareerSTART program are eligible to receive a CareerPROMISE scholarship to attend St. Cloud Technical and Community College, after all financial aid has been applied. This scholarship effectively removes the financial barriers many of youth see to achieving success.</w:t>
      </w:r>
    </w:p>
    <w:p w14:paraId="2BEDB446" w14:textId="42670086" w:rsidR="005E392C" w:rsidRDefault="006276A1" w:rsidP="009E364B">
      <w:r>
        <w:t>The performance goal for SFY 202</w:t>
      </w:r>
      <w:r w:rsidR="00EC03B4">
        <w:t>4</w:t>
      </w:r>
      <w:r>
        <w:t xml:space="preserve"> is for</w:t>
      </w:r>
      <w:r w:rsidR="009E305C">
        <w:t xml:space="preserve"> 100</w:t>
      </w:r>
      <w:r>
        <w:t xml:space="preserve"> youth to participate in the Career</w:t>
      </w:r>
      <w:r w:rsidR="009E305C">
        <w:t>START</w:t>
      </w:r>
      <w:r>
        <w:t xml:space="preserve"> program. </w:t>
      </w:r>
      <w:r w:rsidR="000B4731">
        <w:t>The program started serving less than 20 youth per day during the summer.</w:t>
      </w:r>
      <w:r w:rsidR="00352F26">
        <w:t xml:space="preserve"> Now the program is serving over 86 youth per day during the school year and 25 per day </w:t>
      </w:r>
      <w:r w:rsidR="005E4CCD">
        <w:t>d</w:t>
      </w:r>
      <w:r w:rsidR="00352F26">
        <w:t>uring the summer.</w:t>
      </w:r>
      <w:r w:rsidR="000B4731">
        <w:t xml:space="preserve"> All members (224 registered members in total) are getting education and workforce readiness activities.</w:t>
      </w:r>
    </w:p>
    <w:p w14:paraId="04A0F4A4" w14:textId="77777777" w:rsidR="005E4CCD" w:rsidRPr="005019E1" w:rsidRDefault="005E4CCD" w:rsidP="009E36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1260"/>
        <w:gridCol w:w="1440"/>
        <w:gridCol w:w="1345"/>
      </w:tblGrid>
      <w:tr w:rsidR="00F56BAB" w:rsidRPr="007E5631" w14:paraId="7B4493D4" w14:textId="77777777" w:rsidTr="007C45D0">
        <w:trPr>
          <w:trHeight w:val="432"/>
          <w:jc w:val="center"/>
        </w:trPr>
        <w:tc>
          <w:tcPr>
            <w:tcW w:w="6025" w:type="dxa"/>
            <w:shd w:val="clear" w:color="auto" w:fill="DDDDDA"/>
            <w:vAlign w:val="center"/>
          </w:tcPr>
          <w:p w14:paraId="6EF647E3" w14:textId="77777777" w:rsidR="00F56BAB" w:rsidRPr="007E5631" w:rsidRDefault="00F56BAB" w:rsidP="00231790">
            <w:pPr>
              <w:spacing w:before="120" w:after="0"/>
              <w:jc w:val="center"/>
              <w:rPr>
                <w:rFonts w:asciiTheme="majorHAnsi" w:hAnsiTheme="majorHAnsi" w:cstheme="majorHAnsi"/>
              </w:rPr>
            </w:pPr>
            <w:r w:rsidRPr="007E5631">
              <w:rPr>
                <w:rFonts w:asciiTheme="majorHAnsi" w:hAnsiTheme="majorHAnsi" w:cstheme="majorHAnsi"/>
                <w:b/>
                <w:bCs/>
                <w:lang w:bidi="ar-SA"/>
              </w:rPr>
              <w:lastRenderedPageBreak/>
              <w:t>Contract Performance Data</w:t>
            </w:r>
          </w:p>
        </w:tc>
        <w:tc>
          <w:tcPr>
            <w:tcW w:w="1260" w:type="dxa"/>
            <w:tcBorders>
              <w:bottom w:val="single" w:sz="4" w:space="0" w:color="auto"/>
            </w:tcBorders>
            <w:shd w:val="clear" w:color="auto" w:fill="DDDDDA"/>
          </w:tcPr>
          <w:p w14:paraId="6520DC28" w14:textId="7C0933C7" w:rsidR="00F56BAB" w:rsidRPr="007E5631" w:rsidRDefault="00F56BAB" w:rsidP="00231790">
            <w:pPr>
              <w:spacing w:before="120" w:after="0"/>
              <w:jc w:val="center"/>
              <w:rPr>
                <w:rFonts w:asciiTheme="majorHAnsi" w:hAnsiTheme="majorHAnsi" w:cstheme="majorHAnsi"/>
                <w:b/>
                <w:bCs/>
              </w:rPr>
            </w:pPr>
            <w:r>
              <w:rPr>
                <w:rFonts w:asciiTheme="majorHAnsi" w:hAnsiTheme="majorHAnsi" w:cstheme="majorHAnsi"/>
                <w:b/>
                <w:bCs/>
              </w:rPr>
              <w:t>Total Planned</w:t>
            </w:r>
          </w:p>
        </w:tc>
        <w:tc>
          <w:tcPr>
            <w:tcW w:w="1440" w:type="dxa"/>
            <w:shd w:val="clear" w:color="auto" w:fill="DDDDDA"/>
            <w:vAlign w:val="center"/>
          </w:tcPr>
          <w:p w14:paraId="7930D343" w14:textId="114B58CD" w:rsidR="00F56BAB" w:rsidRPr="007E5631" w:rsidRDefault="00F56BAB" w:rsidP="00231790">
            <w:pPr>
              <w:spacing w:before="120" w:after="0"/>
              <w:jc w:val="center"/>
              <w:rPr>
                <w:rFonts w:asciiTheme="majorHAnsi" w:hAnsiTheme="majorHAnsi" w:cstheme="majorHAnsi"/>
                <w:b/>
                <w:bCs/>
              </w:rPr>
            </w:pPr>
            <w:r>
              <w:rPr>
                <w:rFonts w:asciiTheme="majorHAnsi" w:hAnsiTheme="majorHAnsi" w:cstheme="majorHAnsi"/>
                <w:b/>
                <w:bCs/>
              </w:rPr>
              <w:t>Total Achieved</w:t>
            </w:r>
          </w:p>
        </w:tc>
        <w:tc>
          <w:tcPr>
            <w:tcW w:w="1345" w:type="dxa"/>
            <w:shd w:val="clear" w:color="auto" w:fill="DDDDDA"/>
            <w:vAlign w:val="center"/>
          </w:tcPr>
          <w:p w14:paraId="61259EA9" w14:textId="266EA289" w:rsidR="00F56BAB" w:rsidRPr="007E5631" w:rsidRDefault="00F56BAB" w:rsidP="00231790">
            <w:pPr>
              <w:spacing w:before="120" w:after="0"/>
              <w:jc w:val="center"/>
              <w:rPr>
                <w:rFonts w:asciiTheme="majorHAnsi" w:hAnsiTheme="majorHAnsi" w:cstheme="majorHAnsi"/>
                <w:b/>
                <w:bCs/>
              </w:rPr>
            </w:pPr>
            <w:r>
              <w:rPr>
                <w:rFonts w:asciiTheme="majorHAnsi" w:hAnsiTheme="majorHAnsi" w:cstheme="majorHAnsi"/>
                <w:b/>
                <w:bCs/>
              </w:rPr>
              <w:t xml:space="preserve">Percentage Achieved </w:t>
            </w:r>
          </w:p>
        </w:tc>
      </w:tr>
      <w:tr w:rsidR="00F56BAB" w:rsidRPr="009B78EE" w14:paraId="11A1356B" w14:textId="77777777" w:rsidTr="007C45D0">
        <w:trPr>
          <w:trHeight w:val="432"/>
          <w:jc w:val="center"/>
        </w:trPr>
        <w:tc>
          <w:tcPr>
            <w:tcW w:w="6025" w:type="dxa"/>
            <w:shd w:val="clear" w:color="auto" w:fill="auto"/>
            <w:vAlign w:val="center"/>
          </w:tcPr>
          <w:p w14:paraId="10E83570" w14:textId="05398C25" w:rsidR="00F56BAB" w:rsidRPr="007E5631" w:rsidRDefault="00BE2393" w:rsidP="00323271">
            <w:pPr>
              <w:spacing w:before="0" w:after="0" w:line="240" w:lineRule="auto"/>
              <w:ind w:left="240"/>
              <w:rPr>
                <w:rFonts w:asciiTheme="majorHAnsi" w:hAnsiTheme="majorHAnsi" w:cstheme="majorHAnsi"/>
              </w:rPr>
            </w:pPr>
            <w:r>
              <w:rPr>
                <w:rFonts w:asciiTheme="majorHAnsi" w:hAnsiTheme="majorHAnsi" w:cstheme="majorHAnsi"/>
              </w:rPr>
              <w:t>Participants in Career</w:t>
            </w:r>
            <w:r w:rsidR="00292B4F">
              <w:rPr>
                <w:rFonts w:asciiTheme="majorHAnsi" w:hAnsiTheme="majorHAnsi" w:cstheme="majorHAnsi"/>
              </w:rPr>
              <w:t xml:space="preserve">START Workforce </w:t>
            </w:r>
            <w:r w:rsidR="005E4CCD">
              <w:rPr>
                <w:rFonts w:asciiTheme="majorHAnsi" w:hAnsiTheme="majorHAnsi" w:cstheme="majorHAnsi"/>
              </w:rPr>
              <w:t>D</w:t>
            </w:r>
            <w:r w:rsidR="00292B4F">
              <w:rPr>
                <w:rFonts w:asciiTheme="majorHAnsi" w:hAnsiTheme="majorHAnsi" w:cstheme="majorHAnsi"/>
              </w:rPr>
              <w:t>evelopment Program</w:t>
            </w:r>
          </w:p>
        </w:tc>
        <w:tc>
          <w:tcPr>
            <w:tcW w:w="1260" w:type="dxa"/>
            <w:tcBorders>
              <w:right w:val="single" w:sz="4" w:space="0" w:color="auto"/>
            </w:tcBorders>
            <w:vAlign w:val="bottom"/>
          </w:tcPr>
          <w:p w14:paraId="0E4433C2" w14:textId="163C7BE6" w:rsidR="00F56BAB" w:rsidRDefault="00C5105F" w:rsidP="00537761">
            <w:pPr>
              <w:spacing w:before="120" w:after="0"/>
              <w:jc w:val="center"/>
              <w:rPr>
                <w:rFonts w:cs="Calibri"/>
                <w:color w:val="000000"/>
              </w:rPr>
            </w:pPr>
            <w:r>
              <w:rPr>
                <w:rFonts w:cs="Calibri"/>
                <w:color w:val="00000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756C242" w14:textId="6A417B87" w:rsidR="00F56BAB" w:rsidRPr="007E5631" w:rsidRDefault="007C45D0" w:rsidP="00537761">
            <w:pPr>
              <w:spacing w:before="120" w:after="0"/>
              <w:jc w:val="center"/>
              <w:rPr>
                <w:rFonts w:asciiTheme="majorHAnsi" w:hAnsiTheme="majorHAnsi" w:cstheme="majorHAnsi"/>
              </w:rPr>
            </w:pPr>
            <w:r>
              <w:rPr>
                <w:rFonts w:cs="Calibri"/>
                <w:color w:val="000000"/>
              </w:rPr>
              <w:t>224</w:t>
            </w:r>
          </w:p>
        </w:tc>
        <w:tc>
          <w:tcPr>
            <w:tcW w:w="1345" w:type="dxa"/>
            <w:tcBorders>
              <w:top w:val="single" w:sz="4" w:space="0" w:color="auto"/>
              <w:left w:val="nil"/>
              <w:bottom w:val="single" w:sz="4" w:space="0" w:color="auto"/>
              <w:right w:val="single" w:sz="8" w:space="0" w:color="auto"/>
            </w:tcBorders>
            <w:shd w:val="clear" w:color="000000" w:fill="FFFFFF"/>
            <w:vAlign w:val="bottom"/>
          </w:tcPr>
          <w:p w14:paraId="16673D23" w14:textId="75D3DD38" w:rsidR="00F56BAB" w:rsidRPr="009B78EE" w:rsidRDefault="00E80D67" w:rsidP="00537761">
            <w:pPr>
              <w:spacing w:before="120" w:after="0"/>
              <w:jc w:val="center"/>
              <w:rPr>
                <w:rFonts w:asciiTheme="majorHAnsi" w:hAnsiTheme="majorHAnsi" w:cstheme="majorHAnsi"/>
              </w:rPr>
            </w:pPr>
            <w:r>
              <w:rPr>
                <w:rFonts w:asciiTheme="majorHAnsi" w:hAnsiTheme="majorHAnsi" w:cstheme="majorHAnsi"/>
              </w:rPr>
              <w:t>224%</w:t>
            </w:r>
          </w:p>
        </w:tc>
      </w:tr>
      <w:tr w:rsidR="00F56BAB" w:rsidRPr="009B78EE" w14:paraId="7D558BB8" w14:textId="77777777" w:rsidTr="007C45D0">
        <w:trPr>
          <w:trHeight w:val="432"/>
          <w:jc w:val="center"/>
        </w:trPr>
        <w:tc>
          <w:tcPr>
            <w:tcW w:w="6025" w:type="dxa"/>
            <w:shd w:val="clear" w:color="auto" w:fill="auto"/>
            <w:vAlign w:val="center"/>
          </w:tcPr>
          <w:p w14:paraId="708B0B35" w14:textId="569239D3" w:rsidR="00F56BAB" w:rsidRPr="007E5631" w:rsidRDefault="00292B4F" w:rsidP="00323271">
            <w:pPr>
              <w:spacing w:before="0" w:after="0" w:line="240" w:lineRule="auto"/>
              <w:ind w:left="240"/>
              <w:rPr>
                <w:rFonts w:asciiTheme="majorHAnsi" w:hAnsiTheme="majorHAnsi" w:cstheme="majorHAnsi"/>
              </w:rPr>
            </w:pPr>
            <w:r>
              <w:rPr>
                <w:rFonts w:asciiTheme="majorHAnsi" w:hAnsiTheme="majorHAnsi" w:cstheme="majorHAnsi"/>
              </w:rPr>
              <w:t>Participants in Project Learn Academic Success Program</w:t>
            </w:r>
          </w:p>
        </w:tc>
        <w:tc>
          <w:tcPr>
            <w:tcW w:w="1260" w:type="dxa"/>
            <w:tcBorders>
              <w:right w:val="single" w:sz="4" w:space="0" w:color="auto"/>
            </w:tcBorders>
          </w:tcPr>
          <w:p w14:paraId="493EC240" w14:textId="3089873B" w:rsidR="00F56BAB" w:rsidRDefault="000B4731" w:rsidP="00323271">
            <w:pPr>
              <w:spacing w:before="120" w:after="0"/>
              <w:jc w:val="center"/>
              <w:rPr>
                <w:rFonts w:cs="Calibri"/>
                <w:color w:val="000000"/>
              </w:rPr>
            </w:pPr>
            <w:r>
              <w:rPr>
                <w:rFonts w:cs="Calibri"/>
                <w:color w:val="00000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139D915" w14:textId="4D3E37CF" w:rsidR="00F56BAB" w:rsidRPr="007E5631" w:rsidRDefault="007C45D0" w:rsidP="00323271">
            <w:pPr>
              <w:spacing w:before="120" w:after="0"/>
              <w:jc w:val="center"/>
              <w:rPr>
                <w:rFonts w:asciiTheme="majorHAnsi" w:hAnsiTheme="majorHAnsi" w:cstheme="majorHAnsi"/>
              </w:rPr>
            </w:pPr>
            <w:r>
              <w:rPr>
                <w:rFonts w:asciiTheme="majorHAnsi" w:hAnsiTheme="majorHAnsi" w:cstheme="majorHAnsi"/>
              </w:rPr>
              <w:t>224</w:t>
            </w:r>
          </w:p>
        </w:tc>
        <w:tc>
          <w:tcPr>
            <w:tcW w:w="1345" w:type="dxa"/>
            <w:tcBorders>
              <w:top w:val="single" w:sz="4" w:space="0" w:color="auto"/>
              <w:left w:val="nil"/>
              <w:bottom w:val="single" w:sz="4" w:space="0" w:color="auto"/>
              <w:right w:val="single" w:sz="8" w:space="0" w:color="auto"/>
            </w:tcBorders>
            <w:shd w:val="clear" w:color="auto" w:fill="auto"/>
            <w:vAlign w:val="bottom"/>
          </w:tcPr>
          <w:p w14:paraId="4349B29A" w14:textId="5FF6A7BA" w:rsidR="00F56BAB" w:rsidRPr="009B78EE" w:rsidRDefault="00E80D67" w:rsidP="00323271">
            <w:pPr>
              <w:spacing w:before="120" w:after="0"/>
              <w:jc w:val="center"/>
              <w:rPr>
                <w:rFonts w:asciiTheme="majorHAnsi" w:hAnsiTheme="majorHAnsi" w:cstheme="majorHAnsi"/>
              </w:rPr>
            </w:pPr>
            <w:r>
              <w:rPr>
                <w:rFonts w:asciiTheme="majorHAnsi" w:hAnsiTheme="majorHAnsi" w:cstheme="majorHAnsi"/>
              </w:rPr>
              <w:t>224%</w:t>
            </w:r>
          </w:p>
        </w:tc>
      </w:tr>
      <w:tr w:rsidR="00F56BAB" w:rsidRPr="009B78EE" w14:paraId="10C4768A" w14:textId="77777777" w:rsidTr="007C45D0">
        <w:trPr>
          <w:trHeight w:val="432"/>
          <w:jc w:val="center"/>
        </w:trPr>
        <w:tc>
          <w:tcPr>
            <w:tcW w:w="6025" w:type="dxa"/>
            <w:shd w:val="clear" w:color="auto" w:fill="auto"/>
            <w:vAlign w:val="center"/>
          </w:tcPr>
          <w:p w14:paraId="79B12E6D" w14:textId="7C283DE1" w:rsidR="00F56BAB" w:rsidRPr="007E5631" w:rsidRDefault="00F56BAB" w:rsidP="00F56BAB">
            <w:pPr>
              <w:spacing w:before="0" w:after="0" w:line="240" w:lineRule="auto"/>
              <w:ind w:left="240"/>
              <w:rPr>
                <w:rFonts w:asciiTheme="majorHAnsi" w:hAnsiTheme="majorHAnsi" w:cstheme="majorHAnsi"/>
              </w:rPr>
            </w:pPr>
            <w:r>
              <w:rPr>
                <w:rFonts w:asciiTheme="majorHAnsi" w:hAnsiTheme="majorHAnsi" w:cstheme="majorHAnsi"/>
                <w:b/>
                <w:bCs/>
                <w:lang w:bidi="ar-SA"/>
              </w:rPr>
              <w:t>Total Participants Enrolled</w:t>
            </w:r>
          </w:p>
        </w:tc>
        <w:tc>
          <w:tcPr>
            <w:tcW w:w="1260" w:type="dxa"/>
            <w:tcBorders>
              <w:right w:val="single" w:sz="4" w:space="0" w:color="auto"/>
            </w:tcBorders>
          </w:tcPr>
          <w:p w14:paraId="1D4EFB8B" w14:textId="4D4F8642" w:rsidR="00F56BAB" w:rsidRDefault="000B4731" w:rsidP="00F56BAB">
            <w:pPr>
              <w:spacing w:before="120" w:after="0"/>
              <w:jc w:val="center"/>
              <w:rPr>
                <w:rFonts w:cs="Calibri"/>
                <w:color w:val="000000"/>
              </w:rPr>
            </w:pPr>
            <w:r>
              <w:rPr>
                <w:rFonts w:asciiTheme="majorHAnsi" w:hAnsiTheme="majorHAnsi" w:cstheme="majorHAnsi"/>
                <w:b/>
                <w:b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14C55B" w14:textId="25AFDD52" w:rsidR="00F56BAB" w:rsidRDefault="000B4731" w:rsidP="00F56BAB">
            <w:pPr>
              <w:spacing w:before="120" w:after="0"/>
              <w:jc w:val="center"/>
              <w:rPr>
                <w:rFonts w:cs="Calibri"/>
                <w:color w:val="000000"/>
              </w:rPr>
            </w:pPr>
            <w:r>
              <w:rPr>
                <w:rFonts w:asciiTheme="majorHAnsi" w:hAnsiTheme="majorHAnsi" w:cstheme="majorHAnsi"/>
                <w:b/>
                <w:bCs/>
              </w:rPr>
              <w:t>224</w:t>
            </w:r>
          </w:p>
        </w:tc>
        <w:tc>
          <w:tcPr>
            <w:tcW w:w="1345" w:type="dxa"/>
            <w:tcBorders>
              <w:top w:val="single" w:sz="4" w:space="0" w:color="auto"/>
              <w:left w:val="nil"/>
              <w:bottom w:val="single" w:sz="4" w:space="0" w:color="auto"/>
              <w:right w:val="single" w:sz="8" w:space="0" w:color="auto"/>
            </w:tcBorders>
            <w:shd w:val="clear" w:color="auto" w:fill="auto"/>
            <w:vAlign w:val="center"/>
          </w:tcPr>
          <w:p w14:paraId="09E4274D" w14:textId="066D8FA4" w:rsidR="00F56BAB" w:rsidRPr="000B4731" w:rsidRDefault="000B4731" w:rsidP="00F56BAB">
            <w:pPr>
              <w:spacing w:before="120" w:after="0"/>
              <w:jc w:val="center"/>
              <w:rPr>
                <w:rFonts w:cs="Calibri"/>
                <w:b/>
                <w:bCs/>
                <w:color w:val="000000"/>
              </w:rPr>
            </w:pPr>
            <w:r w:rsidRPr="000B4731">
              <w:rPr>
                <w:rFonts w:cs="Calibri"/>
                <w:b/>
                <w:bCs/>
                <w:color w:val="000000"/>
              </w:rPr>
              <w:t>224%</w:t>
            </w:r>
          </w:p>
        </w:tc>
      </w:tr>
    </w:tbl>
    <w:p w14:paraId="11D314E1" w14:textId="58CA5422" w:rsidR="000B4731" w:rsidRDefault="000B4731" w:rsidP="005E4CCD">
      <w:pPr>
        <w:pStyle w:val="Heading4"/>
      </w:pPr>
      <w:bookmarkStart w:id="19" w:name="_Toc90563542"/>
      <w:bookmarkStart w:id="20" w:name="_Toc116562939"/>
      <w:r>
        <w:t xml:space="preserve">Planning and Design </w:t>
      </w:r>
    </w:p>
    <w:p w14:paraId="0DF60841" w14:textId="6416F1DC" w:rsidR="000B4731" w:rsidRDefault="000B4731" w:rsidP="000B4731">
      <w:r>
        <w:t xml:space="preserve">The planning and design for </w:t>
      </w:r>
      <w:r w:rsidR="00F8123E">
        <w:t>a new</w:t>
      </w:r>
      <w:r>
        <w:t xml:space="preserve"> multiuse facility is ongoing. Boys &amp; Girls of </w:t>
      </w:r>
      <w:r w:rsidR="00F8123E">
        <w:t>Central</w:t>
      </w:r>
      <w:r>
        <w:t xml:space="preserve"> Minnesota staff are working with an architect firm on preliminary plans and design concepts for a </w:t>
      </w:r>
      <w:r w:rsidR="00F8123E">
        <w:t>Boys</w:t>
      </w:r>
      <w:r>
        <w:t xml:space="preserve"> &amp; Girls Club addition on Discovery Elementary as well as continuing to host community meetings and donor meetings, events and tours. A local commercial builder is providing rough estimates of the cost of the build. </w:t>
      </w:r>
    </w:p>
    <w:p w14:paraId="4F71E9F1" w14:textId="4A7F5455" w:rsidR="00577B61" w:rsidRDefault="00577B61" w:rsidP="00577B61">
      <w:pPr>
        <w:pStyle w:val="Heading2"/>
      </w:pPr>
      <w:bookmarkStart w:id="21" w:name="_Toc188434132"/>
      <w:r>
        <w:t>Program Data</w:t>
      </w:r>
      <w:bookmarkEnd w:id="19"/>
      <w:bookmarkEnd w:id="20"/>
      <w:bookmarkEnd w:id="21"/>
    </w:p>
    <w:p w14:paraId="3EC803AF" w14:textId="556674D3" w:rsidR="0030230E" w:rsidRDefault="00577B61" w:rsidP="00577B61">
      <w:pPr>
        <w:pStyle w:val="BodyText"/>
      </w:pPr>
      <w:r>
        <w:t>The participant demographic, activity, and outcome data included in this report reflects the total from the start of the grant</w:t>
      </w:r>
      <w:r w:rsidR="00834D8E">
        <w:t xml:space="preserve"> contract on</w:t>
      </w:r>
      <w:r>
        <w:t xml:space="preserve"> July 1, 202</w:t>
      </w:r>
      <w:r w:rsidR="000D30E0">
        <w:t>3</w:t>
      </w:r>
      <w:r>
        <w:t xml:space="preserve">, through </w:t>
      </w:r>
      <w:r w:rsidR="000B4731">
        <w:t xml:space="preserve">September 30, 2024. Program data is still preliminary, as the grant contract was extended though June 30, 2025.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4879"/>
        <w:gridCol w:w="1822"/>
        <w:gridCol w:w="1845"/>
      </w:tblGrid>
      <w:tr w:rsidR="003F32F8" w:rsidRPr="003F32F8" w14:paraId="559CAAEC" w14:textId="77777777" w:rsidTr="008F43C6">
        <w:trPr>
          <w:trHeight w:val="647"/>
          <w:jc w:val="center"/>
        </w:trPr>
        <w:tc>
          <w:tcPr>
            <w:tcW w:w="6403" w:type="dxa"/>
            <w:gridSpan w:val="2"/>
            <w:shd w:val="clear" w:color="auto" w:fill="DDDDDA"/>
            <w:vAlign w:val="center"/>
          </w:tcPr>
          <w:p w14:paraId="778EA889" w14:textId="77777777" w:rsidR="003F32F8" w:rsidRPr="003F32F8" w:rsidRDefault="003F32F8" w:rsidP="003F32F8">
            <w:pPr>
              <w:spacing w:before="120" w:after="0"/>
              <w:jc w:val="center"/>
            </w:pPr>
            <w:r w:rsidRPr="003F32F8">
              <w:rPr>
                <w:rFonts w:ascii="Calibri-Bold" w:hAnsi="Calibri-Bold" w:cs="Calibri-Bold"/>
                <w:b/>
                <w:bCs/>
                <w:sz w:val="28"/>
                <w:szCs w:val="28"/>
                <w:lang w:bidi="ar-SA"/>
              </w:rPr>
              <w:t>Demographic Data</w:t>
            </w:r>
          </w:p>
        </w:tc>
        <w:tc>
          <w:tcPr>
            <w:tcW w:w="1822" w:type="dxa"/>
            <w:shd w:val="clear" w:color="auto" w:fill="DDDDDA"/>
            <w:vAlign w:val="center"/>
          </w:tcPr>
          <w:p w14:paraId="36E49A63" w14:textId="77777777" w:rsidR="003F32F8" w:rsidRPr="003F32F8" w:rsidRDefault="003F32F8" w:rsidP="003F32F8">
            <w:pPr>
              <w:spacing w:before="120" w:after="0"/>
              <w:jc w:val="center"/>
              <w:rPr>
                <w:b/>
                <w:bCs/>
              </w:rPr>
            </w:pPr>
            <w:r w:rsidRPr="003F32F8">
              <w:rPr>
                <w:b/>
                <w:bCs/>
              </w:rPr>
              <w:t>Total</w:t>
            </w:r>
          </w:p>
        </w:tc>
        <w:tc>
          <w:tcPr>
            <w:tcW w:w="1845" w:type="dxa"/>
            <w:shd w:val="clear" w:color="auto" w:fill="DDDDDA"/>
            <w:vAlign w:val="center"/>
          </w:tcPr>
          <w:p w14:paraId="7B03A34D" w14:textId="77777777" w:rsidR="003F32F8" w:rsidRPr="003F32F8" w:rsidRDefault="003F32F8" w:rsidP="003F32F8">
            <w:pPr>
              <w:spacing w:before="120" w:after="0"/>
              <w:jc w:val="center"/>
              <w:rPr>
                <w:b/>
                <w:bCs/>
              </w:rPr>
            </w:pPr>
            <w:r w:rsidRPr="003F32F8">
              <w:rPr>
                <w:b/>
                <w:bCs/>
              </w:rPr>
              <w:t>Percentage</w:t>
            </w:r>
          </w:p>
        </w:tc>
      </w:tr>
      <w:tr w:rsidR="003F32F8" w:rsidRPr="003F32F8" w14:paraId="6144C862" w14:textId="77777777" w:rsidTr="00551ACB">
        <w:trPr>
          <w:trHeight w:val="530"/>
          <w:jc w:val="center"/>
        </w:trPr>
        <w:tc>
          <w:tcPr>
            <w:tcW w:w="6403" w:type="dxa"/>
            <w:gridSpan w:val="2"/>
            <w:tcBorders>
              <w:bottom w:val="single" w:sz="8" w:space="0" w:color="auto"/>
            </w:tcBorders>
            <w:shd w:val="clear" w:color="auto" w:fill="auto"/>
            <w:vAlign w:val="center"/>
          </w:tcPr>
          <w:p w14:paraId="4F3A2F5C" w14:textId="06A965F2" w:rsidR="003F32F8" w:rsidRPr="007E5631" w:rsidRDefault="003F32F8" w:rsidP="005E4CCD">
            <w:pPr>
              <w:spacing w:before="120" w:after="0"/>
              <w:rPr>
                <w:rFonts w:asciiTheme="majorHAnsi" w:hAnsiTheme="majorHAnsi" w:cstheme="majorHAnsi"/>
                <w:b/>
                <w:bCs/>
                <w:lang w:bidi="ar-SA"/>
              </w:rPr>
            </w:pPr>
            <w:r w:rsidRPr="007E5631">
              <w:rPr>
                <w:rFonts w:asciiTheme="majorHAnsi" w:hAnsiTheme="majorHAnsi" w:cstheme="majorHAnsi"/>
              </w:rPr>
              <w:t>Total Participants Served</w:t>
            </w:r>
          </w:p>
        </w:tc>
        <w:tc>
          <w:tcPr>
            <w:tcW w:w="3667" w:type="dxa"/>
            <w:gridSpan w:val="2"/>
            <w:tcBorders>
              <w:bottom w:val="single" w:sz="4" w:space="0" w:color="auto"/>
            </w:tcBorders>
            <w:shd w:val="clear" w:color="auto" w:fill="auto"/>
            <w:vAlign w:val="center"/>
          </w:tcPr>
          <w:p w14:paraId="21BCC0FF" w14:textId="2055B798" w:rsidR="00222839" w:rsidRPr="007E5631" w:rsidRDefault="003748A7" w:rsidP="003F32F8">
            <w:pPr>
              <w:spacing w:before="120" w:after="0"/>
              <w:jc w:val="center"/>
              <w:rPr>
                <w:rFonts w:asciiTheme="majorHAnsi" w:hAnsiTheme="majorHAnsi" w:cstheme="majorHAnsi"/>
                <w:b/>
                <w:bCs/>
              </w:rPr>
            </w:pPr>
            <w:r>
              <w:rPr>
                <w:rFonts w:asciiTheme="majorHAnsi" w:hAnsiTheme="majorHAnsi" w:cstheme="majorHAnsi"/>
                <w:b/>
                <w:bCs/>
              </w:rPr>
              <w:t>224</w:t>
            </w:r>
          </w:p>
        </w:tc>
      </w:tr>
      <w:tr w:rsidR="00537761" w:rsidRPr="003F32F8" w14:paraId="6218BAF8" w14:textId="77777777" w:rsidTr="00551ACB">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7655F393" w14:textId="77777777" w:rsidR="00537761" w:rsidRPr="007E5631" w:rsidRDefault="00537761" w:rsidP="002731C8">
            <w:pPr>
              <w:spacing w:before="120" w:after="0"/>
              <w:jc w:val="center"/>
              <w:rPr>
                <w:rFonts w:asciiTheme="majorHAnsi" w:hAnsiTheme="majorHAnsi" w:cstheme="majorHAnsi"/>
                <w:b/>
              </w:rPr>
            </w:pPr>
            <w:r w:rsidRPr="007E5631">
              <w:rPr>
                <w:rFonts w:asciiTheme="majorHAnsi" w:hAnsiTheme="majorHAnsi" w:cstheme="majorHAnsi"/>
                <w:b/>
              </w:rPr>
              <w:t>Gender</w:t>
            </w:r>
          </w:p>
        </w:tc>
        <w:tc>
          <w:tcPr>
            <w:tcW w:w="4879" w:type="dxa"/>
            <w:tcBorders>
              <w:top w:val="single" w:sz="8" w:space="0" w:color="auto"/>
              <w:left w:val="single" w:sz="8" w:space="0" w:color="auto"/>
              <w:bottom w:val="single" w:sz="4" w:space="0" w:color="auto"/>
            </w:tcBorders>
            <w:shd w:val="clear" w:color="auto" w:fill="auto"/>
            <w:vAlign w:val="center"/>
          </w:tcPr>
          <w:p w14:paraId="5A6E586B" w14:textId="77777777" w:rsidR="00537761" w:rsidRPr="007E5631" w:rsidRDefault="00537761" w:rsidP="002731C8">
            <w:pPr>
              <w:spacing w:before="120" w:after="0"/>
              <w:ind w:left="144"/>
              <w:rPr>
                <w:rFonts w:asciiTheme="majorHAnsi" w:hAnsiTheme="majorHAnsi" w:cstheme="majorHAnsi"/>
              </w:rPr>
            </w:pPr>
            <w:r w:rsidRPr="007E5631">
              <w:rPr>
                <w:rFonts w:asciiTheme="majorHAnsi" w:hAnsiTheme="majorHAnsi" w:cstheme="majorHAnsi"/>
              </w:rPr>
              <w:t>Female</w:t>
            </w:r>
          </w:p>
        </w:tc>
        <w:tc>
          <w:tcPr>
            <w:tcW w:w="1822" w:type="dxa"/>
            <w:tcBorders>
              <w:top w:val="single" w:sz="8" w:space="0" w:color="auto"/>
              <w:left w:val="nil"/>
              <w:bottom w:val="single" w:sz="4" w:space="0" w:color="auto"/>
              <w:right w:val="single" w:sz="4" w:space="0" w:color="auto"/>
            </w:tcBorders>
            <w:shd w:val="clear" w:color="auto" w:fill="auto"/>
            <w:vAlign w:val="bottom"/>
          </w:tcPr>
          <w:p w14:paraId="5642F130" w14:textId="1533EF65" w:rsidR="00537761" w:rsidRPr="008F43C6" w:rsidRDefault="0074122D" w:rsidP="002731C8">
            <w:pPr>
              <w:spacing w:before="120" w:after="0"/>
              <w:jc w:val="center"/>
              <w:rPr>
                <w:rFonts w:asciiTheme="majorHAnsi" w:hAnsiTheme="majorHAnsi" w:cstheme="majorHAnsi"/>
              </w:rPr>
            </w:pPr>
            <w:r>
              <w:rPr>
                <w:rFonts w:cs="Calibri"/>
                <w:color w:val="000000"/>
              </w:rPr>
              <w:t>1</w:t>
            </w:r>
            <w:r w:rsidR="00D234BB">
              <w:rPr>
                <w:rFonts w:cs="Calibri"/>
                <w:color w:val="000000"/>
              </w:rPr>
              <w:t>16</w:t>
            </w:r>
          </w:p>
        </w:tc>
        <w:tc>
          <w:tcPr>
            <w:tcW w:w="1845" w:type="dxa"/>
            <w:tcBorders>
              <w:top w:val="single" w:sz="8" w:space="0" w:color="auto"/>
              <w:left w:val="nil"/>
              <w:bottom w:val="single" w:sz="4" w:space="0" w:color="auto"/>
              <w:right w:val="single" w:sz="8" w:space="0" w:color="auto"/>
            </w:tcBorders>
            <w:shd w:val="clear" w:color="000000" w:fill="FFFFFF"/>
            <w:vAlign w:val="bottom"/>
          </w:tcPr>
          <w:p w14:paraId="612BA2FD" w14:textId="4D849C5E" w:rsidR="00537761" w:rsidRPr="008F43C6" w:rsidRDefault="00D234BB" w:rsidP="002731C8">
            <w:pPr>
              <w:spacing w:before="120" w:after="0"/>
              <w:jc w:val="center"/>
              <w:rPr>
                <w:rFonts w:asciiTheme="majorHAnsi" w:hAnsiTheme="majorHAnsi" w:cstheme="majorHAnsi"/>
              </w:rPr>
            </w:pPr>
            <w:r>
              <w:rPr>
                <w:rFonts w:cs="Calibri"/>
                <w:color w:val="000000"/>
              </w:rPr>
              <w:t>51.8%</w:t>
            </w:r>
          </w:p>
        </w:tc>
      </w:tr>
      <w:tr w:rsidR="00537761" w:rsidRPr="003F32F8" w14:paraId="064EAD03" w14:textId="77777777" w:rsidTr="00551ACB">
        <w:trPr>
          <w:trHeight w:val="432"/>
          <w:jc w:val="center"/>
        </w:trPr>
        <w:tc>
          <w:tcPr>
            <w:tcW w:w="1524" w:type="dxa"/>
            <w:vMerge/>
            <w:tcBorders>
              <w:left w:val="single" w:sz="8" w:space="0" w:color="auto"/>
              <w:right w:val="single" w:sz="8" w:space="0" w:color="auto"/>
            </w:tcBorders>
            <w:shd w:val="clear" w:color="auto" w:fill="auto"/>
            <w:vAlign w:val="center"/>
          </w:tcPr>
          <w:p w14:paraId="69C9ADFC" w14:textId="77777777" w:rsidR="00537761" w:rsidRPr="007E5631" w:rsidRDefault="00537761" w:rsidP="002731C8">
            <w:pPr>
              <w:spacing w:before="120" w:after="0"/>
              <w:jc w:val="center"/>
              <w:rPr>
                <w:rFonts w:asciiTheme="majorHAnsi" w:hAnsiTheme="majorHAnsi" w:cstheme="majorHAnsi"/>
                <w:b/>
              </w:rPr>
            </w:pPr>
          </w:p>
        </w:tc>
        <w:tc>
          <w:tcPr>
            <w:tcW w:w="4879" w:type="dxa"/>
            <w:tcBorders>
              <w:top w:val="single" w:sz="4" w:space="0" w:color="auto"/>
              <w:left w:val="single" w:sz="8" w:space="0" w:color="auto"/>
            </w:tcBorders>
            <w:shd w:val="clear" w:color="auto" w:fill="auto"/>
            <w:vAlign w:val="center"/>
          </w:tcPr>
          <w:p w14:paraId="792479FB" w14:textId="77777777" w:rsidR="00537761" w:rsidRPr="007E5631" w:rsidRDefault="00537761" w:rsidP="002731C8">
            <w:pPr>
              <w:spacing w:before="120" w:after="0"/>
              <w:ind w:left="144"/>
              <w:rPr>
                <w:rFonts w:asciiTheme="majorHAnsi" w:hAnsiTheme="majorHAnsi" w:cstheme="majorHAnsi"/>
              </w:rPr>
            </w:pPr>
            <w:r w:rsidRPr="007E5631">
              <w:rPr>
                <w:rFonts w:asciiTheme="majorHAnsi" w:hAnsiTheme="majorHAnsi" w:cstheme="majorHAnsi"/>
              </w:rPr>
              <w:t>Male</w:t>
            </w:r>
          </w:p>
        </w:tc>
        <w:tc>
          <w:tcPr>
            <w:tcW w:w="1822" w:type="dxa"/>
            <w:tcBorders>
              <w:top w:val="single" w:sz="4" w:space="0" w:color="auto"/>
              <w:left w:val="nil"/>
              <w:bottom w:val="single" w:sz="4" w:space="0" w:color="auto"/>
              <w:right w:val="single" w:sz="4" w:space="0" w:color="auto"/>
            </w:tcBorders>
            <w:shd w:val="clear" w:color="auto" w:fill="auto"/>
            <w:vAlign w:val="bottom"/>
          </w:tcPr>
          <w:p w14:paraId="07687F6F" w14:textId="62503D2F" w:rsidR="00537761" w:rsidRPr="008F43C6" w:rsidRDefault="00D234BB" w:rsidP="002731C8">
            <w:pPr>
              <w:spacing w:before="120" w:after="0"/>
              <w:jc w:val="center"/>
              <w:rPr>
                <w:rFonts w:asciiTheme="majorHAnsi" w:hAnsiTheme="majorHAnsi" w:cstheme="majorHAnsi"/>
              </w:rPr>
            </w:pPr>
            <w:r>
              <w:rPr>
                <w:rFonts w:asciiTheme="majorHAnsi" w:hAnsiTheme="majorHAnsi" w:cstheme="majorHAnsi"/>
              </w:rPr>
              <w:t>108</w:t>
            </w:r>
          </w:p>
        </w:tc>
        <w:tc>
          <w:tcPr>
            <w:tcW w:w="1845" w:type="dxa"/>
            <w:tcBorders>
              <w:top w:val="single" w:sz="4" w:space="0" w:color="auto"/>
              <w:left w:val="nil"/>
              <w:bottom w:val="single" w:sz="4" w:space="0" w:color="auto"/>
              <w:right w:val="single" w:sz="8" w:space="0" w:color="auto"/>
            </w:tcBorders>
            <w:shd w:val="clear" w:color="auto" w:fill="auto"/>
            <w:vAlign w:val="bottom"/>
          </w:tcPr>
          <w:p w14:paraId="4EED7281" w14:textId="4CD66CE9" w:rsidR="00537761" w:rsidRPr="008F43C6" w:rsidRDefault="00D234BB" w:rsidP="002731C8">
            <w:pPr>
              <w:spacing w:before="120" w:after="0"/>
              <w:jc w:val="center"/>
              <w:rPr>
                <w:rFonts w:asciiTheme="majorHAnsi" w:hAnsiTheme="majorHAnsi" w:cstheme="majorHAnsi"/>
              </w:rPr>
            </w:pPr>
            <w:r>
              <w:rPr>
                <w:rFonts w:asciiTheme="majorHAnsi" w:hAnsiTheme="majorHAnsi" w:cstheme="majorHAnsi"/>
              </w:rPr>
              <w:t>48.2%</w:t>
            </w:r>
          </w:p>
        </w:tc>
      </w:tr>
      <w:tr w:rsidR="00537761" w:rsidRPr="003F32F8" w14:paraId="1A2183C7" w14:textId="77777777" w:rsidTr="00551ACB">
        <w:trPr>
          <w:trHeight w:val="432"/>
          <w:jc w:val="center"/>
        </w:trPr>
        <w:tc>
          <w:tcPr>
            <w:tcW w:w="1524" w:type="dxa"/>
            <w:vMerge/>
            <w:tcBorders>
              <w:left w:val="single" w:sz="8" w:space="0" w:color="auto"/>
              <w:right w:val="single" w:sz="8" w:space="0" w:color="auto"/>
            </w:tcBorders>
            <w:shd w:val="clear" w:color="auto" w:fill="auto"/>
            <w:vAlign w:val="center"/>
          </w:tcPr>
          <w:p w14:paraId="7DD38285" w14:textId="77777777" w:rsidR="00537761" w:rsidRPr="007E5631" w:rsidRDefault="00537761" w:rsidP="002731C8">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36431530" w14:textId="4047E8E9" w:rsidR="00537761" w:rsidRPr="007E5631" w:rsidRDefault="00537761" w:rsidP="002731C8">
            <w:pPr>
              <w:spacing w:before="120" w:after="0"/>
              <w:ind w:left="144"/>
              <w:rPr>
                <w:rFonts w:asciiTheme="majorHAnsi" w:hAnsiTheme="majorHAnsi" w:cstheme="majorHAnsi"/>
              </w:rPr>
            </w:pPr>
            <w:r w:rsidRPr="007E5631">
              <w:rPr>
                <w:rFonts w:asciiTheme="majorHAnsi" w:hAnsiTheme="majorHAnsi" w:cstheme="majorHAnsi"/>
              </w:rPr>
              <w:t xml:space="preserve">Other </w:t>
            </w:r>
          </w:p>
        </w:tc>
        <w:tc>
          <w:tcPr>
            <w:tcW w:w="1822" w:type="dxa"/>
            <w:tcBorders>
              <w:top w:val="single" w:sz="4" w:space="0" w:color="auto"/>
              <w:left w:val="nil"/>
              <w:bottom w:val="single" w:sz="4" w:space="0" w:color="auto"/>
              <w:right w:val="single" w:sz="4" w:space="0" w:color="auto"/>
            </w:tcBorders>
            <w:shd w:val="clear" w:color="auto" w:fill="auto"/>
            <w:vAlign w:val="bottom"/>
          </w:tcPr>
          <w:p w14:paraId="4690A96E" w14:textId="651B61E9" w:rsidR="00537761" w:rsidRPr="008F43C6" w:rsidRDefault="00D234BB" w:rsidP="002731C8">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36C0B661" w14:textId="0C1233B0" w:rsidR="00537761" w:rsidRPr="008F43C6" w:rsidRDefault="00537761" w:rsidP="002731C8">
            <w:pPr>
              <w:spacing w:before="120" w:after="0"/>
              <w:jc w:val="center"/>
              <w:rPr>
                <w:rFonts w:asciiTheme="majorHAnsi" w:hAnsiTheme="majorHAnsi" w:cstheme="majorHAnsi"/>
              </w:rPr>
            </w:pPr>
            <w:r>
              <w:rPr>
                <w:rFonts w:cs="Calibri"/>
                <w:color w:val="000000"/>
              </w:rPr>
              <w:t>0.</w:t>
            </w:r>
            <w:r w:rsidR="00D234BB">
              <w:rPr>
                <w:rFonts w:cs="Calibri"/>
                <w:color w:val="000000"/>
              </w:rPr>
              <w:t>0</w:t>
            </w:r>
            <w:r>
              <w:rPr>
                <w:rFonts w:cs="Calibri"/>
                <w:color w:val="000000"/>
              </w:rPr>
              <w:t>%</w:t>
            </w:r>
          </w:p>
        </w:tc>
      </w:tr>
      <w:tr w:rsidR="00537761" w:rsidRPr="003F32F8" w14:paraId="6A3E94A8" w14:textId="77777777" w:rsidTr="00551ACB">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1B8F971E" w14:textId="77777777" w:rsidR="00537761" w:rsidRPr="007E5631" w:rsidRDefault="00537761" w:rsidP="002731C8">
            <w:pPr>
              <w:spacing w:before="120" w:after="0"/>
              <w:jc w:val="center"/>
              <w:rPr>
                <w:rFonts w:asciiTheme="majorHAnsi" w:hAnsiTheme="majorHAnsi" w:cstheme="majorHAnsi"/>
                <w:b/>
              </w:rPr>
            </w:pPr>
          </w:p>
        </w:tc>
        <w:tc>
          <w:tcPr>
            <w:tcW w:w="4879" w:type="dxa"/>
            <w:tcBorders>
              <w:left w:val="single" w:sz="8" w:space="0" w:color="auto"/>
              <w:bottom w:val="single" w:sz="8" w:space="0" w:color="auto"/>
            </w:tcBorders>
            <w:shd w:val="clear" w:color="auto" w:fill="auto"/>
            <w:vAlign w:val="center"/>
          </w:tcPr>
          <w:p w14:paraId="6EA528B9" w14:textId="7BD0CDD7" w:rsidR="00537761" w:rsidRPr="007E5631" w:rsidRDefault="00537761" w:rsidP="002731C8">
            <w:pPr>
              <w:spacing w:before="120" w:after="0"/>
              <w:ind w:left="144"/>
              <w:rPr>
                <w:rFonts w:asciiTheme="majorHAnsi" w:hAnsiTheme="majorHAnsi" w:cstheme="majorHAnsi"/>
              </w:rPr>
            </w:pPr>
            <w:r w:rsidRPr="007E5631">
              <w:rPr>
                <w:rFonts w:asciiTheme="majorHAnsi" w:hAnsiTheme="majorHAnsi" w:cstheme="majorHAnsi"/>
              </w:rPr>
              <w:t xml:space="preserve">Prefer not to answer </w:t>
            </w:r>
          </w:p>
        </w:tc>
        <w:tc>
          <w:tcPr>
            <w:tcW w:w="1822" w:type="dxa"/>
            <w:tcBorders>
              <w:top w:val="single" w:sz="4" w:space="0" w:color="auto"/>
              <w:left w:val="nil"/>
              <w:bottom w:val="single" w:sz="8" w:space="0" w:color="auto"/>
              <w:right w:val="single" w:sz="4" w:space="0" w:color="auto"/>
            </w:tcBorders>
            <w:shd w:val="clear" w:color="auto" w:fill="auto"/>
            <w:vAlign w:val="bottom"/>
          </w:tcPr>
          <w:p w14:paraId="51183558" w14:textId="49259D71" w:rsidR="00537761" w:rsidRPr="008F43C6" w:rsidRDefault="00537761" w:rsidP="002731C8">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8" w:space="0" w:color="auto"/>
              <w:right w:val="single" w:sz="8" w:space="0" w:color="auto"/>
            </w:tcBorders>
            <w:shd w:val="clear" w:color="auto" w:fill="auto"/>
            <w:vAlign w:val="bottom"/>
          </w:tcPr>
          <w:p w14:paraId="28C35FCA" w14:textId="00699001" w:rsidR="00537761" w:rsidRPr="008F43C6" w:rsidRDefault="00537761" w:rsidP="002731C8">
            <w:pPr>
              <w:spacing w:before="120" w:after="0"/>
              <w:jc w:val="center"/>
              <w:rPr>
                <w:rFonts w:asciiTheme="majorHAnsi" w:hAnsiTheme="majorHAnsi" w:cstheme="majorHAnsi"/>
              </w:rPr>
            </w:pPr>
            <w:r>
              <w:rPr>
                <w:rFonts w:cs="Calibri"/>
                <w:color w:val="000000"/>
              </w:rPr>
              <w:t>0.0%</w:t>
            </w:r>
          </w:p>
        </w:tc>
      </w:tr>
      <w:tr w:rsidR="00B41D8D" w:rsidRPr="003F32F8" w14:paraId="0EDF372A" w14:textId="77777777" w:rsidTr="00551ACB">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13500005" w14:textId="77777777" w:rsidR="00B41D8D" w:rsidRPr="007E5631" w:rsidRDefault="00B41D8D" w:rsidP="00B41D8D">
            <w:pPr>
              <w:spacing w:before="120" w:after="0"/>
              <w:jc w:val="center"/>
              <w:rPr>
                <w:rFonts w:asciiTheme="majorHAnsi" w:hAnsiTheme="majorHAnsi" w:cstheme="majorHAnsi"/>
                <w:b/>
              </w:rPr>
            </w:pPr>
            <w:r w:rsidRPr="007E5631">
              <w:rPr>
                <w:rFonts w:asciiTheme="majorHAnsi" w:hAnsiTheme="majorHAnsi" w:cstheme="majorHAnsi"/>
                <w:b/>
              </w:rPr>
              <w:t>Age</w:t>
            </w:r>
          </w:p>
        </w:tc>
        <w:tc>
          <w:tcPr>
            <w:tcW w:w="4879" w:type="dxa"/>
            <w:tcBorders>
              <w:top w:val="single" w:sz="8" w:space="0" w:color="auto"/>
              <w:left w:val="single" w:sz="8" w:space="0" w:color="auto"/>
            </w:tcBorders>
            <w:shd w:val="clear" w:color="auto" w:fill="auto"/>
            <w:vAlign w:val="center"/>
          </w:tcPr>
          <w:p w14:paraId="7F1D6E91" w14:textId="385DBF38" w:rsidR="00B41D8D" w:rsidRPr="007E5631" w:rsidRDefault="00B41D8D" w:rsidP="00B41D8D">
            <w:pPr>
              <w:spacing w:before="0" w:after="0" w:line="240" w:lineRule="auto"/>
              <w:rPr>
                <w:rFonts w:asciiTheme="majorHAnsi" w:hAnsiTheme="majorHAnsi" w:cstheme="majorHAnsi"/>
              </w:rPr>
            </w:pPr>
            <w:r w:rsidRPr="007E5631">
              <w:rPr>
                <w:rFonts w:asciiTheme="majorHAnsi" w:hAnsiTheme="majorHAnsi" w:cstheme="majorHAnsi"/>
              </w:rPr>
              <w:t xml:space="preserve">  13 and under</w:t>
            </w:r>
          </w:p>
        </w:tc>
        <w:tc>
          <w:tcPr>
            <w:tcW w:w="1822" w:type="dxa"/>
            <w:tcBorders>
              <w:top w:val="single" w:sz="8" w:space="0" w:color="auto"/>
              <w:left w:val="nil"/>
              <w:bottom w:val="nil"/>
              <w:right w:val="single" w:sz="4" w:space="0" w:color="auto"/>
            </w:tcBorders>
            <w:shd w:val="clear" w:color="auto" w:fill="auto"/>
            <w:vAlign w:val="bottom"/>
          </w:tcPr>
          <w:p w14:paraId="2727BE11" w14:textId="2C4C96F0" w:rsidR="00B41D8D" w:rsidRPr="008F43C6" w:rsidRDefault="00B41D8D" w:rsidP="00B41D8D">
            <w:pPr>
              <w:spacing w:before="120" w:after="0"/>
              <w:jc w:val="center"/>
              <w:rPr>
                <w:rFonts w:asciiTheme="majorHAnsi" w:hAnsiTheme="majorHAnsi" w:cstheme="majorHAnsi"/>
              </w:rPr>
            </w:pPr>
            <w:r>
              <w:rPr>
                <w:rFonts w:cs="Calibri"/>
                <w:color w:val="000000"/>
              </w:rPr>
              <w:t>221</w:t>
            </w:r>
          </w:p>
        </w:tc>
        <w:tc>
          <w:tcPr>
            <w:tcW w:w="1845" w:type="dxa"/>
            <w:tcBorders>
              <w:top w:val="single" w:sz="8" w:space="0" w:color="auto"/>
              <w:left w:val="nil"/>
              <w:bottom w:val="nil"/>
              <w:right w:val="single" w:sz="8" w:space="0" w:color="auto"/>
            </w:tcBorders>
            <w:shd w:val="clear" w:color="auto" w:fill="auto"/>
            <w:vAlign w:val="bottom"/>
          </w:tcPr>
          <w:p w14:paraId="3AB362B9" w14:textId="759049A8" w:rsidR="00B41D8D" w:rsidRPr="008F43C6" w:rsidRDefault="00B41D8D" w:rsidP="00B41D8D">
            <w:pPr>
              <w:spacing w:before="120" w:after="0"/>
              <w:jc w:val="center"/>
              <w:rPr>
                <w:rFonts w:asciiTheme="majorHAnsi" w:hAnsiTheme="majorHAnsi" w:cstheme="majorHAnsi"/>
              </w:rPr>
            </w:pPr>
            <w:r>
              <w:rPr>
                <w:rFonts w:cs="Calibri"/>
                <w:color w:val="000000"/>
              </w:rPr>
              <w:t>98.7%</w:t>
            </w:r>
          </w:p>
        </w:tc>
      </w:tr>
      <w:tr w:rsidR="00B41D8D" w:rsidRPr="003F32F8" w14:paraId="5F22C17B"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24540593" w14:textId="77777777" w:rsidR="00B41D8D" w:rsidRPr="007E5631" w:rsidRDefault="00B41D8D" w:rsidP="00B41D8D">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46669E89" w14:textId="033D4989" w:rsidR="00B41D8D" w:rsidRPr="007E5631" w:rsidRDefault="00B41D8D" w:rsidP="00B41D8D">
            <w:pPr>
              <w:spacing w:before="120" w:after="0"/>
              <w:rPr>
                <w:rFonts w:asciiTheme="majorHAnsi" w:hAnsiTheme="majorHAnsi" w:cstheme="majorHAnsi"/>
              </w:rPr>
            </w:pPr>
            <w:r w:rsidRPr="007E5631">
              <w:rPr>
                <w:rFonts w:asciiTheme="majorHAnsi" w:hAnsiTheme="majorHAnsi" w:cstheme="majorHAnsi"/>
              </w:rPr>
              <w:t xml:space="preserve">  14 – 15</w:t>
            </w:r>
          </w:p>
        </w:tc>
        <w:tc>
          <w:tcPr>
            <w:tcW w:w="1822" w:type="dxa"/>
            <w:tcBorders>
              <w:top w:val="single" w:sz="4" w:space="0" w:color="auto"/>
              <w:left w:val="nil"/>
              <w:bottom w:val="single" w:sz="4" w:space="0" w:color="auto"/>
              <w:right w:val="single" w:sz="4" w:space="0" w:color="auto"/>
            </w:tcBorders>
            <w:shd w:val="clear" w:color="auto" w:fill="auto"/>
            <w:vAlign w:val="bottom"/>
          </w:tcPr>
          <w:p w14:paraId="69DCC835" w14:textId="69BD0869" w:rsidR="00B41D8D" w:rsidRPr="008F43C6" w:rsidRDefault="00B41D8D" w:rsidP="00B41D8D">
            <w:pPr>
              <w:spacing w:before="120" w:after="0"/>
              <w:jc w:val="center"/>
              <w:rPr>
                <w:rFonts w:asciiTheme="majorHAnsi" w:hAnsiTheme="majorHAnsi" w:cstheme="majorHAnsi"/>
              </w:rPr>
            </w:pPr>
            <w:r>
              <w:rPr>
                <w:rFonts w:cs="Calibri"/>
                <w:color w:val="000000"/>
              </w:rPr>
              <w:t>2</w:t>
            </w:r>
          </w:p>
        </w:tc>
        <w:tc>
          <w:tcPr>
            <w:tcW w:w="1845" w:type="dxa"/>
            <w:tcBorders>
              <w:top w:val="single" w:sz="4" w:space="0" w:color="auto"/>
              <w:left w:val="nil"/>
              <w:bottom w:val="single" w:sz="4" w:space="0" w:color="auto"/>
              <w:right w:val="single" w:sz="8" w:space="0" w:color="auto"/>
            </w:tcBorders>
            <w:shd w:val="clear" w:color="auto" w:fill="auto"/>
            <w:vAlign w:val="bottom"/>
          </w:tcPr>
          <w:p w14:paraId="55F97C4F" w14:textId="44ABDD2B" w:rsidR="00B41D8D" w:rsidRPr="008F43C6" w:rsidRDefault="00B41D8D" w:rsidP="00B41D8D">
            <w:pPr>
              <w:spacing w:before="120" w:after="0"/>
              <w:jc w:val="center"/>
              <w:rPr>
                <w:rFonts w:asciiTheme="majorHAnsi" w:hAnsiTheme="majorHAnsi" w:cstheme="majorHAnsi"/>
              </w:rPr>
            </w:pPr>
            <w:r>
              <w:rPr>
                <w:rFonts w:cs="Calibri"/>
                <w:color w:val="000000"/>
              </w:rPr>
              <w:t>0.9%</w:t>
            </w:r>
          </w:p>
        </w:tc>
      </w:tr>
      <w:tr w:rsidR="00B41D8D" w:rsidRPr="003F32F8" w14:paraId="4D28D854"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53658345" w14:textId="77777777" w:rsidR="00B41D8D" w:rsidRPr="007E5631" w:rsidRDefault="00B41D8D" w:rsidP="00B41D8D">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869C402" w14:textId="613AC7E3" w:rsidR="00B41D8D" w:rsidRPr="007E5631" w:rsidRDefault="00B41D8D" w:rsidP="00B41D8D">
            <w:pPr>
              <w:spacing w:before="120" w:after="0"/>
              <w:rPr>
                <w:rFonts w:asciiTheme="majorHAnsi" w:hAnsiTheme="majorHAnsi" w:cstheme="majorHAnsi"/>
              </w:rPr>
            </w:pPr>
            <w:r w:rsidRPr="007E5631">
              <w:rPr>
                <w:rFonts w:asciiTheme="majorHAnsi" w:hAnsiTheme="majorHAnsi" w:cstheme="majorHAnsi"/>
              </w:rPr>
              <w:t xml:space="preserve">  16 – 17</w:t>
            </w:r>
          </w:p>
        </w:tc>
        <w:tc>
          <w:tcPr>
            <w:tcW w:w="1822" w:type="dxa"/>
            <w:tcBorders>
              <w:top w:val="single" w:sz="4" w:space="0" w:color="auto"/>
              <w:left w:val="nil"/>
              <w:bottom w:val="single" w:sz="4" w:space="0" w:color="auto"/>
              <w:right w:val="single" w:sz="4" w:space="0" w:color="auto"/>
            </w:tcBorders>
            <w:shd w:val="clear" w:color="auto" w:fill="auto"/>
            <w:vAlign w:val="bottom"/>
          </w:tcPr>
          <w:p w14:paraId="0C9167AE" w14:textId="7E1A2783" w:rsidR="00B41D8D" w:rsidRPr="008F43C6" w:rsidRDefault="00B41D8D" w:rsidP="00B41D8D">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414347DE" w14:textId="35231D64" w:rsidR="00B41D8D" w:rsidRPr="008F43C6" w:rsidRDefault="00B41D8D" w:rsidP="00B41D8D">
            <w:pPr>
              <w:spacing w:before="120" w:after="0"/>
              <w:jc w:val="center"/>
              <w:rPr>
                <w:rFonts w:asciiTheme="majorHAnsi" w:hAnsiTheme="majorHAnsi" w:cstheme="majorHAnsi"/>
              </w:rPr>
            </w:pPr>
            <w:r>
              <w:rPr>
                <w:rFonts w:cs="Calibri"/>
                <w:color w:val="000000"/>
              </w:rPr>
              <w:t>0.0%</w:t>
            </w:r>
          </w:p>
        </w:tc>
      </w:tr>
      <w:tr w:rsidR="00B41D8D" w:rsidRPr="003F32F8" w14:paraId="04301028"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32FFEFB3" w14:textId="77777777" w:rsidR="00B41D8D" w:rsidRPr="007E5631" w:rsidRDefault="00B41D8D" w:rsidP="00B41D8D">
            <w:pPr>
              <w:spacing w:before="120" w:after="0"/>
              <w:jc w:val="center"/>
              <w:rPr>
                <w:rFonts w:asciiTheme="majorHAnsi" w:hAnsiTheme="majorHAnsi" w:cstheme="majorHAnsi"/>
                <w:b/>
              </w:rPr>
            </w:pPr>
          </w:p>
        </w:tc>
        <w:tc>
          <w:tcPr>
            <w:tcW w:w="4879" w:type="dxa"/>
            <w:tcBorders>
              <w:left w:val="single" w:sz="8" w:space="0" w:color="auto"/>
              <w:bottom w:val="single" w:sz="4" w:space="0" w:color="auto"/>
            </w:tcBorders>
            <w:shd w:val="clear" w:color="auto" w:fill="auto"/>
            <w:vAlign w:val="center"/>
          </w:tcPr>
          <w:p w14:paraId="1F9B700F" w14:textId="61374EC7" w:rsidR="00B41D8D" w:rsidRPr="007E5631" w:rsidRDefault="00B41D8D" w:rsidP="00B41D8D">
            <w:pPr>
              <w:spacing w:before="120" w:after="0"/>
              <w:rPr>
                <w:rFonts w:asciiTheme="majorHAnsi" w:hAnsiTheme="majorHAnsi" w:cstheme="majorHAnsi"/>
              </w:rPr>
            </w:pPr>
            <w:r w:rsidRPr="007E5631">
              <w:rPr>
                <w:rFonts w:asciiTheme="majorHAnsi" w:hAnsiTheme="majorHAnsi" w:cstheme="majorHAnsi"/>
              </w:rPr>
              <w:t xml:space="preserve">  18</w:t>
            </w:r>
            <w:r>
              <w:rPr>
                <w:rFonts w:asciiTheme="majorHAnsi" w:hAnsiTheme="majorHAnsi" w:cstheme="majorHAnsi"/>
              </w:rPr>
              <w:t xml:space="preserve"> – 19 </w:t>
            </w:r>
          </w:p>
        </w:tc>
        <w:tc>
          <w:tcPr>
            <w:tcW w:w="1822" w:type="dxa"/>
            <w:tcBorders>
              <w:top w:val="single" w:sz="4" w:space="0" w:color="auto"/>
              <w:left w:val="nil"/>
              <w:bottom w:val="single" w:sz="4" w:space="0" w:color="auto"/>
              <w:right w:val="single" w:sz="4" w:space="0" w:color="auto"/>
            </w:tcBorders>
            <w:shd w:val="clear" w:color="auto" w:fill="auto"/>
            <w:vAlign w:val="bottom"/>
          </w:tcPr>
          <w:p w14:paraId="2926B49C" w14:textId="5E8CDF2E" w:rsidR="00B41D8D" w:rsidRPr="008F43C6" w:rsidRDefault="00B41D8D" w:rsidP="00B41D8D">
            <w:pPr>
              <w:spacing w:before="120" w:after="0"/>
              <w:jc w:val="center"/>
              <w:rPr>
                <w:rFonts w:asciiTheme="majorHAnsi" w:hAnsiTheme="majorHAnsi" w:cstheme="majorHAnsi"/>
              </w:rPr>
            </w:pPr>
            <w:r>
              <w:rPr>
                <w:rFonts w:cs="Calibri"/>
                <w:color w:val="000000"/>
              </w:rPr>
              <w:t>1</w:t>
            </w:r>
          </w:p>
        </w:tc>
        <w:tc>
          <w:tcPr>
            <w:tcW w:w="1845" w:type="dxa"/>
            <w:tcBorders>
              <w:top w:val="single" w:sz="4" w:space="0" w:color="auto"/>
              <w:left w:val="nil"/>
              <w:bottom w:val="single" w:sz="4" w:space="0" w:color="auto"/>
              <w:right w:val="single" w:sz="8" w:space="0" w:color="auto"/>
            </w:tcBorders>
            <w:shd w:val="clear" w:color="auto" w:fill="auto"/>
            <w:vAlign w:val="bottom"/>
          </w:tcPr>
          <w:p w14:paraId="4CEB9140" w14:textId="7E35EA97" w:rsidR="00B41D8D" w:rsidRPr="008F43C6" w:rsidRDefault="00B41D8D" w:rsidP="00B41D8D">
            <w:pPr>
              <w:spacing w:before="120" w:after="0"/>
              <w:jc w:val="center"/>
              <w:rPr>
                <w:rFonts w:asciiTheme="majorHAnsi" w:hAnsiTheme="majorHAnsi" w:cstheme="majorHAnsi"/>
              </w:rPr>
            </w:pPr>
            <w:r>
              <w:rPr>
                <w:rFonts w:cs="Calibri"/>
                <w:color w:val="000000"/>
              </w:rPr>
              <w:t>0.4%</w:t>
            </w:r>
          </w:p>
        </w:tc>
      </w:tr>
      <w:tr w:rsidR="00B41D8D" w:rsidRPr="003F32F8" w14:paraId="445BD784" w14:textId="77777777" w:rsidTr="006E7EC2">
        <w:trPr>
          <w:trHeight w:val="432"/>
          <w:jc w:val="center"/>
        </w:trPr>
        <w:tc>
          <w:tcPr>
            <w:tcW w:w="1524" w:type="dxa"/>
            <w:vMerge/>
            <w:tcBorders>
              <w:left w:val="single" w:sz="8" w:space="0" w:color="auto"/>
              <w:right w:val="single" w:sz="8" w:space="0" w:color="auto"/>
            </w:tcBorders>
            <w:shd w:val="clear" w:color="auto" w:fill="auto"/>
            <w:vAlign w:val="center"/>
          </w:tcPr>
          <w:p w14:paraId="42E88215" w14:textId="77777777" w:rsidR="00B41D8D" w:rsidRPr="007E5631" w:rsidRDefault="00B41D8D" w:rsidP="00B41D8D">
            <w:pPr>
              <w:spacing w:before="120" w:after="0"/>
              <w:jc w:val="center"/>
              <w:rPr>
                <w:rFonts w:asciiTheme="majorHAnsi" w:hAnsiTheme="majorHAnsi" w:cstheme="majorHAnsi"/>
                <w:b/>
              </w:rPr>
            </w:pPr>
          </w:p>
        </w:tc>
        <w:tc>
          <w:tcPr>
            <w:tcW w:w="4879" w:type="dxa"/>
            <w:tcBorders>
              <w:left w:val="single" w:sz="8" w:space="0" w:color="auto"/>
              <w:bottom w:val="single" w:sz="8" w:space="0" w:color="auto"/>
            </w:tcBorders>
            <w:shd w:val="clear" w:color="auto" w:fill="auto"/>
            <w:vAlign w:val="center"/>
          </w:tcPr>
          <w:p w14:paraId="6CD33844" w14:textId="79B013F2" w:rsidR="00B41D8D" w:rsidRPr="007E5631" w:rsidRDefault="00B41D8D" w:rsidP="00B41D8D">
            <w:pPr>
              <w:spacing w:before="120" w:after="0"/>
              <w:rPr>
                <w:rFonts w:asciiTheme="majorHAnsi" w:hAnsiTheme="majorHAnsi" w:cstheme="majorHAnsi"/>
              </w:rPr>
            </w:pPr>
            <w:r>
              <w:rPr>
                <w:rFonts w:asciiTheme="majorHAnsi" w:hAnsiTheme="majorHAnsi" w:cstheme="majorHAnsi"/>
              </w:rPr>
              <w:t xml:space="preserve">20 – 21 </w:t>
            </w:r>
          </w:p>
        </w:tc>
        <w:tc>
          <w:tcPr>
            <w:tcW w:w="1822" w:type="dxa"/>
            <w:tcBorders>
              <w:top w:val="single" w:sz="4" w:space="0" w:color="auto"/>
              <w:left w:val="nil"/>
              <w:bottom w:val="single" w:sz="8" w:space="0" w:color="auto"/>
              <w:right w:val="single" w:sz="4" w:space="0" w:color="auto"/>
            </w:tcBorders>
            <w:shd w:val="clear" w:color="auto" w:fill="auto"/>
            <w:vAlign w:val="bottom"/>
          </w:tcPr>
          <w:p w14:paraId="7E228455" w14:textId="3A9903D1" w:rsidR="00B41D8D" w:rsidRPr="008F43C6" w:rsidRDefault="00B41D8D" w:rsidP="00B41D8D">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8" w:space="0" w:color="auto"/>
              <w:right w:val="single" w:sz="8" w:space="0" w:color="auto"/>
            </w:tcBorders>
            <w:shd w:val="clear" w:color="auto" w:fill="auto"/>
            <w:vAlign w:val="bottom"/>
          </w:tcPr>
          <w:p w14:paraId="0D3BA5FF" w14:textId="404B1B5B" w:rsidR="00B41D8D" w:rsidRPr="008F43C6" w:rsidRDefault="00B41D8D" w:rsidP="00B41D8D">
            <w:pPr>
              <w:spacing w:before="120" w:after="0"/>
              <w:jc w:val="center"/>
              <w:rPr>
                <w:rFonts w:asciiTheme="majorHAnsi" w:hAnsiTheme="majorHAnsi" w:cstheme="majorHAnsi"/>
              </w:rPr>
            </w:pPr>
            <w:r>
              <w:rPr>
                <w:rFonts w:cs="Calibri"/>
                <w:color w:val="000000"/>
              </w:rPr>
              <w:t>0.0%</w:t>
            </w:r>
          </w:p>
        </w:tc>
      </w:tr>
      <w:tr w:rsidR="00B41D8D" w:rsidRPr="003F32F8" w14:paraId="518AC0FD" w14:textId="77777777" w:rsidTr="0058485C">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662CA933" w14:textId="77777777" w:rsidR="00B41D8D" w:rsidRPr="007E5631" w:rsidRDefault="00B41D8D" w:rsidP="00B41D8D">
            <w:pPr>
              <w:spacing w:before="120" w:after="0"/>
              <w:jc w:val="center"/>
              <w:rPr>
                <w:rFonts w:asciiTheme="majorHAnsi" w:hAnsiTheme="majorHAnsi" w:cstheme="majorHAnsi"/>
                <w:b/>
              </w:rPr>
            </w:pPr>
          </w:p>
        </w:tc>
        <w:tc>
          <w:tcPr>
            <w:tcW w:w="4879" w:type="dxa"/>
            <w:tcBorders>
              <w:left w:val="single" w:sz="8" w:space="0" w:color="auto"/>
              <w:bottom w:val="single" w:sz="8" w:space="0" w:color="auto"/>
            </w:tcBorders>
            <w:shd w:val="clear" w:color="auto" w:fill="auto"/>
            <w:vAlign w:val="center"/>
          </w:tcPr>
          <w:p w14:paraId="5A64029C" w14:textId="47DD1700" w:rsidR="00B41D8D" w:rsidRDefault="00B41D8D" w:rsidP="00B41D8D">
            <w:pPr>
              <w:spacing w:before="120" w:after="0"/>
              <w:rPr>
                <w:rFonts w:asciiTheme="majorHAnsi" w:hAnsiTheme="majorHAnsi" w:cstheme="majorHAnsi"/>
              </w:rPr>
            </w:pPr>
            <w:r>
              <w:rPr>
                <w:rFonts w:asciiTheme="majorHAnsi" w:hAnsiTheme="majorHAnsi" w:cstheme="majorHAnsi"/>
              </w:rPr>
              <w:t>22 – 24</w:t>
            </w:r>
          </w:p>
        </w:tc>
        <w:tc>
          <w:tcPr>
            <w:tcW w:w="1822" w:type="dxa"/>
            <w:tcBorders>
              <w:top w:val="single" w:sz="4" w:space="0" w:color="auto"/>
              <w:left w:val="nil"/>
              <w:bottom w:val="single" w:sz="8" w:space="0" w:color="auto"/>
              <w:right w:val="single" w:sz="4" w:space="0" w:color="auto"/>
            </w:tcBorders>
            <w:shd w:val="clear" w:color="auto" w:fill="auto"/>
            <w:vAlign w:val="bottom"/>
          </w:tcPr>
          <w:p w14:paraId="49C508E4" w14:textId="1C654FA6" w:rsidR="00B41D8D" w:rsidRDefault="00B41D8D" w:rsidP="00B41D8D">
            <w:pPr>
              <w:spacing w:before="120" w:after="0"/>
              <w:jc w:val="center"/>
              <w:rPr>
                <w:rFonts w:cs="Calibri"/>
                <w:color w:val="000000"/>
              </w:rPr>
            </w:pPr>
            <w:r>
              <w:rPr>
                <w:rFonts w:cs="Calibri"/>
                <w:color w:val="000000"/>
              </w:rPr>
              <w:t>0</w:t>
            </w:r>
          </w:p>
        </w:tc>
        <w:tc>
          <w:tcPr>
            <w:tcW w:w="1845" w:type="dxa"/>
            <w:tcBorders>
              <w:top w:val="single" w:sz="4" w:space="0" w:color="auto"/>
              <w:left w:val="nil"/>
              <w:bottom w:val="single" w:sz="8" w:space="0" w:color="auto"/>
              <w:right w:val="single" w:sz="8" w:space="0" w:color="auto"/>
            </w:tcBorders>
            <w:shd w:val="clear" w:color="auto" w:fill="auto"/>
            <w:vAlign w:val="bottom"/>
          </w:tcPr>
          <w:p w14:paraId="26F2F416" w14:textId="75AD41C2" w:rsidR="00B41D8D" w:rsidRDefault="00B41D8D" w:rsidP="00B41D8D">
            <w:pPr>
              <w:spacing w:before="120" w:after="0"/>
              <w:jc w:val="center"/>
              <w:rPr>
                <w:rFonts w:cs="Calibri"/>
                <w:color w:val="000000"/>
              </w:rPr>
            </w:pPr>
            <w:r>
              <w:rPr>
                <w:rFonts w:cs="Calibri"/>
                <w:color w:val="000000"/>
              </w:rPr>
              <w:t>0.0%</w:t>
            </w:r>
          </w:p>
        </w:tc>
      </w:tr>
      <w:tr w:rsidR="00B41D8D" w:rsidRPr="00860ECC" w14:paraId="2F09EEEC" w14:textId="77777777" w:rsidTr="008F43C6">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61380034" w14:textId="7A849FED" w:rsidR="00B41D8D" w:rsidRPr="007E5631" w:rsidRDefault="00B41D8D" w:rsidP="00B41D8D">
            <w:pPr>
              <w:spacing w:before="120" w:after="0"/>
              <w:jc w:val="center"/>
              <w:rPr>
                <w:rFonts w:asciiTheme="majorHAnsi" w:hAnsiTheme="majorHAnsi" w:cstheme="majorHAnsi"/>
                <w:b/>
              </w:rPr>
            </w:pPr>
            <w:r w:rsidRPr="007E5631">
              <w:rPr>
                <w:rFonts w:asciiTheme="majorHAnsi" w:hAnsiTheme="majorHAnsi" w:cstheme="majorHAnsi"/>
                <w:b/>
              </w:rPr>
              <w:t>Ethnicity /Race</w:t>
            </w:r>
          </w:p>
        </w:tc>
        <w:tc>
          <w:tcPr>
            <w:tcW w:w="4879" w:type="dxa"/>
            <w:tcBorders>
              <w:top w:val="single" w:sz="8" w:space="0" w:color="auto"/>
              <w:left w:val="single" w:sz="8" w:space="0" w:color="auto"/>
            </w:tcBorders>
            <w:shd w:val="clear" w:color="auto" w:fill="auto"/>
            <w:vAlign w:val="center"/>
          </w:tcPr>
          <w:p w14:paraId="3C6CAC00" w14:textId="68EC114D" w:rsidR="00B41D8D" w:rsidRPr="007E5631" w:rsidRDefault="00B41D8D" w:rsidP="00B41D8D">
            <w:pPr>
              <w:spacing w:before="120" w:after="0"/>
              <w:ind w:left="144"/>
              <w:rPr>
                <w:rFonts w:asciiTheme="majorHAnsi" w:hAnsiTheme="majorHAnsi" w:cstheme="majorHAnsi"/>
              </w:rPr>
            </w:pPr>
            <w:r w:rsidRPr="007E5631">
              <w:rPr>
                <w:rFonts w:asciiTheme="majorHAnsi" w:hAnsiTheme="majorHAnsi" w:cstheme="majorHAnsi"/>
              </w:rPr>
              <w:t>Hispanic/Latino</w:t>
            </w:r>
          </w:p>
        </w:tc>
        <w:tc>
          <w:tcPr>
            <w:tcW w:w="1822" w:type="dxa"/>
            <w:tcBorders>
              <w:top w:val="single" w:sz="8" w:space="0" w:color="auto"/>
              <w:left w:val="nil"/>
              <w:bottom w:val="single" w:sz="4" w:space="0" w:color="auto"/>
              <w:right w:val="single" w:sz="4" w:space="0" w:color="auto"/>
            </w:tcBorders>
            <w:shd w:val="clear" w:color="000000" w:fill="FFFFFF"/>
            <w:vAlign w:val="bottom"/>
          </w:tcPr>
          <w:p w14:paraId="300F3F10" w14:textId="107BE320" w:rsidR="00B41D8D" w:rsidRPr="008F43C6" w:rsidRDefault="00B41D8D" w:rsidP="00B41D8D">
            <w:pPr>
              <w:spacing w:before="120" w:after="0"/>
              <w:jc w:val="center"/>
              <w:rPr>
                <w:rFonts w:asciiTheme="majorHAnsi" w:hAnsiTheme="majorHAnsi" w:cstheme="majorHAnsi"/>
              </w:rPr>
            </w:pPr>
            <w:r>
              <w:rPr>
                <w:rFonts w:cs="Calibri"/>
                <w:color w:val="000000"/>
              </w:rPr>
              <w:t>66</w:t>
            </w:r>
          </w:p>
        </w:tc>
        <w:tc>
          <w:tcPr>
            <w:tcW w:w="1845" w:type="dxa"/>
            <w:tcBorders>
              <w:top w:val="single" w:sz="8" w:space="0" w:color="auto"/>
              <w:left w:val="nil"/>
              <w:bottom w:val="single" w:sz="4" w:space="0" w:color="auto"/>
              <w:right w:val="single" w:sz="8" w:space="0" w:color="auto"/>
            </w:tcBorders>
            <w:shd w:val="clear" w:color="000000" w:fill="FFFFFF"/>
            <w:vAlign w:val="bottom"/>
          </w:tcPr>
          <w:p w14:paraId="53F31217" w14:textId="4F7265FC" w:rsidR="00B41D8D" w:rsidRPr="008F43C6" w:rsidRDefault="00B41D8D" w:rsidP="00B41D8D">
            <w:pPr>
              <w:spacing w:before="120" w:after="0"/>
              <w:jc w:val="center"/>
              <w:rPr>
                <w:rFonts w:asciiTheme="majorHAnsi" w:hAnsiTheme="majorHAnsi" w:cstheme="majorHAnsi"/>
              </w:rPr>
            </w:pPr>
            <w:r>
              <w:rPr>
                <w:rFonts w:cs="Calibri"/>
                <w:color w:val="000000"/>
              </w:rPr>
              <w:t>29.5%</w:t>
            </w:r>
          </w:p>
        </w:tc>
      </w:tr>
      <w:tr w:rsidR="00B41D8D" w:rsidRPr="00860ECC" w14:paraId="3E97F829"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2B1FA329" w14:textId="77777777" w:rsidR="00B41D8D" w:rsidRPr="007E5631" w:rsidRDefault="00B41D8D" w:rsidP="00B41D8D">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7C3240C" w14:textId="41F96653" w:rsidR="00B41D8D" w:rsidRPr="007E5631" w:rsidRDefault="00B41D8D" w:rsidP="00B41D8D">
            <w:pPr>
              <w:spacing w:before="120" w:after="0"/>
              <w:rPr>
                <w:rFonts w:asciiTheme="majorHAnsi" w:hAnsiTheme="majorHAnsi" w:cstheme="majorHAnsi"/>
              </w:rPr>
            </w:pPr>
            <w:r w:rsidRPr="007E5631">
              <w:rPr>
                <w:rFonts w:asciiTheme="majorHAnsi" w:hAnsiTheme="majorHAnsi" w:cstheme="majorHAnsi"/>
              </w:rPr>
              <w:t xml:space="preserve">   American Indian or Alaska Native</w:t>
            </w:r>
          </w:p>
        </w:tc>
        <w:tc>
          <w:tcPr>
            <w:tcW w:w="1822" w:type="dxa"/>
            <w:tcBorders>
              <w:top w:val="single" w:sz="4" w:space="0" w:color="auto"/>
              <w:left w:val="nil"/>
              <w:bottom w:val="single" w:sz="4" w:space="0" w:color="auto"/>
              <w:right w:val="single" w:sz="4" w:space="0" w:color="auto"/>
            </w:tcBorders>
            <w:shd w:val="clear" w:color="auto" w:fill="auto"/>
            <w:vAlign w:val="bottom"/>
          </w:tcPr>
          <w:p w14:paraId="144ADD7E" w14:textId="329BE1B4" w:rsidR="00B41D8D" w:rsidRPr="008F43C6" w:rsidRDefault="00B41D8D" w:rsidP="00B41D8D">
            <w:pPr>
              <w:spacing w:before="120" w:after="0"/>
              <w:jc w:val="center"/>
              <w:rPr>
                <w:rFonts w:asciiTheme="majorHAnsi" w:hAnsiTheme="majorHAnsi" w:cstheme="majorHAnsi"/>
              </w:rPr>
            </w:pPr>
            <w:r>
              <w:rPr>
                <w:rFonts w:cs="Calibri"/>
                <w:color w:val="000000"/>
              </w:rPr>
              <w:t>4</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171FEB70" w14:textId="11298713" w:rsidR="00B41D8D" w:rsidRPr="008F43C6" w:rsidRDefault="00B41D8D" w:rsidP="00B41D8D">
            <w:pPr>
              <w:spacing w:before="120" w:after="0"/>
              <w:jc w:val="center"/>
              <w:rPr>
                <w:rFonts w:asciiTheme="majorHAnsi" w:hAnsiTheme="majorHAnsi" w:cstheme="majorHAnsi"/>
              </w:rPr>
            </w:pPr>
            <w:r>
              <w:rPr>
                <w:rFonts w:cs="Calibri"/>
                <w:color w:val="000000"/>
              </w:rPr>
              <w:t>1.8%</w:t>
            </w:r>
          </w:p>
        </w:tc>
      </w:tr>
      <w:tr w:rsidR="00B41D8D" w:rsidRPr="00860ECC" w14:paraId="6807D7AE"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671819E1" w14:textId="77777777" w:rsidR="00B41D8D" w:rsidRPr="007E5631" w:rsidRDefault="00B41D8D" w:rsidP="00B41D8D">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2A5B68A" w14:textId="178CF60D" w:rsidR="00B41D8D" w:rsidRPr="007E5631" w:rsidRDefault="00B41D8D" w:rsidP="00B41D8D">
            <w:pPr>
              <w:spacing w:before="120" w:after="0"/>
              <w:ind w:left="144"/>
              <w:rPr>
                <w:rFonts w:asciiTheme="majorHAnsi" w:hAnsiTheme="majorHAnsi" w:cstheme="majorHAnsi"/>
              </w:rPr>
            </w:pPr>
            <w:r w:rsidRPr="007E5631">
              <w:rPr>
                <w:rFonts w:asciiTheme="majorHAnsi" w:hAnsiTheme="majorHAnsi" w:cstheme="majorHAnsi"/>
              </w:rPr>
              <w:t>Asian/Pacific Islander</w:t>
            </w:r>
          </w:p>
        </w:tc>
        <w:tc>
          <w:tcPr>
            <w:tcW w:w="1822" w:type="dxa"/>
            <w:tcBorders>
              <w:top w:val="single" w:sz="4" w:space="0" w:color="auto"/>
              <w:left w:val="nil"/>
              <w:bottom w:val="single" w:sz="4" w:space="0" w:color="auto"/>
              <w:right w:val="single" w:sz="4" w:space="0" w:color="auto"/>
            </w:tcBorders>
            <w:shd w:val="clear" w:color="auto" w:fill="auto"/>
            <w:vAlign w:val="bottom"/>
          </w:tcPr>
          <w:p w14:paraId="4A5891E4" w14:textId="1D334EDB" w:rsidR="00B41D8D" w:rsidRPr="008F43C6" w:rsidRDefault="00B41D8D" w:rsidP="00B41D8D">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42E1B5CA" w14:textId="3F58A13B" w:rsidR="00B41D8D" w:rsidRPr="008F43C6" w:rsidRDefault="00B41D8D" w:rsidP="00B41D8D">
            <w:pPr>
              <w:spacing w:before="120" w:after="0"/>
              <w:jc w:val="center"/>
              <w:rPr>
                <w:rFonts w:asciiTheme="majorHAnsi" w:hAnsiTheme="majorHAnsi" w:cstheme="majorHAnsi"/>
              </w:rPr>
            </w:pPr>
            <w:r>
              <w:rPr>
                <w:rFonts w:cs="Calibri"/>
                <w:color w:val="000000"/>
              </w:rPr>
              <w:t>0.0%</w:t>
            </w:r>
          </w:p>
        </w:tc>
      </w:tr>
      <w:tr w:rsidR="00B41D8D" w:rsidRPr="00860ECC" w14:paraId="17849A71"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0FEA0B20" w14:textId="77777777" w:rsidR="00B41D8D" w:rsidRPr="007E5631" w:rsidRDefault="00B41D8D" w:rsidP="00B41D8D">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0B98718" w14:textId="0ABA6E5B" w:rsidR="00B41D8D" w:rsidRPr="007E5631" w:rsidRDefault="00B41D8D" w:rsidP="00B41D8D">
            <w:pPr>
              <w:spacing w:before="120" w:after="0"/>
              <w:ind w:left="144"/>
              <w:rPr>
                <w:rFonts w:asciiTheme="majorHAnsi" w:hAnsiTheme="majorHAnsi" w:cstheme="majorHAnsi"/>
              </w:rPr>
            </w:pPr>
            <w:r w:rsidRPr="007E5631">
              <w:rPr>
                <w:rFonts w:asciiTheme="majorHAnsi" w:hAnsiTheme="majorHAnsi" w:cstheme="majorHAnsi"/>
              </w:rPr>
              <w:t>Black or African American</w:t>
            </w:r>
          </w:p>
        </w:tc>
        <w:tc>
          <w:tcPr>
            <w:tcW w:w="1822" w:type="dxa"/>
            <w:tcBorders>
              <w:top w:val="single" w:sz="4" w:space="0" w:color="auto"/>
              <w:left w:val="nil"/>
              <w:bottom w:val="single" w:sz="4" w:space="0" w:color="auto"/>
              <w:right w:val="single" w:sz="4" w:space="0" w:color="auto"/>
            </w:tcBorders>
            <w:shd w:val="clear" w:color="auto" w:fill="auto"/>
            <w:vAlign w:val="bottom"/>
          </w:tcPr>
          <w:p w14:paraId="08806D9A" w14:textId="765E51D4" w:rsidR="00B41D8D" w:rsidRPr="008F43C6" w:rsidRDefault="00B41D8D" w:rsidP="00B41D8D">
            <w:pPr>
              <w:spacing w:before="120" w:after="0"/>
              <w:jc w:val="center"/>
              <w:rPr>
                <w:rFonts w:asciiTheme="majorHAnsi" w:hAnsiTheme="majorHAnsi" w:cstheme="majorHAnsi"/>
              </w:rPr>
            </w:pPr>
            <w:r>
              <w:rPr>
                <w:rFonts w:cs="Calibri"/>
                <w:color w:val="000000"/>
              </w:rPr>
              <w:t>76</w:t>
            </w:r>
          </w:p>
        </w:tc>
        <w:tc>
          <w:tcPr>
            <w:tcW w:w="1845" w:type="dxa"/>
            <w:tcBorders>
              <w:top w:val="single" w:sz="4" w:space="0" w:color="auto"/>
              <w:left w:val="nil"/>
              <w:bottom w:val="single" w:sz="4" w:space="0" w:color="auto"/>
              <w:right w:val="single" w:sz="8" w:space="0" w:color="auto"/>
            </w:tcBorders>
            <w:shd w:val="clear" w:color="auto" w:fill="auto"/>
            <w:vAlign w:val="bottom"/>
          </w:tcPr>
          <w:p w14:paraId="41F9642B" w14:textId="20578155" w:rsidR="00B41D8D" w:rsidRPr="008F43C6" w:rsidRDefault="00B41D8D" w:rsidP="00B41D8D">
            <w:pPr>
              <w:spacing w:before="120" w:after="0"/>
              <w:jc w:val="center"/>
              <w:rPr>
                <w:rFonts w:asciiTheme="majorHAnsi" w:hAnsiTheme="majorHAnsi" w:cstheme="majorHAnsi"/>
              </w:rPr>
            </w:pPr>
            <w:r>
              <w:rPr>
                <w:rFonts w:cs="Calibri"/>
                <w:color w:val="000000"/>
              </w:rPr>
              <w:t>33.9%</w:t>
            </w:r>
          </w:p>
        </w:tc>
      </w:tr>
      <w:tr w:rsidR="00B41D8D" w:rsidRPr="00860ECC" w14:paraId="6DAEBA84"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5525AC34" w14:textId="77777777" w:rsidR="00B41D8D" w:rsidRPr="007E5631" w:rsidRDefault="00B41D8D" w:rsidP="00B41D8D">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14C27DA" w14:textId="7BC56FB1" w:rsidR="00B41D8D" w:rsidRPr="007E5631" w:rsidRDefault="00B41D8D" w:rsidP="00B41D8D">
            <w:pPr>
              <w:spacing w:before="120" w:after="0"/>
              <w:ind w:left="144"/>
              <w:rPr>
                <w:rFonts w:asciiTheme="majorHAnsi" w:hAnsiTheme="majorHAnsi" w:cstheme="majorHAnsi"/>
              </w:rPr>
            </w:pPr>
            <w:r w:rsidRPr="007E5631">
              <w:rPr>
                <w:rFonts w:asciiTheme="majorHAnsi" w:hAnsiTheme="majorHAnsi" w:cstheme="majorHAnsi"/>
              </w:rPr>
              <w:t>White</w:t>
            </w:r>
          </w:p>
        </w:tc>
        <w:tc>
          <w:tcPr>
            <w:tcW w:w="1822" w:type="dxa"/>
            <w:tcBorders>
              <w:top w:val="single" w:sz="4" w:space="0" w:color="auto"/>
              <w:left w:val="nil"/>
              <w:bottom w:val="single" w:sz="4" w:space="0" w:color="auto"/>
              <w:right w:val="single" w:sz="4" w:space="0" w:color="auto"/>
            </w:tcBorders>
            <w:shd w:val="clear" w:color="auto" w:fill="auto"/>
            <w:vAlign w:val="bottom"/>
          </w:tcPr>
          <w:p w14:paraId="01A18B53" w14:textId="79BDF8A6" w:rsidR="00B41D8D" w:rsidRPr="008F43C6" w:rsidRDefault="00B41D8D" w:rsidP="00B41D8D">
            <w:pPr>
              <w:spacing w:before="120" w:after="0"/>
              <w:jc w:val="center"/>
              <w:rPr>
                <w:rFonts w:asciiTheme="majorHAnsi" w:hAnsiTheme="majorHAnsi" w:cstheme="majorHAnsi"/>
              </w:rPr>
            </w:pPr>
            <w:r>
              <w:rPr>
                <w:rFonts w:cs="Calibri"/>
                <w:color w:val="000000"/>
              </w:rPr>
              <w:t>100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2D6A9A50" w14:textId="7262E76D" w:rsidR="00B41D8D" w:rsidRPr="008F43C6" w:rsidRDefault="00B41D8D" w:rsidP="00B41D8D">
            <w:pPr>
              <w:spacing w:before="120" w:after="0"/>
              <w:jc w:val="center"/>
              <w:rPr>
                <w:rFonts w:asciiTheme="majorHAnsi" w:hAnsiTheme="majorHAnsi" w:cstheme="majorHAnsi"/>
              </w:rPr>
            </w:pPr>
            <w:r>
              <w:rPr>
                <w:rFonts w:cs="Calibri"/>
                <w:color w:val="000000"/>
              </w:rPr>
              <w:t>44.6%</w:t>
            </w:r>
          </w:p>
        </w:tc>
      </w:tr>
      <w:tr w:rsidR="00B41D8D" w:rsidRPr="00860ECC" w14:paraId="130DEF86"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1F427BF6" w14:textId="77777777" w:rsidR="00B41D8D" w:rsidRPr="007E5631" w:rsidRDefault="00B41D8D" w:rsidP="00B41D8D">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549A4D67" w14:textId="2C48F987" w:rsidR="00B41D8D" w:rsidRPr="007E5631" w:rsidRDefault="00B41D8D" w:rsidP="00B41D8D">
            <w:pPr>
              <w:spacing w:before="120" w:after="0"/>
              <w:ind w:left="144"/>
              <w:rPr>
                <w:rFonts w:asciiTheme="majorHAnsi" w:hAnsiTheme="majorHAnsi" w:cstheme="majorHAnsi"/>
              </w:rPr>
            </w:pPr>
            <w:r>
              <w:rPr>
                <w:rFonts w:asciiTheme="majorHAnsi" w:hAnsiTheme="majorHAnsi" w:cstheme="majorHAnsi"/>
              </w:rPr>
              <w:t>Multi-race</w:t>
            </w:r>
          </w:p>
        </w:tc>
        <w:tc>
          <w:tcPr>
            <w:tcW w:w="1822" w:type="dxa"/>
            <w:tcBorders>
              <w:top w:val="single" w:sz="4" w:space="0" w:color="auto"/>
              <w:left w:val="nil"/>
              <w:bottom w:val="single" w:sz="4" w:space="0" w:color="auto"/>
              <w:right w:val="single" w:sz="4" w:space="0" w:color="auto"/>
            </w:tcBorders>
            <w:shd w:val="clear" w:color="auto" w:fill="auto"/>
            <w:vAlign w:val="bottom"/>
          </w:tcPr>
          <w:p w14:paraId="3E985BBC" w14:textId="7ABE0026" w:rsidR="00B41D8D" w:rsidRDefault="00B41D8D" w:rsidP="00B41D8D">
            <w:pPr>
              <w:spacing w:before="120" w:after="0"/>
              <w:jc w:val="center"/>
              <w:rPr>
                <w:rFonts w:cs="Calibri"/>
                <w:color w:val="000000"/>
              </w:rPr>
            </w:pPr>
            <w:r>
              <w:rPr>
                <w:rFonts w:cs="Calibri"/>
                <w:color w:val="000000"/>
              </w:rPr>
              <w:t>25</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760403AD" w14:textId="599A8944" w:rsidR="00B41D8D" w:rsidRDefault="00B41D8D" w:rsidP="00B41D8D">
            <w:pPr>
              <w:spacing w:before="120" w:after="0"/>
              <w:jc w:val="center"/>
              <w:rPr>
                <w:rFonts w:cs="Calibri"/>
                <w:color w:val="000000"/>
              </w:rPr>
            </w:pPr>
            <w:r>
              <w:rPr>
                <w:rFonts w:cs="Calibri"/>
                <w:color w:val="000000"/>
              </w:rPr>
              <w:t>11.2%</w:t>
            </w:r>
          </w:p>
        </w:tc>
      </w:tr>
      <w:tr w:rsidR="00B41D8D" w:rsidRPr="00860ECC" w14:paraId="661CB410" w14:textId="77777777" w:rsidTr="00192C23">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63363BEC" w14:textId="77777777" w:rsidR="00B41D8D" w:rsidRPr="007E5631" w:rsidRDefault="00B41D8D" w:rsidP="00B41D8D">
            <w:pPr>
              <w:spacing w:before="120" w:after="0"/>
              <w:jc w:val="center"/>
              <w:rPr>
                <w:rFonts w:asciiTheme="majorHAnsi" w:hAnsiTheme="majorHAnsi" w:cstheme="majorHAnsi"/>
                <w:b/>
              </w:rPr>
            </w:pPr>
          </w:p>
        </w:tc>
        <w:tc>
          <w:tcPr>
            <w:tcW w:w="4879" w:type="dxa"/>
            <w:tcBorders>
              <w:left w:val="single" w:sz="8" w:space="0" w:color="auto"/>
              <w:bottom w:val="single" w:sz="8" w:space="0" w:color="auto"/>
            </w:tcBorders>
            <w:shd w:val="clear" w:color="auto" w:fill="auto"/>
            <w:vAlign w:val="center"/>
          </w:tcPr>
          <w:p w14:paraId="32A5A66D" w14:textId="63B504D9" w:rsidR="00B41D8D" w:rsidRPr="007E5631" w:rsidRDefault="00B41D8D" w:rsidP="00B41D8D">
            <w:pPr>
              <w:spacing w:before="120" w:after="0"/>
              <w:ind w:left="144"/>
              <w:rPr>
                <w:rFonts w:asciiTheme="majorHAnsi" w:hAnsiTheme="majorHAnsi" w:cstheme="majorHAnsi"/>
              </w:rPr>
            </w:pPr>
            <w:r w:rsidRPr="007E5631">
              <w:rPr>
                <w:rFonts w:asciiTheme="majorHAnsi" w:hAnsiTheme="majorHAnsi" w:cstheme="majorHAnsi"/>
              </w:rPr>
              <w:t>Other or Not Available</w:t>
            </w:r>
          </w:p>
        </w:tc>
        <w:tc>
          <w:tcPr>
            <w:tcW w:w="1822" w:type="dxa"/>
            <w:tcBorders>
              <w:top w:val="single" w:sz="4" w:space="0" w:color="auto"/>
              <w:left w:val="nil"/>
              <w:bottom w:val="single" w:sz="8" w:space="0" w:color="auto"/>
              <w:right w:val="single" w:sz="4" w:space="0" w:color="auto"/>
            </w:tcBorders>
            <w:shd w:val="clear" w:color="auto" w:fill="auto"/>
            <w:vAlign w:val="bottom"/>
          </w:tcPr>
          <w:p w14:paraId="17EE6756" w14:textId="0981D620" w:rsidR="00B41D8D" w:rsidRPr="008F43C6" w:rsidRDefault="00B41D8D" w:rsidP="00B41D8D">
            <w:pPr>
              <w:spacing w:before="120" w:after="0"/>
              <w:jc w:val="center"/>
              <w:rPr>
                <w:rFonts w:asciiTheme="majorHAnsi" w:hAnsiTheme="majorHAnsi" w:cstheme="majorHAnsi"/>
              </w:rPr>
            </w:pPr>
            <w:r>
              <w:rPr>
                <w:rFonts w:cs="Calibri"/>
                <w:color w:val="000000"/>
              </w:rPr>
              <w:t>19</w:t>
            </w:r>
          </w:p>
        </w:tc>
        <w:tc>
          <w:tcPr>
            <w:tcW w:w="1845" w:type="dxa"/>
            <w:tcBorders>
              <w:top w:val="single" w:sz="4" w:space="0" w:color="auto"/>
              <w:left w:val="nil"/>
              <w:bottom w:val="single" w:sz="8" w:space="0" w:color="auto"/>
              <w:right w:val="single" w:sz="8" w:space="0" w:color="auto"/>
            </w:tcBorders>
            <w:shd w:val="clear" w:color="auto" w:fill="auto"/>
            <w:vAlign w:val="bottom"/>
          </w:tcPr>
          <w:p w14:paraId="2FFF0983" w14:textId="047FC845" w:rsidR="00B41D8D" w:rsidRPr="008F43C6" w:rsidRDefault="00B41D8D" w:rsidP="00B41D8D">
            <w:pPr>
              <w:spacing w:before="120" w:after="0"/>
              <w:jc w:val="center"/>
              <w:rPr>
                <w:rFonts w:asciiTheme="majorHAnsi" w:hAnsiTheme="majorHAnsi" w:cstheme="majorHAnsi"/>
              </w:rPr>
            </w:pPr>
            <w:r>
              <w:rPr>
                <w:rFonts w:cs="Calibri"/>
                <w:color w:val="000000"/>
              </w:rPr>
              <w:t>8.5%</w:t>
            </w:r>
          </w:p>
        </w:tc>
      </w:tr>
      <w:tr w:rsidR="00DB6793" w:rsidRPr="003F32F8" w14:paraId="1225C36E" w14:textId="77777777" w:rsidTr="00CF199D">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7634C2F8" w14:textId="77777777" w:rsidR="00DB6793" w:rsidRPr="007E5631" w:rsidRDefault="00DB6793" w:rsidP="00DB6793">
            <w:pPr>
              <w:spacing w:before="120" w:after="0"/>
              <w:jc w:val="center"/>
              <w:rPr>
                <w:rFonts w:asciiTheme="majorHAnsi" w:hAnsiTheme="majorHAnsi" w:cstheme="majorHAnsi"/>
                <w:b/>
              </w:rPr>
            </w:pPr>
            <w:r w:rsidRPr="007E5631">
              <w:rPr>
                <w:rFonts w:asciiTheme="majorHAnsi" w:hAnsiTheme="majorHAnsi" w:cstheme="majorHAnsi"/>
                <w:b/>
              </w:rPr>
              <w:t>Education Level</w:t>
            </w:r>
          </w:p>
        </w:tc>
        <w:tc>
          <w:tcPr>
            <w:tcW w:w="4879" w:type="dxa"/>
            <w:tcBorders>
              <w:top w:val="single" w:sz="8" w:space="0" w:color="auto"/>
              <w:left w:val="single" w:sz="8" w:space="0" w:color="auto"/>
            </w:tcBorders>
            <w:shd w:val="clear" w:color="auto" w:fill="auto"/>
            <w:vAlign w:val="center"/>
          </w:tcPr>
          <w:p w14:paraId="61289948" w14:textId="696C9FD7" w:rsidR="00DB6793" w:rsidRPr="007E5631" w:rsidRDefault="00DB6793" w:rsidP="00DB6793">
            <w:pPr>
              <w:spacing w:before="120" w:after="0"/>
              <w:rPr>
                <w:rFonts w:asciiTheme="majorHAnsi" w:hAnsiTheme="majorHAnsi" w:cstheme="majorHAnsi"/>
              </w:rPr>
            </w:pPr>
            <w:r w:rsidRPr="007E5631">
              <w:rPr>
                <w:rFonts w:asciiTheme="majorHAnsi" w:hAnsiTheme="majorHAnsi" w:cstheme="majorHAnsi"/>
              </w:rPr>
              <w:t xml:space="preserve">  8</w:t>
            </w:r>
            <w:r w:rsidRPr="007E5631">
              <w:rPr>
                <w:rFonts w:asciiTheme="majorHAnsi" w:hAnsiTheme="majorHAnsi" w:cstheme="majorHAnsi"/>
                <w:vertAlign w:val="superscript"/>
              </w:rPr>
              <w:t>th</w:t>
            </w:r>
            <w:r w:rsidRPr="007E5631">
              <w:rPr>
                <w:rFonts w:asciiTheme="majorHAnsi" w:hAnsiTheme="majorHAnsi" w:cstheme="majorHAnsi"/>
              </w:rPr>
              <w:t xml:space="preserve"> Grade and Under</w:t>
            </w:r>
          </w:p>
        </w:tc>
        <w:tc>
          <w:tcPr>
            <w:tcW w:w="1822" w:type="dxa"/>
            <w:tcBorders>
              <w:top w:val="single" w:sz="4" w:space="0" w:color="auto"/>
              <w:left w:val="nil"/>
              <w:bottom w:val="single" w:sz="4" w:space="0" w:color="auto"/>
              <w:right w:val="single" w:sz="4" w:space="0" w:color="auto"/>
            </w:tcBorders>
            <w:shd w:val="clear" w:color="auto" w:fill="auto"/>
            <w:vAlign w:val="bottom"/>
          </w:tcPr>
          <w:p w14:paraId="6D8D3C4A" w14:textId="7C1863BD" w:rsidR="00DB6793" w:rsidRPr="008F43C6" w:rsidRDefault="00DB6793" w:rsidP="00DB6793">
            <w:pPr>
              <w:spacing w:before="120" w:after="0"/>
              <w:jc w:val="center"/>
              <w:rPr>
                <w:rFonts w:asciiTheme="majorHAnsi" w:hAnsiTheme="majorHAnsi" w:cstheme="majorHAnsi"/>
              </w:rPr>
            </w:pPr>
            <w:r>
              <w:rPr>
                <w:rFonts w:cs="Calibri"/>
                <w:color w:val="000000"/>
              </w:rPr>
              <w:t>221</w:t>
            </w:r>
          </w:p>
        </w:tc>
        <w:tc>
          <w:tcPr>
            <w:tcW w:w="1845" w:type="dxa"/>
            <w:tcBorders>
              <w:top w:val="single" w:sz="4" w:space="0" w:color="auto"/>
              <w:left w:val="nil"/>
              <w:bottom w:val="single" w:sz="4" w:space="0" w:color="auto"/>
              <w:right w:val="single" w:sz="8" w:space="0" w:color="auto"/>
            </w:tcBorders>
            <w:shd w:val="clear" w:color="auto" w:fill="auto"/>
            <w:vAlign w:val="bottom"/>
          </w:tcPr>
          <w:p w14:paraId="5E4EDA9E" w14:textId="6A8D9E87" w:rsidR="00DB6793" w:rsidRPr="008F43C6" w:rsidRDefault="00DB6793" w:rsidP="00DB6793">
            <w:pPr>
              <w:spacing w:before="120" w:after="0"/>
              <w:jc w:val="center"/>
              <w:rPr>
                <w:rFonts w:asciiTheme="majorHAnsi" w:hAnsiTheme="majorHAnsi" w:cstheme="majorHAnsi"/>
              </w:rPr>
            </w:pPr>
            <w:r>
              <w:rPr>
                <w:rFonts w:cs="Calibri"/>
                <w:color w:val="000000"/>
              </w:rPr>
              <w:t>98.7%</w:t>
            </w:r>
          </w:p>
        </w:tc>
      </w:tr>
      <w:tr w:rsidR="00DB6793" w:rsidRPr="003F32F8" w14:paraId="491BDB47" w14:textId="77777777" w:rsidTr="00CF199D">
        <w:trPr>
          <w:trHeight w:val="432"/>
          <w:jc w:val="center"/>
        </w:trPr>
        <w:tc>
          <w:tcPr>
            <w:tcW w:w="1524" w:type="dxa"/>
            <w:vMerge/>
            <w:tcBorders>
              <w:left w:val="single" w:sz="8" w:space="0" w:color="auto"/>
              <w:right w:val="single" w:sz="8" w:space="0" w:color="auto"/>
            </w:tcBorders>
            <w:shd w:val="clear" w:color="auto" w:fill="auto"/>
            <w:vAlign w:val="center"/>
          </w:tcPr>
          <w:p w14:paraId="776EFE9D" w14:textId="77777777" w:rsidR="00DB6793" w:rsidRPr="007E5631" w:rsidRDefault="00DB6793" w:rsidP="00DB6793">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82AC5BE" w14:textId="39B7F4F9" w:rsidR="00DB6793" w:rsidRPr="007E5631" w:rsidRDefault="00DB6793" w:rsidP="00DB6793">
            <w:pPr>
              <w:spacing w:before="120" w:after="0"/>
              <w:rPr>
                <w:rFonts w:asciiTheme="majorHAnsi" w:hAnsiTheme="majorHAnsi" w:cstheme="majorHAnsi"/>
              </w:rPr>
            </w:pPr>
            <w:r w:rsidRPr="007E5631">
              <w:rPr>
                <w:rFonts w:asciiTheme="majorHAnsi" w:hAnsiTheme="majorHAnsi" w:cstheme="majorHAnsi"/>
              </w:rPr>
              <w:t xml:space="preserve">  9</w:t>
            </w:r>
            <w:r w:rsidRPr="007E5631">
              <w:rPr>
                <w:rFonts w:asciiTheme="majorHAnsi" w:hAnsiTheme="majorHAnsi" w:cstheme="majorHAnsi"/>
                <w:vertAlign w:val="superscript"/>
              </w:rPr>
              <w:t>th</w:t>
            </w:r>
            <w:r w:rsidRPr="007E5631">
              <w:rPr>
                <w:rFonts w:asciiTheme="majorHAnsi" w:hAnsiTheme="majorHAnsi" w:cstheme="majorHAnsi"/>
              </w:rPr>
              <w:t xml:space="preserve"> to 12</w:t>
            </w:r>
            <w:r w:rsidRPr="007E5631">
              <w:rPr>
                <w:rFonts w:asciiTheme="majorHAnsi" w:hAnsiTheme="majorHAnsi" w:cstheme="majorHAnsi"/>
                <w:vertAlign w:val="superscript"/>
              </w:rPr>
              <w:t>th</w:t>
            </w:r>
            <w:r w:rsidRPr="007E5631">
              <w:rPr>
                <w:rFonts w:asciiTheme="majorHAnsi" w:hAnsiTheme="majorHAnsi" w:cstheme="majorHAnsi"/>
              </w:rPr>
              <w:t xml:space="preserve"> Grade</w:t>
            </w:r>
          </w:p>
        </w:tc>
        <w:tc>
          <w:tcPr>
            <w:tcW w:w="1822" w:type="dxa"/>
            <w:tcBorders>
              <w:top w:val="single" w:sz="4" w:space="0" w:color="auto"/>
              <w:left w:val="nil"/>
              <w:bottom w:val="single" w:sz="4" w:space="0" w:color="auto"/>
              <w:right w:val="single" w:sz="4" w:space="0" w:color="auto"/>
            </w:tcBorders>
            <w:shd w:val="clear" w:color="auto" w:fill="auto"/>
            <w:vAlign w:val="bottom"/>
          </w:tcPr>
          <w:p w14:paraId="1BF0FBD8" w14:textId="7AC24216" w:rsidR="00DB6793" w:rsidRPr="008F43C6" w:rsidRDefault="00DB6793" w:rsidP="00DB6793">
            <w:pPr>
              <w:spacing w:before="120" w:after="0"/>
              <w:jc w:val="center"/>
              <w:rPr>
                <w:rFonts w:asciiTheme="majorHAnsi" w:hAnsiTheme="majorHAnsi" w:cstheme="majorHAnsi"/>
              </w:rPr>
            </w:pPr>
            <w:r>
              <w:rPr>
                <w:rFonts w:cs="Calibri"/>
                <w:color w:val="000000"/>
              </w:rPr>
              <w:t>3</w:t>
            </w:r>
          </w:p>
        </w:tc>
        <w:tc>
          <w:tcPr>
            <w:tcW w:w="1845" w:type="dxa"/>
            <w:tcBorders>
              <w:top w:val="single" w:sz="4" w:space="0" w:color="auto"/>
              <w:left w:val="nil"/>
              <w:bottom w:val="single" w:sz="4" w:space="0" w:color="auto"/>
              <w:right w:val="single" w:sz="8" w:space="0" w:color="auto"/>
            </w:tcBorders>
            <w:shd w:val="clear" w:color="auto" w:fill="auto"/>
            <w:vAlign w:val="bottom"/>
          </w:tcPr>
          <w:p w14:paraId="06FA3DA7" w14:textId="64A1F3D7" w:rsidR="00DB6793" w:rsidRPr="008F43C6" w:rsidRDefault="00DB6793" w:rsidP="00DB6793">
            <w:pPr>
              <w:spacing w:before="120" w:after="0"/>
              <w:jc w:val="center"/>
              <w:rPr>
                <w:rFonts w:asciiTheme="majorHAnsi" w:hAnsiTheme="majorHAnsi" w:cstheme="majorHAnsi"/>
              </w:rPr>
            </w:pPr>
            <w:r>
              <w:rPr>
                <w:rFonts w:cs="Calibri"/>
                <w:color w:val="000000"/>
              </w:rPr>
              <w:t>1.3%</w:t>
            </w:r>
          </w:p>
        </w:tc>
      </w:tr>
      <w:tr w:rsidR="00DB6793" w:rsidRPr="003F32F8" w14:paraId="391AC9D4" w14:textId="77777777" w:rsidTr="00CF199D">
        <w:trPr>
          <w:trHeight w:val="432"/>
          <w:jc w:val="center"/>
        </w:trPr>
        <w:tc>
          <w:tcPr>
            <w:tcW w:w="1524" w:type="dxa"/>
            <w:vMerge/>
            <w:tcBorders>
              <w:left w:val="single" w:sz="8" w:space="0" w:color="auto"/>
              <w:right w:val="single" w:sz="8" w:space="0" w:color="auto"/>
            </w:tcBorders>
            <w:shd w:val="clear" w:color="auto" w:fill="auto"/>
            <w:vAlign w:val="center"/>
          </w:tcPr>
          <w:p w14:paraId="4DC7193E" w14:textId="77777777" w:rsidR="00DB6793" w:rsidRPr="007E5631" w:rsidRDefault="00DB6793" w:rsidP="00DB6793">
            <w:pPr>
              <w:spacing w:before="120" w:after="0"/>
              <w:jc w:val="center"/>
              <w:rPr>
                <w:rFonts w:asciiTheme="majorHAnsi" w:hAnsiTheme="majorHAnsi" w:cstheme="majorHAnsi"/>
              </w:rPr>
            </w:pPr>
          </w:p>
        </w:tc>
        <w:tc>
          <w:tcPr>
            <w:tcW w:w="4879" w:type="dxa"/>
            <w:tcBorders>
              <w:left w:val="single" w:sz="8" w:space="0" w:color="auto"/>
            </w:tcBorders>
            <w:shd w:val="clear" w:color="auto" w:fill="auto"/>
            <w:vAlign w:val="center"/>
          </w:tcPr>
          <w:p w14:paraId="6A2047E5" w14:textId="77777777" w:rsidR="00DB6793" w:rsidRPr="007E5631" w:rsidRDefault="00DB6793" w:rsidP="00DB6793">
            <w:pPr>
              <w:spacing w:before="120" w:after="0"/>
              <w:ind w:left="144"/>
              <w:rPr>
                <w:rFonts w:asciiTheme="majorHAnsi" w:hAnsiTheme="majorHAnsi" w:cstheme="majorHAnsi"/>
              </w:rPr>
            </w:pPr>
            <w:r w:rsidRPr="007E5631">
              <w:rPr>
                <w:rFonts w:asciiTheme="majorHAnsi" w:hAnsiTheme="majorHAnsi" w:cstheme="majorHAnsi"/>
              </w:rPr>
              <w:t>High School graduate or equivalent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73731D5D" w14:textId="0E8D8C18" w:rsidR="00DB6793" w:rsidRPr="008F43C6" w:rsidRDefault="00DB6793" w:rsidP="00DB6793">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223A7EAF" w14:textId="3DBB2CD8" w:rsidR="00DB6793" w:rsidRPr="008F43C6" w:rsidRDefault="00DB6793" w:rsidP="00DB6793">
            <w:pPr>
              <w:spacing w:before="120" w:after="0"/>
              <w:jc w:val="center"/>
              <w:rPr>
                <w:rFonts w:asciiTheme="majorHAnsi" w:hAnsiTheme="majorHAnsi" w:cstheme="majorHAnsi"/>
              </w:rPr>
            </w:pPr>
            <w:r>
              <w:rPr>
                <w:rFonts w:cs="Calibri"/>
                <w:color w:val="000000"/>
              </w:rPr>
              <w:t>0.0%</w:t>
            </w:r>
          </w:p>
        </w:tc>
      </w:tr>
      <w:tr w:rsidR="00DB6793" w:rsidRPr="003F32F8" w14:paraId="4FD6B799" w14:textId="77777777" w:rsidTr="00CF199D">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53BDA414" w14:textId="77777777" w:rsidR="00DB6793" w:rsidRPr="007E5631" w:rsidRDefault="00DB6793" w:rsidP="00DB6793">
            <w:pPr>
              <w:spacing w:before="120" w:after="0"/>
              <w:jc w:val="center"/>
              <w:rPr>
                <w:rFonts w:asciiTheme="majorHAnsi" w:hAnsiTheme="majorHAnsi" w:cstheme="majorHAnsi"/>
              </w:rPr>
            </w:pPr>
          </w:p>
        </w:tc>
        <w:tc>
          <w:tcPr>
            <w:tcW w:w="4879" w:type="dxa"/>
            <w:tcBorders>
              <w:left w:val="single" w:sz="8" w:space="0" w:color="auto"/>
              <w:bottom w:val="single" w:sz="8" w:space="0" w:color="auto"/>
            </w:tcBorders>
            <w:shd w:val="clear" w:color="auto" w:fill="auto"/>
            <w:vAlign w:val="center"/>
          </w:tcPr>
          <w:p w14:paraId="2D4C79D8" w14:textId="77777777" w:rsidR="00DB6793" w:rsidRPr="007E5631" w:rsidRDefault="00DB6793" w:rsidP="00DB6793">
            <w:pPr>
              <w:spacing w:before="120" w:after="0"/>
              <w:ind w:left="144"/>
              <w:rPr>
                <w:rFonts w:asciiTheme="majorHAnsi" w:hAnsiTheme="majorHAnsi" w:cstheme="majorHAnsi"/>
              </w:rPr>
            </w:pPr>
            <w:r w:rsidRPr="007E5631">
              <w:rPr>
                <w:rFonts w:asciiTheme="majorHAnsi" w:hAnsiTheme="majorHAnsi" w:cstheme="majorHAnsi"/>
              </w:rPr>
              <w:t>Post-Secondary Education</w:t>
            </w:r>
          </w:p>
        </w:tc>
        <w:tc>
          <w:tcPr>
            <w:tcW w:w="1822" w:type="dxa"/>
            <w:tcBorders>
              <w:top w:val="single" w:sz="4" w:space="0" w:color="auto"/>
              <w:left w:val="nil"/>
              <w:bottom w:val="single" w:sz="8" w:space="0" w:color="auto"/>
              <w:right w:val="single" w:sz="4" w:space="0" w:color="auto"/>
            </w:tcBorders>
            <w:shd w:val="clear" w:color="auto" w:fill="auto"/>
            <w:vAlign w:val="bottom"/>
          </w:tcPr>
          <w:p w14:paraId="69EB207E" w14:textId="2B75B5D0" w:rsidR="00DB6793" w:rsidRPr="008F43C6" w:rsidRDefault="00DB6793" w:rsidP="00DB6793">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8" w:space="0" w:color="auto"/>
              <w:right w:val="single" w:sz="8" w:space="0" w:color="auto"/>
            </w:tcBorders>
            <w:shd w:val="clear" w:color="auto" w:fill="auto"/>
            <w:vAlign w:val="bottom"/>
          </w:tcPr>
          <w:p w14:paraId="7C4A777C" w14:textId="12EA1A58" w:rsidR="00DB6793" w:rsidRPr="008F43C6" w:rsidRDefault="00DB6793" w:rsidP="00DB6793">
            <w:pPr>
              <w:spacing w:before="120" w:after="0"/>
              <w:jc w:val="center"/>
              <w:rPr>
                <w:rFonts w:asciiTheme="majorHAnsi" w:hAnsiTheme="majorHAnsi" w:cstheme="majorHAnsi"/>
              </w:rPr>
            </w:pPr>
            <w:r>
              <w:rPr>
                <w:rFonts w:cs="Calibri"/>
                <w:color w:val="000000"/>
              </w:rPr>
              <w:t>0.0%</w:t>
            </w:r>
          </w:p>
        </w:tc>
      </w:tr>
      <w:tr w:rsidR="00D35C5A" w:rsidRPr="003F32F8" w14:paraId="77118AAC" w14:textId="77777777" w:rsidTr="008F43C6">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1C0151A4" w14:textId="171469F5" w:rsidR="00D35C5A" w:rsidRPr="007E5631" w:rsidRDefault="00D35C5A" w:rsidP="00D35C5A">
            <w:pPr>
              <w:spacing w:before="120" w:after="0"/>
              <w:jc w:val="center"/>
              <w:rPr>
                <w:rFonts w:asciiTheme="majorHAnsi" w:hAnsiTheme="majorHAnsi" w:cstheme="majorHAnsi"/>
                <w:b/>
              </w:rPr>
            </w:pPr>
            <w:r w:rsidRPr="007E5631">
              <w:rPr>
                <w:rFonts w:asciiTheme="majorHAnsi" w:hAnsiTheme="majorHAnsi" w:cstheme="majorHAnsi"/>
                <w:b/>
              </w:rPr>
              <w:t>Other Demographics</w:t>
            </w:r>
          </w:p>
        </w:tc>
        <w:tc>
          <w:tcPr>
            <w:tcW w:w="4879" w:type="dxa"/>
            <w:tcBorders>
              <w:top w:val="single" w:sz="8" w:space="0" w:color="auto"/>
              <w:left w:val="single" w:sz="8" w:space="0" w:color="auto"/>
            </w:tcBorders>
            <w:shd w:val="clear" w:color="auto" w:fill="auto"/>
            <w:vAlign w:val="center"/>
          </w:tcPr>
          <w:p w14:paraId="79A5C9C8" w14:textId="5AB18E2C" w:rsidR="00D35C5A" w:rsidRPr="007E5631" w:rsidRDefault="00D35C5A" w:rsidP="00D35C5A">
            <w:pPr>
              <w:spacing w:before="120" w:after="0"/>
              <w:ind w:left="144"/>
              <w:rPr>
                <w:rFonts w:asciiTheme="majorHAnsi" w:hAnsiTheme="majorHAnsi" w:cstheme="majorHAnsi"/>
              </w:rPr>
            </w:pPr>
            <w:r w:rsidRPr="007E5631">
              <w:rPr>
                <w:rFonts w:asciiTheme="majorHAnsi" w:hAnsiTheme="majorHAnsi" w:cstheme="majorHAnsi"/>
                <w:color w:val="000000"/>
              </w:rPr>
              <w:t>Limited English Proficient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683AE940" w14:textId="66DA1D6B" w:rsidR="00D35C5A" w:rsidRPr="008F43C6" w:rsidRDefault="00D35C5A" w:rsidP="00D35C5A">
            <w:pPr>
              <w:spacing w:before="120" w:after="0"/>
              <w:jc w:val="center"/>
              <w:rPr>
                <w:rFonts w:asciiTheme="majorHAnsi" w:hAnsiTheme="majorHAnsi" w:cstheme="majorHAnsi"/>
              </w:rPr>
            </w:pPr>
            <w:r>
              <w:rPr>
                <w:rFonts w:cs="Calibri"/>
                <w:color w:val="000000"/>
              </w:rPr>
              <w:t>48</w:t>
            </w:r>
          </w:p>
        </w:tc>
        <w:tc>
          <w:tcPr>
            <w:tcW w:w="1845" w:type="dxa"/>
            <w:tcBorders>
              <w:top w:val="single" w:sz="4" w:space="0" w:color="auto"/>
              <w:left w:val="nil"/>
              <w:bottom w:val="single" w:sz="4" w:space="0" w:color="auto"/>
              <w:right w:val="single" w:sz="8" w:space="0" w:color="auto"/>
            </w:tcBorders>
            <w:shd w:val="clear" w:color="auto" w:fill="auto"/>
            <w:vAlign w:val="bottom"/>
          </w:tcPr>
          <w:p w14:paraId="37133629" w14:textId="2EA47FB3" w:rsidR="00D35C5A" w:rsidRPr="008F43C6" w:rsidRDefault="00D35C5A" w:rsidP="00D35C5A">
            <w:pPr>
              <w:spacing w:before="120" w:after="0"/>
              <w:jc w:val="center"/>
              <w:rPr>
                <w:rFonts w:asciiTheme="majorHAnsi" w:hAnsiTheme="majorHAnsi" w:cstheme="majorHAnsi"/>
              </w:rPr>
            </w:pPr>
            <w:r>
              <w:rPr>
                <w:rFonts w:cs="Calibri"/>
                <w:color w:val="000000"/>
              </w:rPr>
              <w:t>21.4%</w:t>
            </w:r>
          </w:p>
        </w:tc>
      </w:tr>
      <w:tr w:rsidR="00D35C5A" w:rsidRPr="003F32F8" w14:paraId="14D9DCB2"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7701E922" w14:textId="77777777" w:rsidR="00D35C5A" w:rsidRPr="007E5631" w:rsidRDefault="00D35C5A" w:rsidP="00D35C5A">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F59B8E9" w14:textId="10A8A22F" w:rsidR="00D35C5A" w:rsidRPr="007E5631" w:rsidRDefault="00D35C5A" w:rsidP="00D35C5A">
            <w:pPr>
              <w:spacing w:before="120" w:after="0"/>
              <w:ind w:left="144"/>
              <w:rPr>
                <w:rFonts w:asciiTheme="majorHAnsi" w:hAnsiTheme="majorHAnsi" w:cstheme="majorHAnsi"/>
              </w:rPr>
            </w:pPr>
            <w:r w:rsidRPr="007E5631">
              <w:rPr>
                <w:rFonts w:asciiTheme="majorHAnsi" w:hAnsiTheme="majorHAnsi" w:cstheme="majorHAnsi"/>
                <w:color w:val="000000"/>
              </w:rPr>
              <w:t>Receiving Public Assistance</w:t>
            </w:r>
          </w:p>
        </w:tc>
        <w:tc>
          <w:tcPr>
            <w:tcW w:w="1822" w:type="dxa"/>
            <w:tcBorders>
              <w:top w:val="single" w:sz="4" w:space="0" w:color="auto"/>
              <w:left w:val="nil"/>
              <w:bottom w:val="single" w:sz="4" w:space="0" w:color="auto"/>
              <w:right w:val="single" w:sz="4" w:space="0" w:color="auto"/>
            </w:tcBorders>
            <w:shd w:val="clear" w:color="auto" w:fill="auto"/>
            <w:vAlign w:val="bottom"/>
          </w:tcPr>
          <w:p w14:paraId="50178A5A" w14:textId="2997FC89" w:rsidR="00D35C5A" w:rsidRPr="008F43C6" w:rsidRDefault="00D35C5A" w:rsidP="00D35C5A">
            <w:pPr>
              <w:spacing w:before="120" w:after="0"/>
              <w:jc w:val="center"/>
              <w:rPr>
                <w:rFonts w:asciiTheme="majorHAnsi" w:hAnsiTheme="majorHAnsi" w:cstheme="majorHAnsi"/>
              </w:rPr>
            </w:pPr>
            <w:r>
              <w:rPr>
                <w:rFonts w:cs="Calibri"/>
                <w:color w:val="000000"/>
              </w:rPr>
              <w:t>200</w:t>
            </w:r>
          </w:p>
        </w:tc>
        <w:tc>
          <w:tcPr>
            <w:tcW w:w="1845" w:type="dxa"/>
            <w:tcBorders>
              <w:top w:val="single" w:sz="4" w:space="0" w:color="auto"/>
              <w:left w:val="nil"/>
              <w:bottom w:val="single" w:sz="4" w:space="0" w:color="auto"/>
              <w:right w:val="single" w:sz="8" w:space="0" w:color="auto"/>
            </w:tcBorders>
            <w:shd w:val="clear" w:color="auto" w:fill="auto"/>
            <w:vAlign w:val="bottom"/>
          </w:tcPr>
          <w:p w14:paraId="32237204" w14:textId="49596A62" w:rsidR="00D35C5A" w:rsidRPr="008F43C6" w:rsidRDefault="00D35C5A" w:rsidP="00D35C5A">
            <w:pPr>
              <w:spacing w:before="120" w:after="0"/>
              <w:jc w:val="center"/>
              <w:rPr>
                <w:rFonts w:asciiTheme="majorHAnsi" w:hAnsiTheme="majorHAnsi" w:cstheme="majorHAnsi"/>
              </w:rPr>
            </w:pPr>
            <w:r>
              <w:rPr>
                <w:rFonts w:cs="Calibri"/>
                <w:color w:val="000000"/>
              </w:rPr>
              <w:t>89.3%</w:t>
            </w:r>
          </w:p>
        </w:tc>
      </w:tr>
      <w:tr w:rsidR="00D35C5A" w:rsidRPr="003F32F8" w14:paraId="5A58D02F"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04F458F5" w14:textId="77777777" w:rsidR="00D35C5A" w:rsidRPr="007E5631" w:rsidRDefault="00D35C5A" w:rsidP="00D35C5A">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2D055CA3" w14:textId="4FAE9FF9" w:rsidR="00D35C5A" w:rsidRPr="007E5631" w:rsidRDefault="00D35C5A" w:rsidP="00D35C5A">
            <w:pPr>
              <w:spacing w:before="120" w:after="0"/>
              <w:ind w:left="144"/>
              <w:rPr>
                <w:rFonts w:asciiTheme="majorHAnsi" w:hAnsiTheme="majorHAnsi" w:cstheme="majorHAnsi"/>
              </w:rPr>
            </w:pPr>
            <w:r w:rsidRPr="007E5631">
              <w:rPr>
                <w:rFonts w:asciiTheme="majorHAnsi" w:hAnsiTheme="majorHAnsi" w:cstheme="majorHAnsi"/>
                <w:color w:val="000000"/>
              </w:rPr>
              <w:t xml:space="preserve">Foster Youth (or aged out of foster care) </w:t>
            </w:r>
          </w:p>
        </w:tc>
        <w:tc>
          <w:tcPr>
            <w:tcW w:w="1822" w:type="dxa"/>
            <w:tcBorders>
              <w:top w:val="single" w:sz="4" w:space="0" w:color="auto"/>
              <w:left w:val="nil"/>
              <w:bottom w:val="single" w:sz="4" w:space="0" w:color="auto"/>
              <w:right w:val="single" w:sz="4" w:space="0" w:color="auto"/>
            </w:tcBorders>
            <w:shd w:val="clear" w:color="auto" w:fill="auto"/>
            <w:vAlign w:val="bottom"/>
          </w:tcPr>
          <w:p w14:paraId="41BFA471" w14:textId="39978EFC" w:rsidR="00D35C5A" w:rsidRPr="008F43C6" w:rsidRDefault="00D35C5A" w:rsidP="00D35C5A">
            <w:pPr>
              <w:spacing w:before="120" w:after="0"/>
              <w:jc w:val="center"/>
              <w:rPr>
                <w:rFonts w:asciiTheme="majorHAnsi" w:hAnsiTheme="majorHAnsi" w:cstheme="majorHAnsi"/>
              </w:rPr>
            </w:pPr>
            <w:r>
              <w:rPr>
                <w:rFonts w:cs="Calibri"/>
                <w:color w:val="000000"/>
              </w:rPr>
              <w:t>6</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70146AF9" w14:textId="0BB2C4E2" w:rsidR="00D35C5A" w:rsidRPr="008F43C6" w:rsidRDefault="00D35C5A" w:rsidP="00D35C5A">
            <w:pPr>
              <w:spacing w:before="120" w:after="0"/>
              <w:jc w:val="center"/>
              <w:rPr>
                <w:rFonts w:asciiTheme="majorHAnsi" w:hAnsiTheme="majorHAnsi" w:cstheme="majorHAnsi"/>
              </w:rPr>
            </w:pPr>
            <w:r>
              <w:rPr>
                <w:rFonts w:cs="Calibri"/>
                <w:color w:val="000000"/>
              </w:rPr>
              <w:t>2.7%</w:t>
            </w:r>
          </w:p>
        </w:tc>
      </w:tr>
      <w:tr w:rsidR="00D35C5A" w:rsidRPr="003F32F8" w14:paraId="0C3C264A"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1C37937D" w14:textId="77777777" w:rsidR="00D35C5A" w:rsidRPr="007E5631" w:rsidRDefault="00D35C5A" w:rsidP="00D35C5A">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B21D1EB" w14:textId="0DE84D4E" w:rsidR="00D35C5A" w:rsidRPr="007E5631" w:rsidRDefault="00D35C5A" w:rsidP="00D35C5A">
            <w:pPr>
              <w:spacing w:before="120" w:after="0"/>
              <w:rPr>
                <w:rFonts w:asciiTheme="majorHAnsi" w:hAnsiTheme="majorHAnsi" w:cstheme="majorHAnsi"/>
              </w:rPr>
            </w:pPr>
            <w:r w:rsidRPr="007E5631">
              <w:rPr>
                <w:rFonts w:asciiTheme="majorHAnsi" w:hAnsiTheme="majorHAnsi" w:cstheme="majorHAnsi"/>
                <w:color w:val="000000"/>
              </w:rPr>
              <w:t>With a Disability</w:t>
            </w:r>
          </w:p>
        </w:tc>
        <w:tc>
          <w:tcPr>
            <w:tcW w:w="1822" w:type="dxa"/>
            <w:tcBorders>
              <w:top w:val="single" w:sz="4" w:space="0" w:color="auto"/>
              <w:left w:val="nil"/>
              <w:bottom w:val="single" w:sz="4" w:space="0" w:color="auto"/>
              <w:right w:val="single" w:sz="4" w:space="0" w:color="auto"/>
            </w:tcBorders>
            <w:shd w:val="clear" w:color="auto" w:fill="auto"/>
            <w:vAlign w:val="bottom"/>
          </w:tcPr>
          <w:p w14:paraId="7B7EDDFD" w14:textId="4D4FB1A8" w:rsidR="00D35C5A" w:rsidRPr="008F43C6" w:rsidRDefault="00D35C5A" w:rsidP="00D35C5A">
            <w:pPr>
              <w:spacing w:before="120" w:after="0"/>
              <w:jc w:val="center"/>
              <w:rPr>
                <w:rFonts w:asciiTheme="majorHAnsi" w:hAnsiTheme="majorHAnsi" w:cstheme="majorHAnsi"/>
              </w:rPr>
            </w:pPr>
            <w:r>
              <w:rPr>
                <w:rFonts w:cs="Calibri"/>
                <w:color w:val="000000"/>
              </w:rPr>
              <w:t>9</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4D1726E6" w14:textId="378E47C0" w:rsidR="00D35C5A" w:rsidRPr="008F43C6" w:rsidRDefault="00D35C5A" w:rsidP="00D35C5A">
            <w:pPr>
              <w:spacing w:before="120" w:after="0"/>
              <w:jc w:val="center"/>
              <w:rPr>
                <w:rFonts w:asciiTheme="majorHAnsi" w:hAnsiTheme="majorHAnsi" w:cstheme="majorHAnsi"/>
              </w:rPr>
            </w:pPr>
            <w:r>
              <w:rPr>
                <w:rFonts w:cs="Calibri"/>
                <w:color w:val="000000"/>
              </w:rPr>
              <w:t>4.0%</w:t>
            </w:r>
          </w:p>
        </w:tc>
      </w:tr>
      <w:tr w:rsidR="00D35C5A" w:rsidRPr="003F32F8" w14:paraId="46BFA6CB"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7A95AB76" w14:textId="77777777" w:rsidR="00D35C5A" w:rsidRPr="007E5631" w:rsidRDefault="00D35C5A" w:rsidP="00D35C5A">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5ADFD21D" w14:textId="746701A8" w:rsidR="00D35C5A" w:rsidRPr="007E5631" w:rsidRDefault="00D35C5A" w:rsidP="00D35C5A">
            <w:pPr>
              <w:spacing w:before="120" w:after="0"/>
              <w:rPr>
                <w:rFonts w:asciiTheme="majorHAnsi" w:hAnsiTheme="majorHAnsi" w:cstheme="majorHAnsi"/>
              </w:rPr>
            </w:pPr>
            <w:r w:rsidRPr="007E5631">
              <w:rPr>
                <w:rFonts w:asciiTheme="majorHAnsi" w:hAnsiTheme="majorHAnsi" w:cstheme="majorHAnsi"/>
                <w:color w:val="000000"/>
              </w:rPr>
              <w:t>HS Dropout</w:t>
            </w:r>
          </w:p>
        </w:tc>
        <w:tc>
          <w:tcPr>
            <w:tcW w:w="1822" w:type="dxa"/>
            <w:tcBorders>
              <w:top w:val="single" w:sz="4" w:space="0" w:color="auto"/>
              <w:left w:val="nil"/>
              <w:bottom w:val="single" w:sz="4" w:space="0" w:color="auto"/>
              <w:right w:val="single" w:sz="4" w:space="0" w:color="auto"/>
            </w:tcBorders>
            <w:shd w:val="clear" w:color="auto" w:fill="auto"/>
            <w:vAlign w:val="bottom"/>
          </w:tcPr>
          <w:p w14:paraId="578C934D" w14:textId="47C0C2C1" w:rsidR="00D35C5A" w:rsidRPr="008F43C6" w:rsidRDefault="00D35C5A" w:rsidP="00D35C5A">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46FBD8F9" w14:textId="0F0ED240" w:rsidR="00D35C5A" w:rsidRPr="008F43C6" w:rsidRDefault="00D35C5A" w:rsidP="00D35C5A">
            <w:pPr>
              <w:spacing w:before="120" w:after="0"/>
              <w:jc w:val="center"/>
              <w:rPr>
                <w:rFonts w:asciiTheme="majorHAnsi" w:hAnsiTheme="majorHAnsi" w:cstheme="majorHAnsi"/>
              </w:rPr>
            </w:pPr>
            <w:r>
              <w:rPr>
                <w:rFonts w:cs="Calibri"/>
                <w:color w:val="000000"/>
              </w:rPr>
              <w:t>0.0%</w:t>
            </w:r>
          </w:p>
        </w:tc>
      </w:tr>
      <w:tr w:rsidR="00D35C5A" w:rsidRPr="003F32F8" w14:paraId="2B94B3C1"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416E8786" w14:textId="77777777" w:rsidR="00D35C5A" w:rsidRPr="007E5631" w:rsidRDefault="00D35C5A" w:rsidP="00D35C5A">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4851E7FC" w14:textId="52EB69C9" w:rsidR="00D35C5A" w:rsidRPr="007E5631" w:rsidRDefault="00D35C5A" w:rsidP="00D35C5A">
            <w:pPr>
              <w:spacing w:before="120" w:after="0"/>
              <w:rPr>
                <w:rFonts w:asciiTheme="majorHAnsi" w:hAnsiTheme="majorHAnsi" w:cstheme="majorHAnsi"/>
              </w:rPr>
            </w:pPr>
            <w:r w:rsidRPr="007E5631">
              <w:rPr>
                <w:rFonts w:asciiTheme="majorHAnsi" w:hAnsiTheme="majorHAnsi" w:cstheme="majorHAnsi"/>
                <w:color w:val="000000"/>
              </w:rPr>
              <w:t>Offender (previous criminal/juvenile justice involvement)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093D9341" w14:textId="315DC717" w:rsidR="00D35C5A" w:rsidRPr="008F43C6" w:rsidRDefault="00D35C5A" w:rsidP="00D35C5A">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1A46DCE3" w14:textId="51C03740" w:rsidR="00D35C5A" w:rsidRPr="008F43C6" w:rsidRDefault="00D35C5A" w:rsidP="00D35C5A">
            <w:pPr>
              <w:spacing w:before="120" w:after="0"/>
              <w:jc w:val="center"/>
              <w:rPr>
                <w:rFonts w:asciiTheme="majorHAnsi" w:hAnsiTheme="majorHAnsi" w:cstheme="majorHAnsi"/>
              </w:rPr>
            </w:pPr>
            <w:r>
              <w:rPr>
                <w:rFonts w:cs="Calibri"/>
                <w:color w:val="000000"/>
              </w:rPr>
              <w:t>0.0%</w:t>
            </w:r>
          </w:p>
        </w:tc>
      </w:tr>
      <w:tr w:rsidR="00D35C5A" w:rsidRPr="003F32F8" w14:paraId="2CE654C0"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02C0AAF0" w14:textId="77777777" w:rsidR="00D35C5A" w:rsidRPr="007E5631" w:rsidRDefault="00D35C5A" w:rsidP="00D35C5A">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346A7907" w14:textId="175F04D5" w:rsidR="00D35C5A" w:rsidRPr="007E5631" w:rsidRDefault="00D35C5A" w:rsidP="00D35C5A">
            <w:pPr>
              <w:spacing w:before="120" w:after="0"/>
              <w:rPr>
                <w:rFonts w:asciiTheme="majorHAnsi" w:hAnsiTheme="majorHAnsi" w:cstheme="majorHAnsi"/>
              </w:rPr>
            </w:pPr>
            <w:r w:rsidRPr="007E5631">
              <w:rPr>
                <w:rFonts w:asciiTheme="majorHAnsi" w:hAnsiTheme="majorHAnsi" w:cstheme="majorHAnsi"/>
                <w:color w:val="000000"/>
              </w:rPr>
              <w:t>Pregnant or Parenting</w:t>
            </w:r>
          </w:p>
        </w:tc>
        <w:tc>
          <w:tcPr>
            <w:tcW w:w="1822" w:type="dxa"/>
            <w:tcBorders>
              <w:top w:val="single" w:sz="4" w:space="0" w:color="auto"/>
              <w:left w:val="nil"/>
              <w:bottom w:val="single" w:sz="4" w:space="0" w:color="auto"/>
              <w:right w:val="single" w:sz="4" w:space="0" w:color="auto"/>
            </w:tcBorders>
            <w:shd w:val="clear" w:color="auto" w:fill="auto"/>
            <w:vAlign w:val="bottom"/>
          </w:tcPr>
          <w:p w14:paraId="73B1D217" w14:textId="6A43EBDA" w:rsidR="00D35C5A" w:rsidRPr="008F43C6" w:rsidRDefault="00D35C5A" w:rsidP="00D35C5A">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07D5B751" w14:textId="267B2FAF" w:rsidR="00D35C5A" w:rsidRPr="008F43C6" w:rsidRDefault="00D35C5A" w:rsidP="00D35C5A">
            <w:pPr>
              <w:spacing w:before="120" w:after="0"/>
              <w:jc w:val="center"/>
              <w:rPr>
                <w:rFonts w:asciiTheme="majorHAnsi" w:hAnsiTheme="majorHAnsi" w:cstheme="majorHAnsi"/>
              </w:rPr>
            </w:pPr>
            <w:r>
              <w:rPr>
                <w:rFonts w:cs="Calibri"/>
                <w:color w:val="000000"/>
              </w:rPr>
              <w:t>0.0%</w:t>
            </w:r>
          </w:p>
        </w:tc>
      </w:tr>
      <w:tr w:rsidR="00D35C5A" w:rsidRPr="003F32F8" w14:paraId="23EB5A62" w14:textId="77777777" w:rsidTr="008F43C6">
        <w:trPr>
          <w:trHeight w:val="403"/>
          <w:jc w:val="center"/>
        </w:trPr>
        <w:tc>
          <w:tcPr>
            <w:tcW w:w="1524" w:type="dxa"/>
            <w:vMerge/>
            <w:tcBorders>
              <w:left w:val="single" w:sz="8" w:space="0" w:color="auto"/>
              <w:right w:val="single" w:sz="8" w:space="0" w:color="auto"/>
            </w:tcBorders>
            <w:shd w:val="clear" w:color="auto" w:fill="auto"/>
            <w:vAlign w:val="center"/>
          </w:tcPr>
          <w:p w14:paraId="1B4E17AE" w14:textId="77777777" w:rsidR="00D35C5A" w:rsidRPr="007E5631" w:rsidRDefault="00D35C5A" w:rsidP="00D35C5A">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DEF1E18" w14:textId="162B844F" w:rsidR="00D35C5A" w:rsidRPr="007E5631" w:rsidRDefault="00D35C5A" w:rsidP="00D35C5A">
            <w:pPr>
              <w:spacing w:before="120" w:after="0"/>
              <w:rPr>
                <w:rFonts w:asciiTheme="majorHAnsi" w:hAnsiTheme="majorHAnsi" w:cstheme="majorHAnsi"/>
              </w:rPr>
            </w:pPr>
            <w:r w:rsidRPr="007E5631">
              <w:rPr>
                <w:rFonts w:asciiTheme="majorHAnsi" w:hAnsiTheme="majorHAnsi" w:cstheme="majorHAnsi"/>
                <w:color w:val="000000"/>
              </w:rPr>
              <w:t xml:space="preserve">Basic Skills Deficient </w:t>
            </w:r>
          </w:p>
        </w:tc>
        <w:tc>
          <w:tcPr>
            <w:tcW w:w="1822" w:type="dxa"/>
            <w:tcBorders>
              <w:top w:val="single" w:sz="4" w:space="0" w:color="auto"/>
              <w:left w:val="nil"/>
              <w:right w:val="single" w:sz="4" w:space="0" w:color="auto"/>
            </w:tcBorders>
            <w:shd w:val="clear" w:color="auto" w:fill="auto"/>
            <w:vAlign w:val="bottom"/>
          </w:tcPr>
          <w:p w14:paraId="796234D0" w14:textId="7A97AFB3" w:rsidR="00D35C5A" w:rsidRPr="008F43C6" w:rsidRDefault="00D35C5A" w:rsidP="00D35C5A">
            <w:pPr>
              <w:spacing w:before="120" w:after="0"/>
              <w:jc w:val="center"/>
              <w:rPr>
                <w:rFonts w:asciiTheme="majorHAnsi" w:hAnsiTheme="majorHAnsi" w:cstheme="majorHAnsi"/>
              </w:rPr>
            </w:pPr>
            <w:r>
              <w:rPr>
                <w:rFonts w:cs="Calibri"/>
                <w:color w:val="000000"/>
              </w:rPr>
              <w:t>13</w:t>
            </w:r>
          </w:p>
        </w:tc>
        <w:tc>
          <w:tcPr>
            <w:tcW w:w="1845" w:type="dxa"/>
            <w:tcBorders>
              <w:top w:val="single" w:sz="4" w:space="0" w:color="auto"/>
              <w:left w:val="nil"/>
              <w:right w:val="single" w:sz="8" w:space="0" w:color="auto"/>
            </w:tcBorders>
            <w:shd w:val="clear" w:color="auto" w:fill="auto"/>
            <w:vAlign w:val="bottom"/>
          </w:tcPr>
          <w:p w14:paraId="4791154F" w14:textId="2F05845F" w:rsidR="00D35C5A" w:rsidRPr="008F43C6" w:rsidRDefault="00D35C5A" w:rsidP="00D35C5A">
            <w:pPr>
              <w:spacing w:before="120" w:after="0"/>
              <w:jc w:val="center"/>
              <w:rPr>
                <w:rFonts w:asciiTheme="majorHAnsi" w:hAnsiTheme="majorHAnsi" w:cstheme="majorHAnsi"/>
              </w:rPr>
            </w:pPr>
            <w:r>
              <w:rPr>
                <w:rFonts w:cs="Calibri"/>
                <w:color w:val="000000"/>
              </w:rPr>
              <w:t>5.8%</w:t>
            </w:r>
          </w:p>
        </w:tc>
      </w:tr>
      <w:tr w:rsidR="00D35C5A" w:rsidRPr="003F32F8" w14:paraId="74B594F1"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7050B0F2" w14:textId="77777777" w:rsidR="00D35C5A" w:rsidRPr="007E5631" w:rsidRDefault="00D35C5A" w:rsidP="00D35C5A">
            <w:pPr>
              <w:spacing w:before="120" w:after="0"/>
              <w:rPr>
                <w:rFonts w:asciiTheme="majorHAnsi" w:hAnsiTheme="majorHAnsi" w:cstheme="majorHAnsi"/>
              </w:rPr>
            </w:pPr>
          </w:p>
        </w:tc>
        <w:tc>
          <w:tcPr>
            <w:tcW w:w="4879" w:type="dxa"/>
            <w:tcBorders>
              <w:left w:val="single" w:sz="8" w:space="0" w:color="auto"/>
              <w:bottom w:val="single" w:sz="4" w:space="0" w:color="auto"/>
            </w:tcBorders>
            <w:shd w:val="clear" w:color="auto" w:fill="auto"/>
            <w:vAlign w:val="center"/>
          </w:tcPr>
          <w:p w14:paraId="62A128A7" w14:textId="1F684FDF" w:rsidR="00D35C5A" w:rsidRPr="007E5631" w:rsidRDefault="00D35C5A" w:rsidP="00D35C5A">
            <w:pPr>
              <w:spacing w:before="120" w:after="0"/>
              <w:rPr>
                <w:rFonts w:asciiTheme="majorHAnsi" w:hAnsiTheme="majorHAnsi" w:cstheme="majorHAnsi"/>
              </w:rPr>
            </w:pPr>
            <w:r w:rsidRPr="007E5631">
              <w:rPr>
                <w:rFonts w:asciiTheme="majorHAnsi" w:hAnsiTheme="majorHAnsi" w:cstheme="majorHAnsi"/>
                <w:color w:val="000000"/>
              </w:rPr>
              <w:t>Homeless or Runaway</w:t>
            </w:r>
          </w:p>
        </w:tc>
        <w:tc>
          <w:tcPr>
            <w:tcW w:w="1822" w:type="dxa"/>
            <w:tcBorders>
              <w:top w:val="single" w:sz="4" w:space="0" w:color="auto"/>
              <w:left w:val="nil"/>
              <w:bottom w:val="single" w:sz="4" w:space="0" w:color="auto"/>
              <w:right w:val="single" w:sz="4" w:space="0" w:color="auto"/>
            </w:tcBorders>
            <w:shd w:val="clear" w:color="auto" w:fill="auto"/>
            <w:vAlign w:val="bottom"/>
          </w:tcPr>
          <w:p w14:paraId="5BA16881" w14:textId="73B8C7F5" w:rsidR="00D35C5A" w:rsidRPr="008F43C6" w:rsidRDefault="00D35C5A" w:rsidP="00D35C5A">
            <w:pPr>
              <w:spacing w:before="120" w:after="0"/>
              <w:jc w:val="center"/>
              <w:rPr>
                <w:rFonts w:asciiTheme="majorHAnsi" w:hAnsiTheme="majorHAnsi" w:cstheme="majorHAnsi"/>
              </w:rPr>
            </w:pPr>
            <w:r>
              <w:rPr>
                <w:rFonts w:cs="Calibri"/>
                <w:color w:val="000000"/>
              </w:rPr>
              <w:t>14</w:t>
            </w:r>
          </w:p>
        </w:tc>
        <w:tc>
          <w:tcPr>
            <w:tcW w:w="1845" w:type="dxa"/>
            <w:tcBorders>
              <w:top w:val="single" w:sz="4" w:space="0" w:color="auto"/>
              <w:left w:val="nil"/>
              <w:bottom w:val="single" w:sz="4" w:space="0" w:color="auto"/>
              <w:right w:val="single" w:sz="8" w:space="0" w:color="auto"/>
            </w:tcBorders>
            <w:shd w:val="clear" w:color="auto" w:fill="auto"/>
            <w:vAlign w:val="bottom"/>
          </w:tcPr>
          <w:p w14:paraId="5A3314E6" w14:textId="1D56339E" w:rsidR="00D35C5A" w:rsidRPr="008F43C6" w:rsidRDefault="00D35C5A" w:rsidP="00D35C5A">
            <w:pPr>
              <w:spacing w:before="120" w:after="0"/>
              <w:jc w:val="center"/>
              <w:rPr>
                <w:rFonts w:asciiTheme="majorHAnsi" w:hAnsiTheme="majorHAnsi" w:cstheme="majorHAnsi"/>
              </w:rPr>
            </w:pPr>
            <w:r>
              <w:rPr>
                <w:rFonts w:cs="Calibri"/>
                <w:color w:val="000000"/>
              </w:rPr>
              <w:t>6.3%</w:t>
            </w:r>
          </w:p>
        </w:tc>
      </w:tr>
      <w:tr w:rsidR="00D35C5A" w:rsidRPr="003F32F8" w14:paraId="2EB447F6" w14:textId="77777777" w:rsidTr="00E32E44">
        <w:trPr>
          <w:trHeight w:val="503"/>
          <w:jc w:val="center"/>
        </w:trPr>
        <w:tc>
          <w:tcPr>
            <w:tcW w:w="1524" w:type="dxa"/>
            <w:vMerge/>
            <w:tcBorders>
              <w:left w:val="single" w:sz="8" w:space="0" w:color="auto"/>
              <w:right w:val="single" w:sz="8" w:space="0" w:color="auto"/>
            </w:tcBorders>
            <w:shd w:val="clear" w:color="auto" w:fill="auto"/>
            <w:vAlign w:val="center"/>
          </w:tcPr>
          <w:p w14:paraId="751FD623" w14:textId="77777777" w:rsidR="00D35C5A" w:rsidRPr="007E5631" w:rsidRDefault="00D35C5A" w:rsidP="00D35C5A">
            <w:pPr>
              <w:spacing w:before="120" w:after="0"/>
              <w:rPr>
                <w:rFonts w:asciiTheme="majorHAnsi" w:hAnsiTheme="majorHAnsi" w:cstheme="majorHAnsi"/>
              </w:rPr>
            </w:pPr>
          </w:p>
        </w:tc>
        <w:tc>
          <w:tcPr>
            <w:tcW w:w="4879" w:type="dxa"/>
            <w:tcBorders>
              <w:left w:val="single" w:sz="8" w:space="0" w:color="auto"/>
              <w:bottom w:val="single" w:sz="4" w:space="0" w:color="auto"/>
            </w:tcBorders>
            <w:shd w:val="clear" w:color="auto" w:fill="auto"/>
            <w:vAlign w:val="center"/>
          </w:tcPr>
          <w:p w14:paraId="6166EED4" w14:textId="7145464B" w:rsidR="00D35C5A" w:rsidRPr="007E5631" w:rsidRDefault="00D35C5A" w:rsidP="00D35C5A">
            <w:pPr>
              <w:spacing w:before="120" w:after="0"/>
              <w:rPr>
                <w:rFonts w:asciiTheme="majorHAnsi" w:hAnsiTheme="majorHAnsi" w:cstheme="majorHAnsi"/>
              </w:rPr>
            </w:pPr>
            <w:r w:rsidRPr="007E5631">
              <w:rPr>
                <w:rFonts w:asciiTheme="majorHAnsi" w:hAnsiTheme="majorHAnsi" w:cstheme="majorHAnsi"/>
                <w:color w:val="000000"/>
              </w:rPr>
              <w:t>Not Employed at Program Enrollment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44E52D6E" w14:textId="1A7E0592" w:rsidR="00D35C5A" w:rsidRPr="008F43C6" w:rsidRDefault="00D35C5A" w:rsidP="00D35C5A">
            <w:pPr>
              <w:spacing w:before="120" w:after="0"/>
              <w:jc w:val="center"/>
              <w:rPr>
                <w:rFonts w:asciiTheme="majorHAnsi" w:hAnsiTheme="majorHAnsi" w:cstheme="majorHAnsi"/>
              </w:rPr>
            </w:pPr>
            <w:r>
              <w:rPr>
                <w:rFonts w:cs="Calibri"/>
                <w:color w:val="000000"/>
              </w:rPr>
              <w:t>224</w:t>
            </w:r>
          </w:p>
        </w:tc>
        <w:tc>
          <w:tcPr>
            <w:tcW w:w="1845" w:type="dxa"/>
            <w:tcBorders>
              <w:top w:val="single" w:sz="4" w:space="0" w:color="auto"/>
              <w:left w:val="nil"/>
              <w:bottom w:val="single" w:sz="4" w:space="0" w:color="auto"/>
              <w:right w:val="single" w:sz="8" w:space="0" w:color="auto"/>
            </w:tcBorders>
            <w:shd w:val="clear" w:color="auto" w:fill="auto"/>
            <w:vAlign w:val="bottom"/>
          </w:tcPr>
          <w:p w14:paraId="270CBCD0" w14:textId="2C64D271" w:rsidR="00D35C5A" w:rsidRPr="008F43C6" w:rsidRDefault="00D35C5A" w:rsidP="00D35C5A">
            <w:pPr>
              <w:spacing w:before="120" w:after="0"/>
              <w:jc w:val="center"/>
              <w:rPr>
                <w:rFonts w:asciiTheme="majorHAnsi" w:hAnsiTheme="majorHAnsi" w:cstheme="majorHAnsi"/>
              </w:rPr>
            </w:pPr>
            <w:r>
              <w:rPr>
                <w:rFonts w:cs="Calibri"/>
                <w:color w:val="000000"/>
              </w:rPr>
              <w:t>100.0%</w:t>
            </w:r>
          </w:p>
        </w:tc>
      </w:tr>
      <w:tr w:rsidR="00D35C5A" w:rsidRPr="003F32F8" w14:paraId="5EC00739" w14:textId="77777777" w:rsidTr="00551ACB">
        <w:trPr>
          <w:trHeight w:val="432"/>
          <w:jc w:val="center"/>
        </w:trPr>
        <w:tc>
          <w:tcPr>
            <w:tcW w:w="1524" w:type="dxa"/>
            <w:vMerge/>
            <w:tcBorders>
              <w:left w:val="single" w:sz="8" w:space="0" w:color="auto"/>
              <w:right w:val="single" w:sz="8" w:space="0" w:color="auto"/>
            </w:tcBorders>
            <w:shd w:val="clear" w:color="auto" w:fill="auto"/>
            <w:vAlign w:val="center"/>
          </w:tcPr>
          <w:p w14:paraId="55397E62" w14:textId="77777777" w:rsidR="00D35C5A" w:rsidRPr="007E5631" w:rsidRDefault="00D35C5A" w:rsidP="00D35C5A">
            <w:pPr>
              <w:spacing w:before="120" w:after="0"/>
              <w:rPr>
                <w:rFonts w:asciiTheme="majorHAnsi" w:hAnsiTheme="majorHAnsi" w:cstheme="majorHAnsi"/>
              </w:rPr>
            </w:pPr>
          </w:p>
        </w:tc>
        <w:tc>
          <w:tcPr>
            <w:tcW w:w="4879" w:type="dxa"/>
            <w:tcBorders>
              <w:left w:val="single" w:sz="8" w:space="0" w:color="auto"/>
              <w:bottom w:val="single" w:sz="4" w:space="0" w:color="auto"/>
            </w:tcBorders>
            <w:shd w:val="clear" w:color="auto" w:fill="FFFFFF"/>
            <w:vAlign w:val="center"/>
          </w:tcPr>
          <w:p w14:paraId="19B26386" w14:textId="577CCA02" w:rsidR="00D35C5A" w:rsidRPr="007E5631" w:rsidRDefault="00D35C5A" w:rsidP="00D35C5A">
            <w:pPr>
              <w:spacing w:before="120" w:after="0"/>
              <w:rPr>
                <w:rFonts w:asciiTheme="majorHAnsi" w:hAnsiTheme="majorHAnsi" w:cstheme="majorHAnsi"/>
              </w:rPr>
            </w:pPr>
            <w:r w:rsidRPr="007E5631">
              <w:rPr>
                <w:rFonts w:asciiTheme="majorHAnsi" w:hAnsiTheme="majorHAnsi" w:cstheme="majorHAnsi"/>
                <w:color w:val="000000"/>
              </w:rPr>
              <w:t>Veteran</w:t>
            </w:r>
          </w:p>
        </w:tc>
        <w:tc>
          <w:tcPr>
            <w:tcW w:w="1822" w:type="dxa"/>
            <w:tcBorders>
              <w:top w:val="single" w:sz="4" w:space="0" w:color="auto"/>
              <w:left w:val="nil"/>
              <w:bottom w:val="single" w:sz="4" w:space="0" w:color="auto"/>
              <w:right w:val="single" w:sz="4" w:space="0" w:color="auto"/>
            </w:tcBorders>
            <w:shd w:val="clear" w:color="auto" w:fill="auto"/>
            <w:vAlign w:val="bottom"/>
          </w:tcPr>
          <w:p w14:paraId="6BA0D110" w14:textId="5853CCF7" w:rsidR="00D35C5A" w:rsidRPr="008F43C6" w:rsidRDefault="00D35C5A" w:rsidP="00D35C5A">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1381344C" w14:textId="50860FEA" w:rsidR="00D35C5A" w:rsidRPr="008F43C6" w:rsidRDefault="00D35C5A" w:rsidP="00D35C5A">
            <w:pPr>
              <w:spacing w:before="120" w:after="0"/>
              <w:jc w:val="center"/>
              <w:rPr>
                <w:rFonts w:asciiTheme="majorHAnsi" w:hAnsiTheme="majorHAnsi" w:cstheme="majorHAnsi"/>
              </w:rPr>
            </w:pPr>
            <w:r>
              <w:rPr>
                <w:rFonts w:cs="Calibri"/>
                <w:color w:val="000000"/>
              </w:rPr>
              <w:t>0.0%</w:t>
            </w:r>
          </w:p>
        </w:tc>
      </w:tr>
      <w:tr w:rsidR="00D35C5A" w:rsidRPr="003F32F8" w14:paraId="48BEED7C" w14:textId="77777777" w:rsidTr="008F43C6">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6911562A" w14:textId="77777777" w:rsidR="00D35C5A" w:rsidRPr="007E5631" w:rsidRDefault="00D35C5A" w:rsidP="00D35C5A">
            <w:pPr>
              <w:spacing w:before="120" w:after="0"/>
              <w:rPr>
                <w:rFonts w:asciiTheme="majorHAnsi" w:hAnsiTheme="majorHAnsi" w:cstheme="majorHAnsi"/>
              </w:rPr>
            </w:pPr>
          </w:p>
        </w:tc>
        <w:tc>
          <w:tcPr>
            <w:tcW w:w="4879" w:type="dxa"/>
            <w:tcBorders>
              <w:left w:val="single" w:sz="8" w:space="0" w:color="auto"/>
              <w:bottom w:val="single" w:sz="8" w:space="0" w:color="auto"/>
            </w:tcBorders>
            <w:shd w:val="clear" w:color="auto" w:fill="FFFFFF"/>
            <w:vAlign w:val="center"/>
          </w:tcPr>
          <w:p w14:paraId="592378AD" w14:textId="6EF8CAE9" w:rsidR="00D35C5A" w:rsidRPr="007E5631" w:rsidRDefault="00D35C5A" w:rsidP="00D35C5A">
            <w:pPr>
              <w:spacing w:before="120" w:after="0"/>
              <w:rPr>
                <w:rFonts w:asciiTheme="majorHAnsi" w:hAnsiTheme="majorHAnsi" w:cstheme="majorHAnsi"/>
                <w:color w:val="000000"/>
              </w:rPr>
            </w:pPr>
            <w:r w:rsidRPr="007E5631">
              <w:rPr>
                <w:rFonts w:asciiTheme="majorHAnsi" w:hAnsiTheme="majorHAnsi" w:cstheme="majorHAnsi"/>
                <w:color w:val="000000"/>
              </w:rPr>
              <w:t xml:space="preserve">Economically Disadvantaged </w:t>
            </w:r>
          </w:p>
        </w:tc>
        <w:tc>
          <w:tcPr>
            <w:tcW w:w="1822" w:type="dxa"/>
            <w:tcBorders>
              <w:top w:val="single" w:sz="4" w:space="0" w:color="auto"/>
              <w:left w:val="nil"/>
              <w:bottom w:val="single" w:sz="8" w:space="0" w:color="auto"/>
              <w:right w:val="single" w:sz="4" w:space="0" w:color="auto"/>
            </w:tcBorders>
            <w:shd w:val="clear" w:color="auto" w:fill="auto"/>
            <w:vAlign w:val="bottom"/>
          </w:tcPr>
          <w:p w14:paraId="40D96282" w14:textId="7CEDD0C2" w:rsidR="00D35C5A" w:rsidRPr="008F43C6" w:rsidRDefault="00D35C5A" w:rsidP="00D35C5A">
            <w:pPr>
              <w:spacing w:before="120" w:after="0"/>
              <w:jc w:val="center"/>
              <w:rPr>
                <w:rFonts w:asciiTheme="majorHAnsi" w:hAnsiTheme="majorHAnsi" w:cstheme="majorHAnsi"/>
              </w:rPr>
            </w:pPr>
            <w:r>
              <w:rPr>
                <w:rFonts w:cs="Calibri"/>
                <w:color w:val="000000"/>
              </w:rPr>
              <w:t>224</w:t>
            </w:r>
          </w:p>
        </w:tc>
        <w:tc>
          <w:tcPr>
            <w:tcW w:w="1845" w:type="dxa"/>
            <w:tcBorders>
              <w:top w:val="single" w:sz="4" w:space="0" w:color="auto"/>
              <w:left w:val="nil"/>
              <w:bottom w:val="single" w:sz="8" w:space="0" w:color="auto"/>
              <w:right w:val="single" w:sz="8" w:space="0" w:color="auto"/>
            </w:tcBorders>
            <w:shd w:val="clear" w:color="000000" w:fill="FFFFFF"/>
            <w:vAlign w:val="bottom"/>
          </w:tcPr>
          <w:p w14:paraId="6EA4F103" w14:textId="0FE85008" w:rsidR="00D35C5A" w:rsidRPr="008F43C6" w:rsidRDefault="00D35C5A" w:rsidP="00D35C5A">
            <w:pPr>
              <w:spacing w:before="120" w:after="0"/>
              <w:jc w:val="center"/>
              <w:rPr>
                <w:rFonts w:asciiTheme="majorHAnsi" w:hAnsiTheme="majorHAnsi" w:cstheme="majorHAnsi"/>
                <w:color w:val="000000"/>
              </w:rPr>
            </w:pPr>
            <w:r>
              <w:rPr>
                <w:rFonts w:cs="Calibri"/>
                <w:color w:val="000000"/>
              </w:rPr>
              <w:t>100.0%</w:t>
            </w:r>
          </w:p>
        </w:tc>
      </w:tr>
      <w:tr w:rsidR="008C075C" w:rsidRPr="003F32F8" w14:paraId="689E6F70" w14:textId="77777777" w:rsidTr="008F43C6">
        <w:trPr>
          <w:trHeight w:val="432"/>
          <w:jc w:val="center"/>
        </w:trPr>
        <w:tc>
          <w:tcPr>
            <w:tcW w:w="6403" w:type="dxa"/>
            <w:gridSpan w:val="2"/>
            <w:shd w:val="clear" w:color="auto" w:fill="DDDDDA"/>
            <w:vAlign w:val="center"/>
          </w:tcPr>
          <w:p w14:paraId="07E1F7B8" w14:textId="77777777" w:rsidR="008C075C" w:rsidRPr="007E5631" w:rsidRDefault="008C075C" w:rsidP="008C075C">
            <w:pPr>
              <w:spacing w:before="120" w:after="0"/>
              <w:jc w:val="center"/>
              <w:rPr>
                <w:rFonts w:asciiTheme="majorHAnsi" w:hAnsiTheme="majorHAnsi" w:cstheme="majorHAnsi"/>
              </w:rPr>
            </w:pPr>
            <w:r w:rsidRPr="007E5631">
              <w:rPr>
                <w:rFonts w:asciiTheme="majorHAnsi" w:hAnsiTheme="majorHAnsi" w:cstheme="majorHAnsi"/>
                <w:b/>
                <w:bCs/>
                <w:lang w:bidi="ar-SA"/>
              </w:rPr>
              <w:t>Program Services and Activities Data</w:t>
            </w:r>
          </w:p>
        </w:tc>
        <w:tc>
          <w:tcPr>
            <w:tcW w:w="1822" w:type="dxa"/>
            <w:shd w:val="clear" w:color="auto" w:fill="DDDDDA"/>
            <w:vAlign w:val="center"/>
          </w:tcPr>
          <w:p w14:paraId="02E8F170"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Total</w:t>
            </w:r>
          </w:p>
        </w:tc>
        <w:tc>
          <w:tcPr>
            <w:tcW w:w="1845" w:type="dxa"/>
            <w:shd w:val="clear" w:color="auto" w:fill="DDDDDA"/>
            <w:vAlign w:val="center"/>
          </w:tcPr>
          <w:p w14:paraId="3D8313E1"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Percentage</w:t>
            </w:r>
          </w:p>
        </w:tc>
      </w:tr>
      <w:tr w:rsidR="00540713" w:rsidRPr="003F32F8" w14:paraId="5495D6C2" w14:textId="77777777" w:rsidTr="005E4CCD">
        <w:trPr>
          <w:trHeight w:val="557"/>
          <w:jc w:val="center"/>
        </w:trPr>
        <w:tc>
          <w:tcPr>
            <w:tcW w:w="6403" w:type="dxa"/>
            <w:gridSpan w:val="2"/>
            <w:shd w:val="clear" w:color="auto" w:fill="auto"/>
            <w:vAlign w:val="center"/>
          </w:tcPr>
          <w:p w14:paraId="2125FE38" w14:textId="6E9CCAAF"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Education or Job Training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49967EB6" w14:textId="3CDF71EF" w:rsidR="00540713" w:rsidRPr="008F43C6" w:rsidRDefault="000B4731" w:rsidP="00540713">
            <w:pPr>
              <w:spacing w:before="120" w:after="0"/>
              <w:jc w:val="center"/>
              <w:rPr>
                <w:rFonts w:asciiTheme="majorHAnsi" w:hAnsiTheme="majorHAnsi" w:cstheme="majorHAnsi"/>
              </w:rPr>
            </w:pPr>
            <w:r>
              <w:rPr>
                <w:rFonts w:cs="Calibri"/>
                <w:color w:val="000000"/>
              </w:rPr>
              <w:t>224</w:t>
            </w:r>
          </w:p>
        </w:tc>
        <w:tc>
          <w:tcPr>
            <w:tcW w:w="1845" w:type="dxa"/>
            <w:tcBorders>
              <w:top w:val="single" w:sz="4" w:space="0" w:color="auto"/>
              <w:left w:val="nil"/>
              <w:bottom w:val="single" w:sz="4" w:space="0" w:color="auto"/>
              <w:right w:val="single" w:sz="8" w:space="0" w:color="auto"/>
            </w:tcBorders>
            <w:shd w:val="clear" w:color="auto" w:fill="auto"/>
            <w:vAlign w:val="center"/>
          </w:tcPr>
          <w:p w14:paraId="2D87FA30" w14:textId="4A7174F1" w:rsidR="00540713" w:rsidRPr="008F43C6" w:rsidRDefault="000B4731" w:rsidP="00540713">
            <w:pPr>
              <w:spacing w:before="120" w:after="0"/>
              <w:jc w:val="center"/>
              <w:rPr>
                <w:rFonts w:asciiTheme="majorHAnsi" w:hAnsiTheme="majorHAnsi" w:cstheme="majorHAnsi"/>
              </w:rPr>
            </w:pPr>
            <w:r>
              <w:rPr>
                <w:rFonts w:cs="Calibri"/>
                <w:color w:val="000000"/>
              </w:rPr>
              <w:t>100.0%</w:t>
            </w:r>
          </w:p>
        </w:tc>
      </w:tr>
      <w:tr w:rsidR="00540713" w:rsidRPr="003F32F8" w14:paraId="2E6C5590" w14:textId="77777777" w:rsidTr="005E4CCD">
        <w:trPr>
          <w:trHeight w:val="432"/>
          <w:jc w:val="center"/>
        </w:trPr>
        <w:tc>
          <w:tcPr>
            <w:tcW w:w="6403" w:type="dxa"/>
            <w:gridSpan w:val="2"/>
            <w:shd w:val="clear" w:color="auto" w:fill="auto"/>
            <w:vAlign w:val="center"/>
          </w:tcPr>
          <w:p w14:paraId="135CA9B8" w14:textId="0B41ECFA"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Work Experience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64E7B821" w14:textId="71D54A1E" w:rsidR="00540713" w:rsidRPr="008F43C6" w:rsidRDefault="000B4731" w:rsidP="00540713">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center"/>
          </w:tcPr>
          <w:p w14:paraId="288FC459" w14:textId="3C2BD28C" w:rsidR="00540713" w:rsidRPr="008F43C6" w:rsidRDefault="000B4731" w:rsidP="00540713">
            <w:pPr>
              <w:spacing w:before="120" w:after="0"/>
              <w:jc w:val="center"/>
              <w:rPr>
                <w:rFonts w:asciiTheme="majorHAnsi" w:hAnsiTheme="majorHAnsi" w:cstheme="majorHAnsi"/>
              </w:rPr>
            </w:pPr>
            <w:r>
              <w:rPr>
                <w:rFonts w:cs="Calibri"/>
                <w:color w:val="000000"/>
              </w:rPr>
              <w:t>0.0%</w:t>
            </w:r>
          </w:p>
        </w:tc>
      </w:tr>
      <w:tr w:rsidR="00540713" w:rsidRPr="003F32F8" w14:paraId="521BBDAA" w14:textId="77777777" w:rsidTr="005E4CCD">
        <w:trPr>
          <w:trHeight w:val="432"/>
          <w:jc w:val="center"/>
        </w:trPr>
        <w:tc>
          <w:tcPr>
            <w:tcW w:w="6403" w:type="dxa"/>
            <w:gridSpan w:val="2"/>
            <w:shd w:val="clear" w:color="auto" w:fill="auto"/>
            <w:vAlign w:val="center"/>
          </w:tcPr>
          <w:p w14:paraId="0D1B36E1"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Community Involvement and Leadership Development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681506BD" w14:textId="11907218" w:rsidR="00540713" w:rsidRPr="008F43C6" w:rsidRDefault="000B4731" w:rsidP="00540713">
            <w:pPr>
              <w:spacing w:before="120" w:after="0"/>
              <w:jc w:val="center"/>
              <w:rPr>
                <w:rFonts w:asciiTheme="majorHAnsi" w:hAnsiTheme="majorHAnsi" w:cstheme="majorHAnsi"/>
              </w:rPr>
            </w:pPr>
            <w:r>
              <w:rPr>
                <w:rFonts w:asciiTheme="majorHAnsi" w:hAnsiTheme="majorHAnsi" w:cstheme="majorHAnsi"/>
              </w:rPr>
              <w:t>224</w:t>
            </w:r>
          </w:p>
        </w:tc>
        <w:tc>
          <w:tcPr>
            <w:tcW w:w="1845" w:type="dxa"/>
            <w:tcBorders>
              <w:top w:val="single" w:sz="4" w:space="0" w:color="auto"/>
              <w:left w:val="nil"/>
              <w:bottom w:val="single" w:sz="4" w:space="0" w:color="auto"/>
              <w:right w:val="single" w:sz="8" w:space="0" w:color="auto"/>
            </w:tcBorders>
            <w:shd w:val="clear" w:color="auto" w:fill="auto"/>
            <w:vAlign w:val="center"/>
          </w:tcPr>
          <w:p w14:paraId="09B078EC" w14:textId="1B2E2098" w:rsidR="00540713" w:rsidRPr="008F43C6" w:rsidRDefault="000B4731" w:rsidP="00540713">
            <w:pPr>
              <w:spacing w:before="120" w:after="0"/>
              <w:jc w:val="center"/>
              <w:rPr>
                <w:rFonts w:asciiTheme="majorHAnsi" w:hAnsiTheme="majorHAnsi" w:cstheme="majorHAnsi"/>
              </w:rPr>
            </w:pPr>
            <w:r>
              <w:rPr>
                <w:rFonts w:asciiTheme="majorHAnsi" w:hAnsiTheme="majorHAnsi" w:cstheme="majorHAnsi"/>
              </w:rPr>
              <w:t>100.0%</w:t>
            </w:r>
          </w:p>
        </w:tc>
      </w:tr>
      <w:tr w:rsidR="00540713" w:rsidRPr="003F32F8" w14:paraId="2D43D985" w14:textId="77777777" w:rsidTr="005E4CCD">
        <w:trPr>
          <w:trHeight w:val="432"/>
          <w:jc w:val="center"/>
        </w:trPr>
        <w:tc>
          <w:tcPr>
            <w:tcW w:w="6403" w:type="dxa"/>
            <w:gridSpan w:val="2"/>
            <w:shd w:val="clear" w:color="auto" w:fill="auto"/>
            <w:vAlign w:val="center"/>
          </w:tcPr>
          <w:p w14:paraId="0D480AFD"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Post-Secondary Exploration, Career Guidance and Planning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1FDA326D" w14:textId="439B3EFD" w:rsidR="00540713" w:rsidRPr="008F43C6" w:rsidRDefault="000B4731" w:rsidP="00540713">
            <w:pPr>
              <w:spacing w:before="120" w:after="0"/>
              <w:jc w:val="center"/>
              <w:rPr>
                <w:rFonts w:asciiTheme="majorHAnsi" w:hAnsiTheme="majorHAnsi" w:cstheme="majorHAnsi"/>
              </w:rPr>
            </w:pPr>
            <w:r>
              <w:rPr>
                <w:rFonts w:asciiTheme="majorHAnsi" w:hAnsiTheme="majorHAnsi" w:cstheme="majorHAnsi"/>
              </w:rPr>
              <w:t>224</w:t>
            </w:r>
          </w:p>
        </w:tc>
        <w:tc>
          <w:tcPr>
            <w:tcW w:w="1845" w:type="dxa"/>
            <w:tcBorders>
              <w:top w:val="single" w:sz="4" w:space="0" w:color="auto"/>
              <w:left w:val="nil"/>
              <w:bottom w:val="single" w:sz="4" w:space="0" w:color="auto"/>
              <w:right w:val="single" w:sz="8" w:space="0" w:color="auto"/>
            </w:tcBorders>
            <w:shd w:val="clear" w:color="auto" w:fill="auto"/>
            <w:vAlign w:val="center"/>
          </w:tcPr>
          <w:p w14:paraId="10CD4103" w14:textId="04038936" w:rsidR="00540713" w:rsidRPr="008F43C6" w:rsidRDefault="000B4731" w:rsidP="00540713">
            <w:pPr>
              <w:spacing w:before="120" w:after="0"/>
              <w:jc w:val="center"/>
              <w:rPr>
                <w:rFonts w:asciiTheme="majorHAnsi" w:hAnsiTheme="majorHAnsi" w:cstheme="majorHAnsi"/>
              </w:rPr>
            </w:pPr>
            <w:r>
              <w:rPr>
                <w:rFonts w:asciiTheme="majorHAnsi" w:hAnsiTheme="majorHAnsi" w:cstheme="majorHAnsi"/>
              </w:rPr>
              <w:t>100.0%</w:t>
            </w:r>
          </w:p>
        </w:tc>
      </w:tr>
      <w:tr w:rsidR="00540713" w:rsidRPr="003F32F8" w14:paraId="410CCE31" w14:textId="77777777" w:rsidTr="005E4CCD">
        <w:trPr>
          <w:trHeight w:val="432"/>
          <w:jc w:val="center"/>
        </w:trPr>
        <w:tc>
          <w:tcPr>
            <w:tcW w:w="6403" w:type="dxa"/>
            <w:gridSpan w:val="2"/>
            <w:shd w:val="clear" w:color="auto" w:fill="auto"/>
            <w:vAlign w:val="center"/>
          </w:tcPr>
          <w:p w14:paraId="1EFC9D75"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Mentoring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5C3158AF" w14:textId="107F28BF" w:rsidR="00540713" w:rsidRPr="008F43C6" w:rsidRDefault="000B4731" w:rsidP="00540713">
            <w:pPr>
              <w:tabs>
                <w:tab w:val="center" w:pos="831"/>
                <w:tab w:val="left" w:pos="1356"/>
              </w:tabs>
              <w:spacing w:before="120" w:after="0"/>
              <w:jc w:val="center"/>
              <w:rPr>
                <w:rFonts w:asciiTheme="majorHAnsi" w:hAnsiTheme="majorHAnsi" w:cstheme="majorHAnsi"/>
              </w:rPr>
            </w:pPr>
            <w:r>
              <w:rPr>
                <w:rFonts w:asciiTheme="majorHAnsi" w:hAnsiTheme="majorHAnsi" w:cstheme="majorHAnsi"/>
              </w:rPr>
              <w:t>224</w:t>
            </w:r>
          </w:p>
        </w:tc>
        <w:tc>
          <w:tcPr>
            <w:tcW w:w="1845" w:type="dxa"/>
            <w:tcBorders>
              <w:top w:val="single" w:sz="4" w:space="0" w:color="auto"/>
              <w:left w:val="nil"/>
              <w:bottom w:val="single" w:sz="4" w:space="0" w:color="auto"/>
              <w:right w:val="single" w:sz="8" w:space="0" w:color="auto"/>
            </w:tcBorders>
            <w:shd w:val="clear" w:color="auto" w:fill="auto"/>
            <w:vAlign w:val="center"/>
          </w:tcPr>
          <w:p w14:paraId="6C2420D7" w14:textId="2E1C2296" w:rsidR="00540713" w:rsidRPr="008F43C6" w:rsidRDefault="000B4731" w:rsidP="00540713">
            <w:pPr>
              <w:spacing w:before="120" w:after="0"/>
              <w:jc w:val="center"/>
              <w:rPr>
                <w:rFonts w:asciiTheme="majorHAnsi" w:hAnsiTheme="majorHAnsi" w:cstheme="majorHAnsi"/>
              </w:rPr>
            </w:pPr>
            <w:r>
              <w:rPr>
                <w:rFonts w:asciiTheme="majorHAnsi" w:hAnsiTheme="majorHAnsi" w:cstheme="majorHAnsi"/>
              </w:rPr>
              <w:t>100.0%</w:t>
            </w:r>
          </w:p>
        </w:tc>
      </w:tr>
      <w:tr w:rsidR="00540713" w:rsidRPr="003F32F8" w14:paraId="01671D62" w14:textId="77777777" w:rsidTr="005E4CCD">
        <w:trPr>
          <w:trHeight w:val="432"/>
          <w:jc w:val="center"/>
        </w:trPr>
        <w:tc>
          <w:tcPr>
            <w:tcW w:w="6403" w:type="dxa"/>
            <w:gridSpan w:val="2"/>
            <w:tcBorders>
              <w:bottom w:val="single" w:sz="4" w:space="0" w:color="auto"/>
            </w:tcBorders>
            <w:shd w:val="clear" w:color="auto" w:fill="auto"/>
            <w:vAlign w:val="center"/>
          </w:tcPr>
          <w:p w14:paraId="234F11D5" w14:textId="77777777" w:rsidR="00540713" w:rsidRPr="007E5631" w:rsidRDefault="00540713" w:rsidP="00540713">
            <w:pPr>
              <w:spacing w:before="0" w:after="0" w:line="240" w:lineRule="auto"/>
              <w:ind w:left="240"/>
              <w:rPr>
                <w:rFonts w:asciiTheme="majorHAnsi" w:hAnsiTheme="majorHAnsi" w:cstheme="majorHAnsi"/>
              </w:rPr>
            </w:pPr>
            <w:r w:rsidRPr="007E5631">
              <w:rPr>
                <w:rFonts w:asciiTheme="majorHAnsi" w:hAnsiTheme="majorHAnsi" w:cstheme="majorHAnsi"/>
              </w:rPr>
              <w:t>Received Support Services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2B6BDEAA" w14:textId="6E61412D" w:rsidR="00540713" w:rsidRPr="008F43C6" w:rsidRDefault="000B4731" w:rsidP="00540713">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center"/>
          </w:tcPr>
          <w:p w14:paraId="6449E1C5" w14:textId="34BE0453" w:rsidR="00540713" w:rsidRPr="008F43C6" w:rsidRDefault="000B4731" w:rsidP="00540713">
            <w:pPr>
              <w:spacing w:before="120" w:after="0"/>
              <w:jc w:val="center"/>
              <w:rPr>
                <w:rFonts w:asciiTheme="majorHAnsi" w:hAnsiTheme="majorHAnsi" w:cstheme="majorHAnsi"/>
              </w:rPr>
            </w:pPr>
            <w:r>
              <w:rPr>
                <w:rFonts w:asciiTheme="majorHAnsi" w:hAnsiTheme="majorHAnsi" w:cstheme="majorHAnsi"/>
              </w:rPr>
              <w:t>0.0%</w:t>
            </w:r>
          </w:p>
        </w:tc>
      </w:tr>
      <w:tr w:rsidR="008C075C" w:rsidRPr="003F32F8" w14:paraId="2F7BB79D" w14:textId="77777777" w:rsidTr="008F43C6">
        <w:trPr>
          <w:trHeight w:val="432"/>
          <w:jc w:val="center"/>
        </w:trPr>
        <w:tc>
          <w:tcPr>
            <w:tcW w:w="6403" w:type="dxa"/>
            <w:gridSpan w:val="2"/>
            <w:shd w:val="clear" w:color="auto" w:fill="DDDDDA"/>
            <w:vAlign w:val="center"/>
          </w:tcPr>
          <w:p w14:paraId="7F264826" w14:textId="77777777" w:rsidR="008C075C" w:rsidRPr="007E5631" w:rsidRDefault="008C075C" w:rsidP="008C075C">
            <w:pPr>
              <w:spacing w:before="120" w:after="0"/>
              <w:jc w:val="center"/>
              <w:rPr>
                <w:rFonts w:asciiTheme="majorHAnsi" w:hAnsiTheme="majorHAnsi" w:cstheme="majorHAnsi"/>
              </w:rPr>
            </w:pPr>
            <w:r w:rsidRPr="007E5631">
              <w:rPr>
                <w:rFonts w:asciiTheme="majorHAnsi" w:hAnsiTheme="majorHAnsi" w:cstheme="majorHAnsi"/>
                <w:b/>
                <w:bCs/>
                <w:lang w:bidi="ar-SA"/>
              </w:rPr>
              <w:lastRenderedPageBreak/>
              <w:t>Participant Satisfaction Data</w:t>
            </w:r>
          </w:p>
        </w:tc>
        <w:tc>
          <w:tcPr>
            <w:tcW w:w="1822" w:type="dxa"/>
            <w:shd w:val="clear" w:color="auto" w:fill="DDDDDA"/>
            <w:vAlign w:val="center"/>
          </w:tcPr>
          <w:p w14:paraId="7AAADEA6"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Total</w:t>
            </w:r>
          </w:p>
        </w:tc>
        <w:tc>
          <w:tcPr>
            <w:tcW w:w="1845" w:type="dxa"/>
            <w:shd w:val="clear" w:color="auto" w:fill="DDDDDA"/>
            <w:vAlign w:val="center"/>
          </w:tcPr>
          <w:p w14:paraId="082C8875" w14:textId="77777777" w:rsidR="008C075C" w:rsidRPr="007E5631" w:rsidRDefault="008C075C" w:rsidP="008C075C">
            <w:pPr>
              <w:spacing w:before="120" w:after="0"/>
              <w:jc w:val="center"/>
              <w:rPr>
                <w:rFonts w:asciiTheme="majorHAnsi" w:hAnsiTheme="majorHAnsi" w:cstheme="majorHAnsi"/>
                <w:b/>
                <w:bCs/>
              </w:rPr>
            </w:pPr>
            <w:r w:rsidRPr="007E5631">
              <w:rPr>
                <w:rFonts w:asciiTheme="majorHAnsi" w:hAnsiTheme="majorHAnsi" w:cstheme="majorHAnsi"/>
                <w:b/>
                <w:bCs/>
              </w:rPr>
              <w:t xml:space="preserve">Percentage </w:t>
            </w:r>
            <w:r w:rsidRPr="007E5631">
              <w:rPr>
                <w:rFonts w:asciiTheme="majorHAnsi" w:hAnsiTheme="majorHAnsi" w:cstheme="majorHAnsi"/>
                <w:b/>
                <w:bCs/>
              </w:rPr>
              <w:br/>
              <w:t>(of responses)</w:t>
            </w:r>
          </w:p>
        </w:tc>
      </w:tr>
      <w:tr w:rsidR="007C443F" w:rsidRPr="003F32F8" w14:paraId="70BB964B" w14:textId="77777777" w:rsidTr="008F43C6">
        <w:trPr>
          <w:trHeight w:val="432"/>
          <w:jc w:val="center"/>
        </w:trPr>
        <w:tc>
          <w:tcPr>
            <w:tcW w:w="6403" w:type="dxa"/>
            <w:gridSpan w:val="2"/>
            <w:tcBorders>
              <w:left w:val="single" w:sz="8" w:space="0" w:color="auto"/>
            </w:tcBorders>
            <w:shd w:val="clear" w:color="auto" w:fill="auto"/>
            <w:vAlign w:val="center"/>
          </w:tcPr>
          <w:p w14:paraId="383FC3F9" w14:textId="77777777" w:rsidR="007C443F" w:rsidRPr="007E5631" w:rsidRDefault="007C443F" w:rsidP="007C443F">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“Excellent”</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014DFB4E" w14:textId="4DC02E12" w:rsidR="007C443F" w:rsidRPr="008F43C6" w:rsidRDefault="007C443F" w:rsidP="007C443F">
            <w:pPr>
              <w:spacing w:before="120" w:after="0"/>
              <w:jc w:val="center"/>
              <w:rPr>
                <w:rFonts w:asciiTheme="majorHAnsi" w:hAnsiTheme="majorHAnsi" w:cstheme="majorHAnsi"/>
              </w:rPr>
            </w:pPr>
            <w:r>
              <w:rPr>
                <w:rFonts w:cs="Calibri"/>
                <w:color w:val="000000"/>
              </w:rPr>
              <w:t>75</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27AE9CA1" w14:textId="7ED36FDD" w:rsidR="007C443F" w:rsidRPr="008F43C6" w:rsidRDefault="007C443F" w:rsidP="007C443F">
            <w:pPr>
              <w:spacing w:before="120" w:after="0"/>
              <w:jc w:val="center"/>
              <w:rPr>
                <w:rFonts w:asciiTheme="majorHAnsi" w:hAnsiTheme="majorHAnsi" w:cstheme="majorHAnsi"/>
              </w:rPr>
            </w:pPr>
            <w:r>
              <w:rPr>
                <w:rFonts w:cs="Calibri"/>
                <w:color w:val="000000"/>
              </w:rPr>
              <w:t>37.3%</w:t>
            </w:r>
          </w:p>
        </w:tc>
      </w:tr>
      <w:tr w:rsidR="007C443F" w:rsidRPr="003F32F8" w14:paraId="64E42887" w14:textId="77777777" w:rsidTr="008F43C6">
        <w:trPr>
          <w:trHeight w:val="432"/>
          <w:jc w:val="center"/>
        </w:trPr>
        <w:tc>
          <w:tcPr>
            <w:tcW w:w="6403" w:type="dxa"/>
            <w:gridSpan w:val="2"/>
            <w:tcBorders>
              <w:left w:val="single" w:sz="8" w:space="0" w:color="auto"/>
            </w:tcBorders>
            <w:shd w:val="clear" w:color="auto" w:fill="auto"/>
            <w:vAlign w:val="center"/>
          </w:tcPr>
          <w:p w14:paraId="67819D5D" w14:textId="77777777" w:rsidR="007C443F" w:rsidRPr="007E5631" w:rsidRDefault="007C443F" w:rsidP="007C443F">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“Very Good”</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727EE069" w14:textId="50218767" w:rsidR="007C443F" w:rsidRPr="008F43C6" w:rsidRDefault="007C443F" w:rsidP="007C443F">
            <w:pPr>
              <w:spacing w:before="120" w:after="0"/>
              <w:jc w:val="center"/>
              <w:rPr>
                <w:rFonts w:asciiTheme="majorHAnsi" w:hAnsiTheme="majorHAnsi" w:cstheme="majorHAnsi"/>
              </w:rPr>
            </w:pPr>
            <w:r>
              <w:rPr>
                <w:rFonts w:cs="Calibri"/>
                <w:color w:val="000000"/>
              </w:rPr>
              <w:t>124</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0873FE01" w14:textId="0B7ED629" w:rsidR="007C443F" w:rsidRPr="008F43C6" w:rsidRDefault="007C443F" w:rsidP="007C443F">
            <w:pPr>
              <w:spacing w:before="120" w:after="0"/>
              <w:jc w:val="center"/>
              <w:rPr>
                <w:rFonts w:asciiTheme="majorHAnsi" w:hAnsiTheme="majorHAnsi" w:cstheme="majorHAnsi"/>
              </w:rPr>
            </w:pPr>
            <w:r>
              <w:rPr>
                <w:rFonts w:cs="Calibri"/>
                <w:color w:val="000000"/>
              </w:rPr>
              <w:t>61.7%</w:t>
            </w:r>
          </w:p>
        </w:tc>
      </w:tr>
      <w:tr w:rsidR="007C443F" w:rsidRPr="003F32F8" w14:paraId="56A36507" w14:textId="77777777" w:rsidTr="008F43C6">
        <w:trPr>
          <w:trHeight w:val="432"/>
          <w:jc w:val="center"/>
        </w:trPr>
        <w:tc>
          <w:tcPr>
            <w:tcW w:w="6403" w:type="dxa"/>
            <w:gridSpan w:val="2"/>
            <w:tcBorders>
              <w:left w:val="single" w:sz="8" w:space="0" w:color="auto"/>
            </w:tcBorders>
            <w:shd w:val="clear" w:color="auto" w:fill="auto"/>
            <w:vAlign w:val="center"/>
          </w:tcPr>
          <w:p w14:paraId="1FF3BDC7" w14:textId="77777777" w:rsidR="007C443F" w:rsidRPr="007E5631" w:rsidRDefault="007C443F" w:rsidP="007C443F">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“Average”</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64C442FF" w14:textId="1218E65E" w:rsidR="007C443F" w:rsidRPr="008F43C6" w:rsidRDefault="007C443F" w:rsidP="007C443F">
            <w:pPr>
              <w:spacing w:before="120" w:after="0"/>
              <w:jc w:val="center"/>
              <w:rPr>
                <w:rFonts w:asciiTheme="majorHAnsi" w:hAnsiTheme="majorHAnsi" w:cstheme="majorHAnsi"/>
              </w:rPr>
            </w:pPr>
            <w:r>
              <w:rPr>
                <w:rFonts w:cs="Calibri"/>
                <w:color w:val="000000"/>
              </w:rPr>
              <w:t>2</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584B2A52" w14:textId="1FF37C95" w:rsidR="007C443F" w:rsidRPr="008F43C6" w:rsidRDefault="007C443F" w:rsidP="007C443F">
            <w:pPr>
              <w:spacing w:before="120" w:after="0"/>
              <w:jc w:val="center"/>
              <w:rPr>
                <w:rFonts w:asciiTheme="majorHAnsi" w:hAnsiTheme="majorHAnsi" w:cstheme="majorHAnsi"/>
              </w:rPr>
            </w:pPr>
            <w:r>
              <w:rPr>
                <w:rFonts w:cs="Calibri"/>
                <w:color w:val="000000"/>
              </w:rPr>
              <w:t>1.0%</w:t>
            </w:r>
          </w:p>
        </w:tc>
      </w:tr>
      <w:tr w:rsidR="007C443F" w:rsidRPr="003F32F8" w14:paraId="01375331" w14:textId="77777777" w:rsidTr="008F43C6">
        <w:trPr>
          <w:trHeight w:val="432"/>
          <w:jc w:val="center"/>
        </w:trPr>
        <w:tc>
          <w:tcPr>
            <w:tcW w:w="6403" w:type="dxa"/>
            <w:gridSpan w:val="2"/>
            <w:tcBorders>
              <w:left w:val="single" w:sz="8" w:space="0" w:color="auto"/>
              <w:bottom w:val="single" w:sz="4" w:space="0" w:color="auto"/>
            </w:tcBorders>
            <w:shd w:val="clear" w:color="auto" w:fill="auto"/>
            <w:vAlign w:val="center"/>
          </w:tcPr>
          <w:p w14:paraId="5567A432" w14:textId="77777777" w:rsidR="007C443F" w:rsidRPr="007E5631" w:rsidRDefault="007C443F" w:rsidP="007C443F">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“Below Average”</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0412E62A" w14:textId="0982B1BF" w:rsidR="007C443F" w:rsidRPr="008F43C6" w:rsidRDefault="007C443F" w:rsidP="007C443F">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64147E1F" w14:textId="20D739BE" w:rsidR="007C443F" w:rsidRPr="008F43C6" w:rsidRDefault="007C443F" w:rsidP="007C443F">
            <w:pPr>
              <w:spacing w:before="120" w:after="0"/>
              <w:jc w:val="center"/>
              <w:rPr>
                <w:rFonts w:asciiTheme="majorHAnsi" w:hAnsiTheme="majorHAnsi" w:cstheme="majorHAnsi"/>
              </w:rPr>
            </w:pPr>
            <w:r>
              <w:rPr>
                <w:rFonts w:cs="Calibri"/>
                <w:color w:val="000000"/>
              </w:rPr>
              <w:t>0.0%</w:t>
            </w:r>
          </w:p>
        </w:tc>
      </w:tr>
      <w:tr w:rsidR="007C443F" w:rsidRPr="003F32F8" w14:paraId="5B572482" w14:textId="77777777" w:rsidTr="008F43C6">
        <w:trPr>
          <w:trHeight w:val="432"/>
          <w:jc w:val="center"/>
        </w:trPr>
        <w:tc>
          <w:tcPr>
            <w:tcW w:w="6403" w:type="dxa"/>
            <w:gridSpan w:val="2"/>
            <w:tcBorders>
              <w:left w:val="single" w:sz="8" w:space="0" w:color="auto"/>
              <w:bottom w:val="single" w:sz="8" w:space="0" w:color="auto"/>
            </w:tcBorders>
            <w:shd w:val="clear" w:color="auto" w:fill="auto"/>
            <w:vAlign w:val="center"/>
          </w:tcPr>
          <w:p w14:paraId="427F2FCE" w14:textId="77777777" w:rsidR="007C443F" w:rsidRPr="007E5631" w:rsidRDefault="007C443F" w:rsidP="007C443F">
            <w:pPr>
              <w:spacing w:before="0" w:after="0" w:line="240" w:lineRule="auto"/>
              <w:ind w:left="240"/>
              <w:rPr>
                <w:rFonts w:asciiTheme="majorHAnsi" w:hAnsiTheme="majorHAnsi" w:cstheme="majorHAnsi"/>
              </w:rPr>
            </w:pPr>
            <w:r w:rsidRPr="007E5631">
              <w:rPr>
                <w:rFonts w:asciiTheme="majorHAnsi" w:hAnsiTheme="majorHAnsi" w:cstheme="majorHAnsi"/>
              </w:rPr>
              <w:t>Number of participants rating experience as “Poor”</w:t>
            </w:r>
          </w:p>
        </w:tc>
        <w:tc>
          <w:tcPr>
            <w:tcW w:w="1822" w:type="dxa"/>
            <w:tcBorders>
              <w:top w:val="single" w:sz="4" w:space="0" w:color="auto"/>
              <w:left w:val="nil"/>
              <w:bottom w:val="single" w:sz="8" w:space="0" w:color="auto"/>
              <w:right w:val="single" w:sz="4" w:space="0" w:color="auto"/>
            </w:tcBorders>
            <w:shd w:val="clear" w:color="000000" w:fill="FFFFFF"/>
            <w:vAlign w:val="bottom"/>
          </w:tcPr>
          <w:p w14:paraId="2459C3BC" w14:textId="4AECFA54" w:rsidR="007C443F" w:rsidRPr="008F43C6" w:rsidRDefault="007C443F" w:rsidP="007C443F">
            <w:pPr>
              <w:spacing w:before="120" w:after="0"/>
              <w:jc w:val="center"/>
              <w:rPr>
                <w:rFonts w:asciiTheme="majorHAnsi" w:hAnsiTheme="majorHAnsi" w:cstheme="majorHAnsi"/>
              </w:rPr>
            </w:pPr>
            <w:r>
              <w:rPr>
                <w:rFonts w:cs="Calibri"/>
                <w:color w:val="000000"/>
              </w:rPr>
              <w:t>0</w:t>
            </w:r>
          </w:p>
        </w:tc>
        <w:tc>
          <w:tcPr>
            <w:tcW w:w="1845" w:type="dxa"/>
            <w:tcBorders>
              <w:top w:val="single" w:sz="4" w:space="0" w:color="auto"/>
              <w:left w:val="nil"/>
              <w:bottom w:val="single" w:sz="8" w:space="0" w:color="auto"/>
              <w:right w:val="single" w:sz="8" w:space="0" w:color="auto"/>
            </w:tcBorders>
            <w:shd w:val="clear" w:color="000000" w:fill="FFFFFF"/>
            <w:vAlign w:val="bottom"/>
          </w:tcPr>
          <w:p w14:paraId="22B6D6B2" w14:textId="06728791" w:rsidR="007C443F" w:rsidRPr="008F43C6" w:rsidRDefault="007C443F" w:rsidP="007C443F">
            <w:pPr>
              <w:spacing w:before="120" w:after="0"/>
              <w:jc w:val="center"/>
              <w:rPr>
                <w:rFonts w:asciiTheme="majorHAnsi" w:hAnsiTheme="majorHAnsi" w:cstheme="majorHAnsi"/>
              </w:rPr>
            </w:pPr>
            <w:r>
              <w:rPr>
                <w:rFonts w:cs="Calibri"/>
                <w:color w:val="000000"/>
              </w:rPr>
              <w:t>0.0%</w:t>
            </w:r>
          </w:p>
        </w:tc>
      </w:tr>
      <w:tr w:rsidR="007C443F" w:rsidRPr="003F32F8" w14:paraId="297BE874" w14:textId="77777777" w:rsidTr="008F43C6">
        <w:trPr>
          <w:trHeight w:val="432"/>
          <w:jc w:val="center"/>
        </w:trPr>
        <w:tc>
          <w:tcPr>
            <w:tcW w:w="640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92071C2" w14:textId="77777777" w:rsidR="007C443F" w:rsidRPr="007E5631" w:rsidRDefault="007C443F" w:rsidP="007C443F">
            <w:pPr>
              <w:spacing w:before="0" w:after="0" w:line="240" w:lineRule="auto"/>
              <w:ind w:left="240"/>
              <w:rPr>
                <w:rFonts w:asciiTheme="majorHAnsi" w:hAnsiTheme="majorHAnsi" w:cstheme="majorHAnsi"/>
              </w:rPr>
            </w:pPr>
            <w:r w:rsidRPr="007E5631">
              <w:rPr>
                <w:rFonts w:asciiTheme="majorHAnsi" w:hAnsiTheme="majorHAnsi" w:cstheme="majorHAnsi"/>
              </w:rPr>
              <w:t>Total Number of Surveys Completed</w:t>
            </w:r>
          </w:p>
        </w:tc>
        <w:tc>
          <w:tcPr>
            <w:tcW w:w="1822" w:type="dxa"/>
            <w:tcBorders>
              <w:top w:val="single" w:sz="4" w:space="0" w:color="auto"/>
              <w:left w:val="single" w:sz="8" w:space="0" w:color="auto"/>
              <w:bottom w:val="single" w:sz="8" w:space="0" w:color="auto"/>
              <w:right w:val="single" w:sz="8" w:space="0" w:color="auto"/>
            </w:tcBorders>
            <w:shd w:val="clear" w:color="000000" w:fill="FFFFFF"/>
            <w:vAlign w:val="bottom"/>
          </w:tcPr>
          <w:p w14:paraId="2CB8F3D9" w14:textId="674686D1" w:rsidR="007C443F" w:rsidRPr="008F43C6" w:rsidRDefault="007C443F" w:rsidP="007C443F">
            <w:pPr>
              <w:spacing w:before="120" w:after="0"/>
              <w:jc w:val="center"/>
              <w:rPr>
                <w:rFonts w:asciiTheme="majorHAnsi" w:hAnsiTheme="majorHAnsi" w:cstheme="majorHAnsi"/>
              </w:rPr>
            </w:pPr>
            <w:r>
              <w:rPr>
                <w:rFonts w:cs="Calibri"/>
                <w:color w:val="000000"/>
              </w:rPr>
              <w:t>201</w:t>
            </w:r>
          </w:p>
        </w:tc>
        <w:tc>
          <w:tcPr>
            <w:tcW w:w="1845" w:type="dxa"/>
            <w:tcBorders>
              <w:top w:val="single" w:sz="4" w:space="0" w:color="auto"/>
              <w:left w:val="single" w:sz="8" w:space="0" w:color="auto"/>
              <w:bottom w:val="single" w:sz="8" w:space="0" w:color="auto"/>
              <w:right w:val="single" w:sz="8" w:space="0" w:color="auto"/>
            </w:tcBorders>
            <w:shd w:val="clear" w:color="000000" w:fill="FFFFFF"/>
            <w:vAlign w:val="bottom"/>
          </w:tcPr>
          <w:p w14:paraId="4E6F938A" w14:textId="2CFE622F" w:rsidR="007C443F" w:rsidRPr="007D50DB" w:rsidRDefault="007C443F" w:rsidP="007C443F">
            <w:pPr>
              <w:spacing w:before="0" w:after="0"/>
              <w:jc w:val="center"/>
              <w:rPr>
                <w:rFonts w:cs="Calibri"/>
                <w:color w:val="000000"/>
              </w:rPr>
            </w:pPr>
            <w:r>
              <w:rPr>
                <w:rFonts w:cs="Calibri"/>
                <w:color w:val="000000"/>
              </w:rPr>
              <w:t>89.7%</w:t>
            </w:r>
          </w:p>
        </w:tc>
      </w:tr>
    </w:tbl>
    <w:p w14:paraId="56B7B37C" w14:textId="4B5AC3F1" w:rsidR="000B4731" w:rsidRDefault="00465A09" w:rsidP="00F8123E">
      <w:pPr>
        <w:pStyle w:val="Heading2"/>
      </w:pPr>
      <w:bookmarkStart w:id="22" w:name="_Toc188434133"/>
      <w:r>
        <w:t>Expenditure</w:t>
      </w:r>
      <w:r w:rsidR="000B4731">
        <w:t xml:space="preserve"> Data</w:t>
      </w:r>
      <w:bookmarkEnd w:id="22"/>
    </w:p>
    <w:p w14:paraId="6E61629D" w14:textId="06BA7966" w:rsidR="00834D8E" w:rsidRPr="00456E50" w:rsidRDefault="00834D8E" w:rsidP="00821F4A">
      <w:r>
        <w:t>The SFY 2</w:t>
      </w:r>
      <w:r w:rsidR="000C0D9B">
        <w:t>4</w:t>
      </w:r>
      <w:r>
        <w:t xml:space="preserve"> grant contract started on July 1, </w:t>
      </w:r>
      <w:r w:rsidR="00F8123E">
        <w:t>2023,</w:t>
      </w:r>
      <w:r w:rsidR="000C0D9B">
        <w:t xml:space="preserve"> </w:t>
      </w:r>
      <w:r>
        <w:t xml:space="preserve">and </w:t>
      </w:r>
      <w:r w:rsidR="00465A09">
        <w:t>has been extended to</w:t>
      </w:r>
      <w:r>
        <w:t xml:space="preserve"> </w:t>
      </w:r>
      <w:r w:rsidR="00244312">
        <w:t>June</w:t>
      </w:r>
      <w:r>
        <w:t xml:space="preserve"> 30, 202</w:t>
      </w:r>
      <w:r w:rsidR="00465A09">
        <w:t xml:space="preserve">5. The </w:t>
      </w:r>
      <w:r>
        <w:t>SFY 2</w:t>
      </w:r>
      <w:r w:rsidR="000C0D9B">
        <w:t>4</w:t>
      </w:r>
      <w:r>
        <w:t xml:space="preserve"> grant funds </w:t>
      </w:r>
      <w:r w:rsidR="005E4CCD">
        <w:t>are planned to</w:t>
      </w:r>
      <w:r w:rsidR="00465A09">
        <w:t xml:space="preserve"> be</w:t>
      </w:r>
      <w:r>
        <w:t xml:space="preserve"> fully expended by the </w:t>
      </w:r>
      <w:r w:rsidR="00465A09">
        <w:t xml:space="preserve">extended end date, June 30, </w:t>
      </w:r>
      <w:r w:rsidR="00F8123E">
        <w:t>2025.</w:t>
      </w:r>
      <w:r>
        <w:t xml:space="preserve"> The cost category breakdown of e</w:t>
      </w:r>
      <w:r w:rsidRPr="00456E50">
        <w:t xml:space="preserve">xpenditures </w:t>
      </w:r>
      <w:r w:rsidR="00465A09">
        <w:t xml:space="preserve">through September 20, </w:t>
      </w:r>
      <w:r w:rsidR="00F8123E">
        <w:t>2024,</w:t>
      </w:r>
      <w:r w:rsidR="00465A09">
        <w:t xml:space="preserve"> </w:t>
      </w:r>
      <w:r>
        <w:t>is reported below.</w:t>
      </w:r>
    </w:p>
    <w:tbl>
      <w:tblPr>
        <w:tblStyle w:val="TableGrid1"/>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ate Fiscal Year 2021 Expenditures"/>
        <w:tblDescription w:val="Shows expenditures for State Fiscal Year 2021 for each budget category."/>
      </w:tblPr>
      <w:tblGrid>
        <w:gridCol w:w="6580"/>
        <w:gridCol w:w="3749"/>
      </w:tblGrid>
      <w:tr w:rsidR="00C56C60" w:rsidRPr="00CB07BE" w14:paraId="140FA9DE" w14:textId="77777777" w:rsidTr="00DD0940">
        <w:trPr>
          <w:cnfStyle w:val="100000000000" w:firstRow="1" w:lastRow="0" w:firstColumn="0" w:lastColumn="0" w:oddVBand="0" w:evenVBand="0" w:oddHBand="0" w:evenHBand="0" w:firstRowFirstColumn="0" w:firstRowLastColumn="0" w:lastRowFirstColumn="0" w:lastRowLastColumn="0"/>
          <w:trHeight w:val="674"/>
        </w:trPr>
        <w:tc>
          <w:tcPr>
            <w:tcW w:w="6580" w:type="dxa"/>
            <w:shd w:val="clear" w:color="auto" w:fill="DDDDDA" w:themeFill="background2"/>
          </w:tcPr>
          <w:p w14:paraId="12E10015" w14:textId="77777777" w:rsidR="00C56C60" w:rsidRPr="00D27B38" w:rsidRDefault="00C56C60" w:rsidP="00C575A7">
            <w:pPr>
              <w:spacing w:before="120" w:after="0"/>
              <w:rPr>
                <w:sz w:val="28"/>
                <w:szCs w:val="28"/>
              </w:rPr>
            </w:pPr>
            <w:r w:rsidRPr="00D27B38">
              <w:rPr>
                <w:sz w:val="28"/>
                <w:szCs w:val="28"/>
              </w:rPr>
              <w:t>Budget Category</w:t>
            </w:r>
          </w:p>
        </w:tc>
        <w:tc>
          <w:tcPr>
            <w:tcW w:w="3749" w:type="dxa"/>
            <w:shd w:val="clear" w:color="auto" w:fill="DDDDDA" w:themeFill="background2"/>
          </w:tcPr>
          <w:p w14:paraId="3C97511D" w14:textId="77777777" w:rsidR="00C56C60" w:rsidRPr="00D27B38" w:rsidRDefault="00C56C60" w:rsidP="00C575A7">
            <w:pPr>
              <w:spacing w:before="120" w:after="0"/>
              <w:rPr>
                <w:sz w:val="28"/>
                <w:szCs w:val="28"/>
              </w:rPr>
            </w:pPr>
            <w:r w:rsidRPr="00D27B38">
              <w:rPr>
                <w:sz w:val="28"/>
                <w:szCs w:val="28"/>
              </w:rPr>
              <w:t>Expenditures</w:t>
            </w:r>
          </w:p>
        </w:tc>
      </w:tr>
      <w:tr w:rsidR="00C56C60" w:rsidRPr="00CB07BE" w14:paraId="062AD3BC" w14:textId="77777777" w:rsidTr="00A76C5B">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7F46571" w14:textId="4DAA7A94" w:rsidR="00C56C60" w:rsidRPr="00456E50" w:rsidRDefault="003E0B08" w:rsidP="004030F5">
            <w:pPr>
              <w:spacing w:before="120" w:after="0"/>
            </w:pPr>
            <w:r>
              <w:t>Direct services to Youth</w:t>
            </w:r>
          </w:p>
        </w:tc>
        <w:tc>
          <w:tcPr>
            <w:tcW w:w="37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DA34DD" w14:textId="173AEE6B" w:rsidR="00C56C60" w:rsidRPr="00456E50" w:rsidRDefault="003B25E4" w:rsidP="00A76C5B">
            <w:pPr>
              <w:spacing w:before="120" w:after="0"/>
              <w:jc w:val="center"/>
            </w:pPr>
            <w:r>
              <w:t>$</w:t>
            </w:r>
            <w:r w:rsidR="0082601A">
              <w:t>284,531.55</w:t>
            </w:r>
          </w:p>
        </w:tc>
      </w:tr>
      <w:tr w:rsidR="00C56C60" w:rsidRPr="00CB07BE" w14:paraId="3A81FB65" w14:textId="77777777" w:rsidTr="00A76C5B">
        <w:trPr>
          <w:cnfStyle w:val="000000010000" w:firstRow="0" w:lastRow="0" w:firstColumn="0" w:lastColumn="0" w:oddVBand="0" w:evenVBand="0" w:oddHBand="0" w:evenHBand="1" w:firstRowFirstColumn="0" w:firstRowLastColumn="0" w:lastRowFirstColumn="0" w:lastRowLastColumn="0"/>
          <w:trHeight w:val="454"/>
        </w:trPr>
        <w:tc>
          <w:tcPr>
            <w:tcW w:w="6580" w:type="dxa"/>
            <w:tcBorders>
              <w:top w:val="none" w:sz="0" w:space="0" w:color="auto"/>
              <w:left w:val="none" w:sz="0" w:space="0" w:color="auto"/>
              <w:bottom w:val="none" w:sz="0" w:space="0" w:color="auto"/>
              <w:right w:val="none" w:sz="0" w:space="0" w:color="auto"/>
            </w:tcBorders>
            <w:shd w:val="clear" w:color="auto" w:fill="auto"/>
          </w:tcPr>
          <w:p w14:paraId="1DB3F930" w14:textId="151A87C7" w:rsidR="00C56C60" w:rsidRPr="00456E50" w:rsidRDefault="00B73E76" w:rsidP="004030F5">
            <w:pPr>
              <w:spacing w:before="120" w:after="0"/>
            </w:pPr>
            <w:r>
              <w:t>Facility Planning</w:t>
            </w:r>
            <w:r w:rsidR="003E0B08">
              <w:t>/Design</w:t>
            </w:r>
          </w:p>
        </w:tc>
        <w:tc>
          <w:tcPr>
            <w:tcW w:w="3749" w:type="dxa"/>
            <w:tcBorders>
              <w:top w:val="none" w:sz="0" w:space="0" w:color="auto"/>
              <w:left w:val="none" w:sz="0" w:space="0" w:color="auto"/>
              <w:bottom w:val="none" w:sz="0" w:space="0" w:color="auto"/>
              <w:right w:val="none" w:sz="0" w:space="0" w:color="auto"/>
            </w:tcBorders>
            <w:shd w:val="clear" w:color="auto" w:fill="auto"/>
          </w:tcPr>
          <w:p w14:paraId="5CCCDE88" w14:textId="1D1D3D45" w:rsidR="00C56C60" w:rsidRPr="00456E50" w:rsidRDefault="00A76C5B" w:rsidP="00A76C5B">
            <w:pPr>
              <w:spacing w:before="120" w:after="0"/>
              <w:jc w:val="center"/>
            </w:pPr>
            <w:r>
              <w:t>$</w:t>
            </w:r>
            <w:r w:rsidR="0082601A">
              <w:t>70,578.71</w:t>
            </w:r>
          </w:p>
        </w:tc>
      </w:tr>
      <w:tr w:rsidR="00C56C60" w:rsidRPr="00CB07BE" w14:paraId="210D48AE" w14:textId="77777777" w:rsidTr="00EC03B4">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single" w:sz="4" w:space="0" w:color="auto"/>
              <w:left w:val="none" w:sz="0" w:space="0" w:color="auto"/>
              <w:bottom w:val="none" w:sz="0" w:space="0" w:color="auto"/>
              <w:right w:val="none" w:sz="0" w:space="0" w:color="auto"/>
            </w:tcBorders>
            <w:shd w:val="clear" w:color="auto" w:fill="auto"/>
          </w:tcPr>
          <w:p w14:paraId="150870E9" w14:textId="77777777" w:rsidR="00C56C60" w:rsidRPr="00A76C5B" w:rsidRDefault="00C56C60" w:rsidP="004030F5">
            <w:pPr>
              <w:spacing w:before="120" w:after="0"/>
              <w:rPr>
                <w:b/>
                <w:bCs/>
              </w:rPr>
            </w:pPr>
            <w:r w:rsidRPr="00A76C5B">
              <w:rPr>
                <w:b/>
                <w:bCs/>
              </w:rPr>
              <w:t>Total</w:t>
            </w:r>
          </w:p>
        </w:tc>
        <w:tc>
          <w:tcPr>
            <w:tcW w:w="3749" w:type="dxa"/>
            <w:tcBorders>
              <w:top w:val="none" w:sz="0" w:space="0" w:color="auto"/>
              <w:left w:val="none" w:sz="0" w:space="0" w:color="auto"/>
              <w:bottom w:val="none" w:sz="0" w:space="0" w:color="auto"/>
              <w:right w:val="none" w:sz="0" w:space="0" w:color="auto"/>
            </w:tcBorders>
            <w:shd w:val="clear" w:color="auto" w:fill="auto"/>
          </w:tcPr>
          <w:p w14:paraId="5BB74635" w14:textId="5DC0A300" w:rsidR="00C56C60" w:rsidRPr="00A76C5B" w:rsidRDefault="00A76C5B" w:rsidP="00A76C5B">
            <w:pPr>
              <w:spacing w:before="120" w:after="0"/>
              <w:jc w:val="center"/>
              <w:rPr>
                <w:b/>
                <w:bCs/>
              </w:rPr>
            </w:pPr>
            <w:r>
              <w:rPr>
                <w:b/>
                <w:bCs/>
              </w:rPr>
              <w:t>$</w:t>
            </w:r>
            <w:r w:rsidR="00EB19F0">
              <w:rPr>
                <w:b/>
                <w:bCs/>
              </w:rPr>
              <w:t>355,110.26</w:t>
            </w:r>
          </w:p>
        </w:tc>
      </w:tr>
    </w:tbl>
    <w:p w14:paraId="0EB85EDD" w14:textId="64789CA3" w:rsidR="00B46EED" w:rsidRDefault="00B46EED" w:rsidP="00386133">
      <w:pPr>
        <w:pStyle w:val="Heading2"/>
      </w:pPr>
      <w:bookmarkStart w:id="23" w:name="_Toc188434134"/>
      <w:r>
        <w:t>Succes</w:t>
      </w:r>
      <w:r w:rsidR="00E74A3F">
        <w:t>s Stories</w:t>
      </w:r>
      <w:bookmarkEnd w:id="23"/>
    </w:p>
    <w:bookmarkEnd w:id="14"/>
    <w:p w14:paraId="1C6561B1" w14:textId="160358A5" w:rsidR="00C60E24" w:rsidRDefault="003F612E" w:rsidP="00C60E24">
      <w:pPr>
        <w:autoSpaceDE w:val="0"/>
        <w:autoSpaceDN w:val="0"/>
        <w:adjustRightInd w:val="0"/>
        <w:spacing w:before="0" w:after="0" w:line="240" w:lineRule="auto"/>
        <w:rPr>
          <w:rFonts w:cs="Calibri"/>
          <w:lang w:bidi="ar-SA"/>
        </w:rPr>
      </w:pPr>
      <w:r>
        <w:rPr>
          <w:rFonts w:cs="Calibri"/>
          <w:lang w:bidi="ar-SA"/>
        </w:rPr>
        <w:t>At the start of the school year, the Discovery Community School reached out to us at the Boys &amp; Girls Club about this 4</w:t>
      </w:r>
      <w:r>
        <w:rPr>
          <w:rFonts w:cs="Calibri"/>
          <w:sz w:val="14"/>
          <w:szCs w:val="14"/>
          <w:lang w:bidi="ar-SA"/>
        </w:rPr>
        <w:t xml:space="preserve">th </w:t>
      </w:r>
      <w:r>
        <w:rPr>
          <w:rFonts w:cs="Calibri"/>
          <w:lang w:bidi="ar-SA"/>
        </w:rPr>
        <w:t xml:space="preserve">grader who was not attending school. The school informed us that the student was living with her guardians and that they were homeless. They wanted her to attend school, but the family dynamics just didn’t allow for her to have a ride to or from school. The school arranged for her to get to school and asked us if we could help. We were more than willing to </w:t>
      </w:r>
      <w:r w:rsidR="00F8123E">
        <w:rPr>
          <w:rFonts w:cs="Calibri"/>
          <w:lang w:bidi="ar-SA"/>
        </w:rPr>
        <w:t>help,</w:t>
      </w:r>
      <w:r>
        <w:rPr>
          <w:rFonts w:cs="Calibri"/>
          <w:lang w:bidi="ar-SA"/>
        </w:rPr>
        <w:t xml:space="preserve"> and it was decided that she would attend the club after school. This enabled her guardians to work jobs that would improve their living situation. Since she has joined the club, they have found a place to live. She has also excelled in the programs that we have offered. She was the only winner from Discovery Boys &amp; Girls Club that won the MLK art contest. While also at the Discovery BGC, we are able to ensure that she is able to have meals for the week, while her family is working to improve their financial and living situations.</w:t>
      </w:r>
    </w:p>
    <w:p w14:paraId="50D6C247" w14:textId="77777777" w:rsidR="00C60E24" w:rsidRDefault="00C60E24" w:rsidP="00C60E24">
      <w:pPr>
        <w:autoSpaceDE w:val="0"/>
        <w:autoSpaceDN w:val="0"/>
        <w:adjustRightInd w:val="0"/>
        <w:spacing w:before="0" w:after="0" w:line="240" w:lineRule="auto"/>
        <w:rPr>
          <w:rFonts w:cs="Calibri"/>
          <w:lang w:bidi="ar-SA"/>
        </w:rPr>
      </w:pPr>
    </w:p>
    <w:p w14:paraId="45AF88AB" w14:textId="7B1767E5" w:rsidR="00B4010F" w:rsidRDefault="00C60E24" w:rsidP="00465A09">
      <w:pPr>
        <w:autoSpaceDE w:val="0"/>
        <w:autoSpaceDN w:val="0"/>
        <w:adjustRightInd w:val="0"/>
        <w:spacing w:before="0" w:after="0" w:line="240" w:lineRule="auto"/>
        <w:rPr>
          <w:rFonts w:cs="Calibri"/>
          <w:lang w:bidi="ar-SA"/>
        </w:rPr>
      </w:pPr>
      <w:r>
        <w:rPr>
          <w:rFonts w:cs="Calibri"/>
          <w:lang w:bidi="ar-SA"/>
        </w:rPr>
        <w:t>Three young siblings are from a single-income family. They also have an older brother living with them and their mother. Two of the members are in</w:t>
      </w:r>
      <w:r w:rsidR="005E4CCD">
        <w:rPr>
          <w:rFonts w:cs="Calibri"/>
          <w:lang w:bidi="ar-SA"/>
        </w:rPr>
        <w:t xml:space="preserve"> 1</w:t>
      </w:r>
      <w:r w:rsidR="005E4CCD" w:rsidRPr="005E4CCD">
        <w:rPr>
          <w:rFonts w:cs="Calibri"/>
          <w:vertAlign w:val="superscript"/>
          <w:lang w:bidi="ar-SA"/>
        </w:rPr>
        <w:t>st</w:t>
      </w:r>
      <w:r>
        <w:rPr>
          <w:rFonts w:cs="Calibri"/>
          <w:sz w:val="14"/>
          <w:szCs w:val="14"/>
          <w:lang w:bidi="ar-SA"/>
        </w:rPr>
        <w:t xml:space="preserve"> </w:t>
      </w:r>
      <w:r>
        <w:rPr>
          <w:rFonts w:cs="Calibri"/>
          <w:lang w:bidi="ar-SA"/>
        </w:rPr>
        <w:t>grade and are the readers of the family. Another is in</w:t>
      </w:r>
      <w:r w:rsidR="005E4CCD">
        <w:rPr>
          <w:rFonts w:cs="Calibri"/>
          <w:lang w:bidi="ar-SA"/>
        </w:rPr>
        <w:t xml:space="preserve"> 2</w:t>
      </w:r>
      <w:r w:rsidR="005E4CCD" w:rsidRPr="005E4CCD">
        <w:rPr>
          <w:rFonts w:cs="Calibri"/>
          <w:vertAlign w:val="superscript"/>
          <w:lang w:bidi="ar-SA"/>
        </w:rPr>
        <w:t>nd</w:t>
      </w:r>
      <w:r w:rsidR="005E4CCD">
        <w:rPr>
          <w:rFonts w:cs="Calibri"/>
          <w:lang w:bidi="ar-SA"/>
        </w:rPr>
        <w:t xml:space="preserve"> </w:t>
      </w:r>
      <w:r>
        <w:rPr>
          <w:rFonts w:cs="Calibri"/>
          <w:lang w:bidi="ar-SA"/>
        </w:rPr>
        <w:t>grade is the more adventurous of the three. However, since they have been coming to the Discovery Boys &amp; Girls Club all three have excelled in the programs that we offer. The</w:t>
      </w:r>
      <w:r w:rsidR="005E4CCD">
        <w:rPr>
          <w:rFonts w:cs="Calibri"/>
          <w:lang w:bidi="ar-SA"/>
        </w:rPr>
        <w:t xml:space="preserve"> 2</w:t>
      </w:r>
      <w:r w:rsidR="005E4CCD" w:rsidRPr="005E4CCD">
        <w:rPr>
          <w:rFonts w:cs="Calibri"/>
          <w:vertAlign w:val="superscript"/>
          <w:lang w:bidi="ar-SA"/>
        </w:rPr>
        <w:t>nd</w:t>
      </w:r>
      <w:r w:rsidR="005E4CCD">
        <w:rPr>
          <w:rFonts w:cs="Calibri"/>
          <w:lang w:bidi="ar-SA"/>
        </w:rPr>
        <w:t xml:space="preserve"> </w:t>
      </w:r>
      <w:r>
        <w:rPr>
          <w:rFonts w:cs="Calibri"/>
          <w:lang w:bidi="ar-SA"/>
        </w:rPr>
        <w:t xml:space="preserve">grader has taken to reading and is now as good as his sisters. He has also taken to working on his mathematics with the education programs we have. As for the girls, they continued to read, but they have branched out to more “critical” thinking areas. They love working on </w:t>
      </w:r>
      <w:r>
        <w:rPr>
          <w:rFonts w:cs="Calibri"/>
          <w:lang w:bidi="ar-SA"/>
        </w:rPr>
        <w:lastRenderedPageBreak/>
        <w:t>problems and trying to figure out how something works. This family has been separated from their father for the past 8 months. We are able to ensure that they have a safe place to spend time after school and continue to grow with the programs that we</w:t>
      </w:r>
      <w:r w:rsidR="00465A09">
        <w:rPr>
          <w:rFonts w:cs="Calibri"/>
          <w:lang w:bidi="ar-SA"/>
        </w:rPr>
        <w:t xml:space="preserve"> </w:t>
      </w:r>
      <w:r>
        <w:rPr>
          <w:rFonts w:cs="Calibri"/>
          <w:lang w:bidi="ar-SA"/>
        </w:rPr>
        <w:t xml:space="preserve">are able to offer them. </w:t>
      </w:r>
      <w:r w:rsidR="005E4CCD">
        <w:rPr>
          <w:rFonts w:cs="Calibri"/>
          <w:lang w:bidi="ar-SA"/>
        </w:rPr>
        <w:t xml:space="preserve">It </w:t>
      </w:r>
      <w:r>
        <w:rPr>
          <w:rFonts w:cs="Calibri"/>
          <w:lang w:bidi="ar-SA"/>
        </w:rPr>
        <w:t>has been a tremendous relief for their mother. We have been able to help emotionally, physically, educationally, and nutritionally with all that we are.</w:t>
      </w:r>
    </w:p>
    <w:p w14:paraId="313831BC" w14:textId="77777777" w:rsidR="00C60E24" w:rsidRDefault="00C60E24" w:rsidP="00E32E44">
      <w:pPr>
        <w:rPr>
          <w:rFonts w:cs="Calibri"/>
          <w:lang w:bidi="ar-SA"/>
        </w:rPr>
      </w:pPr>
    </w:p>
    <w:p w14:paraId="3F81FEE3" w14:textId="77777777" w:rsidR="00C60E24" w:rsidRPr="0093136C" w:rsidRDefault="00C60E24" w:rsidP="00E32E44"/>
    <w:sectPr w:rsidR="00C60E24" w:rsidRPr="0093136C" w:rsidSect="00A94111">
      <w:headerReference w:type="first" r:id="rId15"/>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8BB3" w14:textId="77777777" w:rsidR="00B013FD" w:rsidRDefault="00B013FD" w:rsidP="00D247F6">
      <w:r>
        <w:separator/>
      </w:r>
    </w:p>
  </w:endnote>
  <w:endnote w:type="continuationSeparator" w:id="0">
    <w:p w14:paraId="1D88F398" w14:textId="77777777" w:rsidR="00B013FD" w:rsidRDefault="00B013FD"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1748" w14:textId="05EFB367" w:rsidR="00627356" w:rsidRPr="00324E7E" w:rsidRDefault="00627356" w:rsidP="00324E7E">
    <w:pPr>
      <w:pStyle w:val="Footer"/>
      <w:jc w:val="right"/>
    </w:pPr>
    <w:r>
      <w:t>SFY 202</w:t>
    </w:r>
    <w:r w:rsidR="000C0D9B">
      <w:t>4</w:t>
    </w:r>
    <w:r>
      <w:t xml:space="preserve"> </w:t>
    </w:r>
    <w:r w:rsidR="00352F26">
      <w:t>Boys and Girls Club of Central Minnesota</w:t>
    </w:r>
    <w:r w:rsidR="00D2786B">
      <w:t xml:space="preserve"> - </w:t>
    </w:r>
    <w:r>
      <w:t xml:space="preserve">Direct Appropriation </w:t>
    </w:r>
    <w:r w:rsidR="00352F26">
      <w:t>Progress</w:t>
    </w:r>
    <w:r w:rsidR="00D2786B">
      <w:t xml:space="preserve"> </w:t>
    </w:r>
    <w:r>
      <w:t>Report</w:t>
    </w:r>
    <w:r w:rsidRPr="00AF5107">
      <w:tab/>
    </w:r>
    <w:r w:rsidRPr="00AF5107">
      <w:fldChar w:fldCharType="begin"/>
    </w:r>
    <w:r w:rsidRPr="00AF5107">
      <w:instrText xml:space="preserve"> PAGE   \* MERGEFORMAT </w:instrText>
    </w:r>
    <w:r w:rsidRPr="00AF5107">
      <w:fldChar w:fldCharType="separate"/>
    </w:r>
    <w:r>
      <w:rPr>
        <w:noProof/>
      </w:rPr>
      <w:t>9</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0903" w14:textId="77777777" w:rsidR="00B013FD" w:rsidRDefault="00B013FD" w:rsidP="00D247F6">
      <w:r>
        <w:separator/>
      </w:r>
    </w:p>
  </w:footnote>
  <w:footnote w:type="continuationSeparator" w:id="0">
    <w:p w14:paraId="06CCF96F" w14:textId="77777777" w:rsidR="00B013FD" w:rsidRDefault="00B013FD"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1630" w14:textId="77777777" w:rsidR="00627356" w:rsidRPr="005666F2" w:rsidRDefault="00627356"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13444365"/>
    <w:multiLevelType w:val="hybridMultilevel"/>
    <w:tmpl w:val="60C00C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7740B"/>
    <w:multiLevelType w:val="hybridMultilevel"/>
    <w:tmpl w:val="DD50C1C0"/>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C077BD3"/>
    <w:multiLevelType w:val="hybridMultilevel"/>
    <w:tmpl w:val="49DA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E299E"/>
    <w:multiLevelType w:val="multilevel"/>
    <w:tmpl w:val="7AC67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913CD"/>
    <w:multiLevelType w:val="hybridMultilevel"/>
    <w:tmpl w:val="C14AC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3CA0"/>
    <w:multiLevelType w:val="multilevel"/>
    <w:tmpl w:val="2E8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AA7330"/>
    <w:multiLevelType w:val="multilevel"/>
    <w:tmpl w:val="74708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37529"/>
    <w:multiLevelType w:val="multilevel"/>
    <w:tmpl w:val="E258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F2796"/>
    <w:multiLevelType w:val="hybridMultilevel"/>
    <w:tmpl w:val="B49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C3565"/>
    <w:multiLevelType w:val="hybridMultilevel"/>
    <w:tmpl w:val="3C50153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F6B4FEC"/>
    <w:multiLevelType w:val="hybridMultilevel"/>
    <w:tmpl w:val="95F0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F754D3"/>
    <w:multiLevelType w:val="hybridMultilevel"/>
    <w:tmpl w:val="B66E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763686">
    <w:abstractNumId w:val="0"/>
  </w:num>
  <w:num w:numId="2" w16cid:durableId="1583560403">
    <w:abstractNumId w:val="4"/>
  </w:num>
  <w:num w:numId="3" w16cid:durableId="141889153">
    <w:abstractNumId w:val="3"/>
  </w:num>
  <w:num w:numId="4" w16cid:durableId="1673953216">
    <w:abstractNumId w:val="10"/>
  </w:num>
  <w:num w:numId="5" w16cid:durableId="471367309">
    <w:abstractNumId w:val="13"/>
  </w:num>
  <w:num w:numId="6" w16cid:durableId="1345936801">
    <w:abstractNumId w:val="9"/>
  </w:num>
  <w:num w:numId="7" w16cid:durableId="469830221">
    <w:abstractNumId w:val="8"/>
  </w:num>
  <w:num w:numId="8" w16cid:durableId="609169050">
    <w:abstractNumId w:val="7"/>
  </w:num>
  <w:num w:numId="9" w16cid:durableId="461851568">
    <w:abstractNumId w:val="5"/>
  </w:num>
  <w:num w:numId="10" w16cid:durableId="435060386">
    <w:abstractNumId w:val="6"/>
  </w:num>
  <w:num w:numId="11" w16cid:durableId="2047099056">
    <w:abstractNumId w:val="1"/>
  </w:num>
  <w:num w:numId="12" w16cid:durableId="885601952">
    <w:abstractNumId w:val="12"/>
  </w:num>
  <w:num w:numId="13" w16cid:durableId="2005547119">
    <w:abstractNumId w:val="11"/>
  </w:num>
  <w:num w:numId="14" w16cid:durableId="17199830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0C6B"/>
    <w:rsid w:val="00002DEC"/>
    <w:rsid w:val="00003C92"/>
    <w:rsid w:val="000065AC"/>
    <w:rsid w:val="00006A0A"/>
    <w:rsid w:val="0000723F"/>
    <w:rsid w:val="00011309"/>
    <w:rsid w:val="00014777"/>
    <w:rsid w:val="000158A7"/>
    <w:rsid w:val="00016585"/>
    <w:rsid w:val="00022428"/>
    <w:rsid w:val="000233BF"/>
    <w:rsid w:val="000248C6"/>
    <w:rsid w:val="00024E86"/>
    <w:rsid w:val="000261E8"/>
    <w:rsid w:val="000278CB"/>
    <w:rsid w:val="00030952"/>
    <w:rsid w:val="000321E2"/>
    <w:rsid w:val="000323A6"/>
    <w:rsid w:val="00032411"/>
    <w:rsid w:val="0004279D"/>
    <w:rsid w:val="00044B7A"/>
    <w:rsid w:val="00046D82"/>
    <w:rsid w:val="00056914"/>
    <w:rsid w:val="000570A5"/>
    <w:rsid w:val="0006292B"/>
    <w:rsid w:val="0006386B"/>
    <w:rsid w:val="00064B90"/>
    <w:rsid w:val="00071DB9"/>
    <w:rsid w:val="0007374A"/>
    <w:rsid w:val="00074A30"/>
    <w:rsid w:val="0007512E"/>
    <w:rsid w:val="0007601A"/>
    <w:rsid w:val="00077612"/>
    <w:rsid w:val="00080404"/>
    <w:rsid w:val="00084742"/>
    <w:rsid w:val="000A029D"/>
    <w:rsid w:val="000A4F05"/>
    <w:rsid w:val="000A7998"/>
    <w:rsid w:val="000A7ED1"/>
    <w:rsid w:val="000B0742"/>
    <w:rsid w:val="000B12B3"/>
    <w:rsid w:val="000B1794"/>
    <w:rsid w:val="000B2E68"/>
    <w:rsid w:val="000B4731"/>
    <w:rsid w:val="000B501C"/>
    <w:rsid w:val="000C0D9B"/>
    <w:rsid w:val="000C3708"/>
    <w:rsid w:val="000C3761"/>
    <w:rsid w:val="000C689A"/>
    <w:rsid w:val="000C7373"/>
    <w:rsid w:val="000D30E0"/>
    <w:rsid w:val="000D77AB"/>
    <w:rsid w:val="000E13CF"/>
    <w:rsid w:val="000E313B"/>
    <w:rsid w:val="000E3E9D"/>
    <w:rsid w:val="000E639A"/>
    <w:rsid w:val="000E6F3D"/>
    <w:rsid w:val="000F0BB5"/>
    <w:rsid w:val="000F396C"/>
    <w:rsid w:val="000F4BB1"/>
    <w:rsid w:val="000F73F9"/>
    <w:rsid w:val="000F77C0"/>
    <w:rsid w:val="00100675"/>
    <w:rsid w:val="0010124B"/>
    <w:rsid w:val="0010174B"/>
    <w:rsid w:val="00106349"/>
    <w:rsid w:val="001113AA"/>
    <w:rsid w:val="0011210D"/>
    <w:rsid w:val="00123864"/>
    <w:rsid w:val="00126AB0"/>
    <w:rsid w:val="00135082"/>
    <w:rsid w:val="00135DC7"/>
    <w:rsid w:val="001375C6"/>
    <w:rsid w:val="0014629E"/>
    <w:rsid w:val="00146BAE"/>
    <w:rsid w:val="00147ED1"/>
    <w:rsid w:val="001500D6"/>
    <w:rsid w:val="0015052F"/>
    <w:rsid w:val="00152533"/>
    <w:rsid w:val="00157C41"/>
    <w:rsid w:val="001608AA"/>
    <w:rsid w:val="00161605"/>
    <w:rsid w:val="001661D9"/>
    <w:rsid w:val="001708EC"/>
    <w:rsid w:val="0018090B"/>
    <w:rsid w:val="00183D43"/>
    <w:rsid w:val="00190BAD"/>
    <w:rsid w:val="00190FAC"/>
    <w:rsid w:val="001925A8"/>
    <w:rsid w:val="00193B6C"/>
    <w:rsid w:val="00194A6B"/>
    <w:rsid w:val="00194E5B"/>
    <w:rsid w:val="001961CB"/>
    <w:rsid w:val="0019673D"/>
    <w:rsid w:val="001A2FA9"/>
    <w:rsid w:val="001A435E"/>
    <w:rsid w:val="001A46BB"/>
    <w:rsid w:val="001A51D7"/>
    <w:rsid w:val="001B1CBA"/>
    <w:rsid w:val="001B20E6"/>
    <w:rsid w:val="001B6E35"/>
    <w:rsid w:val="001C1A02"/>
    <w:rsid w:val="001C2340"/>
    <w:rsid w:val="001C4B91"/>
    <w:rsid w:val="001C55E0"/>
    <w:rsid w:val="001C631E"/>
    <w:rsid w:val="001C77D7"/>
    <w:rsid w:val="001D701B"/>
    <w:rsid w:val="001D70E0"/>
    <w:rsid w:val="001E160D"/>
    <w:rsid w:val="001E25C9"/>
    <w:rsid w:val="001E38A4"/>
    <w:rsid w:val="001E54C8"/>
    <w:rsid w:val="001E5ECF"/>
    <w:rsid w:val="001E69A6"/>
    <w:rsid w:val="001E76E4"/>
    <w:rsid w:val="001F0380"/>
    <w:rsid w:val="001F278F"/>
    <w:rsid w:val="001F2B7E"/>
    <w:rsid w:val="001F3987"/>
    <w:rsid w:val="001F6718"/>
    <w:rsid w:val="00200926"/>
    <w:rsid w:val="00203DD3"/>
    <w:rsid w:val="002059C0"/>
    <w:rsid w:val="00205BCD"/>
    <w:rsid w:val="00207D92"/>
    <w:rsid w:val="002110D8"/>
    <w:rsid w:val="0021150B"/>
    <w:rsid w:val="00211CA3"/>
    <w:rsid w:val="00214E6E"/>
    <w:rsid w:val="002207CF"/>
    <w:rsid w:val="00220E0F"/>
    <w:rsid w:val="0022170F"/>
    <w:rsid w:val="0022180B"/>
    <w:rsid w:val="00222839"/>
    <w:rsid w:val="00222A49"/>
    <w:rsid w:val="002240E5"/>
    <w:rsid w:val="0022552E"/>
    <w:rsid w:val="0022661B"/>
    <w:rsid w:val="0022688F"/>
    <w:rsid w:val="00227147"/>
    <w:rsid w:val="00227D62"/>
    <w:rsid w:val="00231719"/>
    <w:rsid w:val="00232000"/>
    <w:rsid w:val="00234E02"/>
    <w:rsid w:val="00237B3A"/>
    <w:rsid w:val="00244312"/>
    <w:rsid w:val="002473F1"/>
    <w:rsid w:val="00250DF2"/>
    <w:rsid w:val="0026077B"/>
    <w:rsid w:val="00261247"/>
    <w:rsid w:val="00264652"/>
    <w:rsid w:val="002706BF"/>
    <w:rsid w:val="002731C8"/>
    <w:rsid w:val="00274294"/>
    <w:rsid w:val="00277822"/>
    <w:rsid w:val="00280F2E"/>
    <w:rsid w:val="00282084"/>
    <w:rsid w:val="00285098"/>
    <w:rsid w:val="00291052"/>
    <w:rsid w:val="00291C97"/>
    <w:rsid w:val="00292B4F"/>
    <w:rsid w:val="00293A19"/>
    <w:rsid w:val="002B0531"/>
    <w:rsid w:val="002B2C94"/>
    <w:rsid w:val="002B5E79"/>
    <w:rsid w:val="002B5FE1"/>
    <w:rsid w:val="002C0859"/>
    <w:rsid w:val="002C4B6E"/>
    <w:rsid w:val="002C5A29"/>
    <w:rsid w:val="002E0570"/>
    <w:rsid w:val="002E5BEE"/>
    <w:rsid w:val="002F1947"/>
    <w:rsid w:val="002F4F39"/>
    <w:rsid w:val="002F6AF0"/>
    <w:rsid w:val="002F6E3B"/>
    <w:rsid w:val="002F7C29"/>
    <w:rsid w:val="0030230E"/>
    <w:rsid w:val="00306D94"/>
    <w:rsid w:val="003118CD"/>
    <w:rsid w:val="003125DF"/>
    <w:rsid w:val="0031287C"/>
    <w:rsid w:val="00323271"/>
    <w:rsid w:val="00324295"/>
    <w:rsid w:val="00324E7E"/>
    <w:rsid w:val="0032768B"/>
    <w:rsid w:val="00327B3A"/>
    <w:rsid w:val="00333CA1"/>
    <w:rsid w:val="00335736"/>
    <w:rsid w:val="00337A8E"/>
    <w:rsid w:val="0034554C"/>
    <w:rsid w:val="0034717F"/>
    <w:rsid w:val="0034728D"/>
    <w:rsid w:val="003473BE"/>
    <w:rsid w:val="00347E65"/>
    <w:rsid w:val="00352F26"/>
    <w:rsid w:val="003563D2"/>
    <w:rsid w:val="00367082"/>
    <w:rsid w:val="00367E1E"/>
    <w:rsid w:val="00367F66"/>
    <w:rsid w:val="0037024D"/>
    <w:rsid w:val="00370E1F"/>
    <w:rsid w:val="00371A56"/>
    <w:rsid w:val="00372207"/>
    <w:rsid w:val="003724A5"/>
    <w:rsid w:val="003746ED"/>
    <w:rsid w:val="003748A7"/>
    <w:rsid w:val="00376ACD"/>
    <w:rsid w:val="00376FA5"/>
    <w:rsid w:val="00383637"/>
    <w:rsid w:val="003848D6"/>
    <w:rsid w:val="00386133"/>
    <w:rsid w:val="00387693"/>
    <w:rsid w:val="003910E4"/>
    <w:rsid w:val="00392B94"/>
    <w:rsid w:val="00392DF3"/>
    <w:rsid w:val="00393D9B"/>
    <w:rsid w:val="003976C4"/>
    <w:rsid w:val="00397F23"/>
    <w:rsid w:val="003A1479"/>
    <w:rsid w:val="003A1813"/>
    <w:rsid w:val="003A22CC"/>
    <w:rsid w:val="003A602D"/>
    <w:rsid w:val="003B25E4"/>
    <w:rsid w:val="003B41D9"/>
    <w:rsid w:val="003B61E6"/>
    <w:rsid w:val="003B7D82"/>
    <w:rsid w:val="003C33D8"/>
    <w:rsid w:val="003C4644"/>
    <w:rsid w:val="003C5BE3"/>
    <w:rsid w:val="003C6315"/>
    <w:rsid w:val="003C76BF"/>
    <w:rsid w:val="003C7F0C"/>
    <w:rsid w:val="003D0D25"/>
    <w:rsid w:val="003D19A8"/>
    <w:rsid w:val="003D27FF"/>
    <w:rsid w:val="003D3281"/>
    <w:rsid w:val="003D7F48"/>
    <w:rsid w:val="003E0B08"/>
    <w:rsid w:val="003E2C5D"/>
    <w:rsid w:val="003E3975"/>
    <w:rsid w:val="003F32F8"/>
    <w:rsid w:val="003F3C79"/>
    <w:rsid w:val="003F3E5F"/>
    <w:rsid w:val="003F612E"/>
    <w:rsid w:val="003F61EE"/>
    <w:rsid w:val="003F6564"/>
    <w:rsid w:val="003F7F8B"/>
    <w:rsid w:val="004030F5"/>
    <w:rsid w:val="004059BA"/>
    <w:rsid w:val="00413A7C"/>
    <w:rsid w:val="004141DD"/>
    <w:rsid w:val="00415961"/>
    <w:rsid w:val="00415CBD"/>
    <w:rsid w:val="00421C41"/>
    <w:rsid w:val="004222E6"/>
    <w:rsid w:val="00430019"/>
    <w:rsid w:val="0043124B"/>
    <w:rsid w:val="00435BC4"/>
    <w:rsid w:val="0044543A"/>
    <w:rsid w:val="004462DE"/>
    <w:rsid w:val="00447199"/>
    <w:rsid w:val="00451CBF"/>
    <w:rsid w:val="00456363"/>
    <w:rsid w:val="00456E50"/>
    <w:rsid w:val="00460899"/>
    <w:rsid w:val="00460F7E"/>
    <w:rsid w:val="00461804"/>
    <w:rsid w:val="00462E2A"/>
    <w:rsid w:val="00463A63"/>
    <w:rsid w:val="00463AD5"/>
    <w:rsid w:val="00465A09"/>
    <w:rsid w:val="00466810"/>
    <w:rsid w:val="004672AB"/>
    <w:rsid w:val="004738ED"/>
    <w:rsid w:val="00477150"/>
    <w:rsid w:val="004814B1"/>
    <w:rsid w:val="004816B5"/>
    <w:rsid w:val="00483DD2"/>
    <w:rsid w:val="00490BD7"/>
    <w:rsid w:val="00491A2A"/>
    <w:rsid w:val="00494E6F"/>
    <w:rsid w:val="004A0CAC"/>
    <w:rsid w:val="004A142B"/>
    <w:rsid w:val="004A1B4D"/>
    <w:rsid w:val="004A2050"/>
    <w:rsid w:val="004A58DD"/>
    <w:rsid w:val="004A6119"/>
    <w:rsid w:val="004A7BBE"/>
    <w:rsid w:val="004B079E"/>
    <w:rsid w:val="004B1151"/>
    <w:rsid w:val="004B18C8"/>
    <w:rsid w:val="004B2CD1"/>
    <w:rsid w:val="004B47DC"/>
    <w:rsid w:val="004B665F"/>
    <w:rsid w:val="004B6A94"/>
    <w:rsid w:val="004B7D4A"/>
    <w:rsid w:val="004C04F1"/>
    <w:rsid w:val="004C14DC"/>
    <w:rsid w:val="004C68B0"/>
    <w:rsid w:val="004D39CC"/>
    <w:rsid w:val="004D4CC0"/>
    <w:rsid w:val="004D5320"/>
    <w:rsid w:val="004E161A"/>
    <w:rsid w:val="004E2555"/>
    <w:rsid w:val="004E75B3"/>
    <w:rsid w:val="004F04BA"/>
    <w:rsid w:val="004F0EFF"/>
    <w:rsid w:val="004F33A6"/>
    <w:rsid w:val="004F42A6"/>
    <w:rsid w:val="004F7026"/>
    <w:rsid w:val="0050093F"/>
    <w:rsid w:val="00501137"/>
    <w:rsid w:val="005019E1"/>
    <w:rsid w:val="00503884"/>
    <w:rsid w:val="00505532"/>
    <w:rsid w:val="00506D75"/>
    <w:rsid w:val="005125E2"/>
    <w:rsid w:val="00514788"/>
    <w:rsid w:val="00515997"/>
    <w:rsid w:val="00522745"/>
    <w:rsid w:val="0052628A"/>
    <w:rsid w:val="00526888"/>
    <w:rsid w:val="0053051B"/>
    <w:rsid w:val="005325DD"/>
    <w:rsid w:val="00534847"/>
    <w:rsid w:val="00537761"/>
    <w:rsid w:val="00540713"/>
    <w:rsid w:val="0054371B"/>
    <w:rsid w:val="00545190"/>
    <w:rsid w:val="00545F4A"/>
    <w:rsid w:val="00551ACB"/>
    <w:rsid w:val="0055302C"/>
    <w:rsid w:val="00555B93"/>
    <w:rsid w:val="00557C3E"/>
    <w:rsid w:val="00557CCB"/>
    <w:rsid w:val="00564FDA"/>
    <w:rsid w:val="0056615E"/>
    <w:rsid w:val="005666F2"/>
    <w:rsid w:val="005667C7"/>
    <w:rsid w:val="00572A26"/>
    <w:rsid w:val="00573828"/>
    <w:rsid w:val="00575BB7"/>
    <w:rsid w:val="00575EFD"/>
    <w:rsid w:val="00577B61"/>
    <w:rsid w:val="00581446"/>
    <w:rsid w:val="00585488"/>
    <w:rsid w:val="005864FB"/>
    <w:rsid w:val="005867B7"/>
    <w:rsid w:val="00592588"/>
    <w:rsid w:val="00595173"/>
    <w:rsid w:val="00595CEA"/>
    <w:rsid w:val="0059673E"/>
    <w:rsid w:val="005A33E1"/>
    <w:rsid w:val="005A5A73"/>
    <w:rsid w:val="005A7EDB"/>
    <w:rsid w:val="005B04D2"/>
    <w:rsid w:val="005B2931"/>
    <w:rsid w:val="005B2DDF"/>
    <w:rsid w:val="005B3C10"/>
    <w:rsid w:val="005B4AE7"/>
    <w:rsid w:val="005B53B0"/>
    <w:rsid w:val="005B7467"/>
    <w:rsid w:val="005B76BE"/>
    <w:rsid w:val="005C1B24"/>
    <w:rsid w:val="005C3186"/>
    <w:rsid w:val="005C3206"/>
    <w:rsid w:val="005C43DE"/>
    <w:rsid w:val="005C5FC6"/>
    <w:rsid w:val="005C672C"/>
    <w:rsid w:val="005D146A"/>
    <w:rsid w:val="005D4207"/>
    <w:rsid w:val="005D45B3"/>
    <w:rsid w:val="005E0F74"/>
    <w:rsid w:val="005E2B3E"/>
    <w:rsid w:val="005E3812"/>
    <w:rsid w:val="005E3849"/>
    <w:rsid w:val="005E392C"/>
    <w:rsid w:val="005E4CCD"/>
    <w:rsid w:val="005E5C61"/>
    <w:rsid w:val="005F1902"/>
    <w:rsid w:val="005F567F"/>
    <w:rsid w:val="005F6005"/>
    <w:rsid w:val="005F6544"/>
    <w:rsid w:val="005F7F12"/>
    <w:rsid w:val="006064AB"/>
    <w:rsid w:val="00616281"/>
    <w:rsid w:val="00617B2E"/>
    <w:rsid w:val="00621729"/>
    <w:rsid w:val="006229CF"/>
    <w:rsid w:val="00622BB5"/>
    <w:rsid w:val="00624CFF"/>
    <w:rsid w:val="0062734A"/>
    <w:rsid w:val="00627356"/>
    <w:rsid w:val="006276A1"/>
    <w:rsid w:val="00636DF4"/>
    <w:rsid w:val="00644979"/>
    <w:rsid w:val="00650A4E"/>
    <w:rsid w:val="00655345"/>
    <w:rsid w:val="00656A52"/>
    <w:rsid w:val="0065742F"/>
    <w:rsid w:val="00657D50"/>
    <w:rsid w:val="00661031"/>
    <w:rsid w:val="00663BDA"/>
    <w:rsid w:val="0067018A"/>
    <w:rsid w:val="00672536"/>
    <w:rsid w:val="0067292D"/>
    <w:rsid w:val="00673480"/>
    <w:rsid w:val="0067521A"/>
    <w:rsid w:val="00676FEB"/>
    <w:rsid w:val="00677FED"/>
    <w:rsid w:val="00680B70"/>
    <w:rsid w:val="00681EDC"/>
    <w:rsid w:val="006855C3"/>
    <w:rsid w:val="0068649F"/>
    <w:rsid w:val="00687189"/>
    <w:rsid w:val="00692B9D"/>
    <w:rsid w:val="00697CCC"/>
    <w:rsid w:val="006A315B"/>
    <w:rsid w:val="006A5571"/>
    <w:rsid w:val="006A7152"/>
    <w:rsid w:val="006B07E9"/>
    <w:rsid w:val="006B0D98"/>
    <w:rsid w:val="006B13B7"/>
    <w:rsid w:val="006B2603"/>
    <w:rsid w:val="006B2942"/>
    <w:rsid w:val="006B312D"/>
    <w:rsid w:val="006B3994"/>
    <w:rsid w:val="006B57A9"/>
    <w:rsid w:val="006B6E05"/>
    <w:rsid w:val="006C0E45"/>
    <w:rsid w:val="006C1525"/>
    <w:rsid w:val="006C1902"/>
    <w:rsid w:val="006C2EF8"/>
    <w:rsid w:val="006D0FF8"/>
    <w:rsid w:val="006D10A1"/>
    <w:rsid w:val="006D4829"/>
    <w:rsid w:val="006D6C90"/>
    <w:rsid w:val="006E21D8"/>
    <w:rsid w:val="006F03BA"/>
    <w:rsid w:val="006F3B38"/>
    <w:rsid w:val="006F451B"/>
    <w:rsid w:val="00706705"/>
    <w:rsid w:val="007124DA"/>
    <w:rsid w:val="00712DF9"/>
    <w:rsid w:val="007137A4"/>
    <w:rsid w:val="0071469D"/>
    <w:rsid w:val="00721B8A"/>
    <w:rsid w:val="007225DF"/>
    <w:rsid w:val="007227F0"/>
    <w:rsid w:val="00723EC7"/>
    <w:rsid w:val="0072594A"/>
    <w:rsid w:val="007274B4"/>
    <w:rsid w:val="007329D5"/>
    <w:rsid w:val="00732C73"/>
    <w:rsid w:val="00736BAB"/>
    <w:rsid w:val="007371AC"/>
    <w:rsid w:val="007407EB"/>
    <w:rsid w:val="00740BAD"/>
    <w:rsid w:val="0074122D"/>
    <w:rsid w:val="007436D3"/>
    <w:rsid w:val="00745873"/>
    <w:rsid w:val="0074778B"/>
    <w:rsid w:val="007533F0"/>
    <w:rsid w:val="0075362D"/>
    <w:rsid w:val="00757539"/>
    <w:rsid w:val="00760EE5"/>
    <w:rsid w:val="007655C9"/>
    <w:rsid w:val="007658D0"/>
    <w:rsid w:val="0077225E"/>
    <w:rsid w:val="00772D56"/>
    <w:rsid w:val="00775000"/>
    <w:rsid w:val="00781701"/>
    <w:rsid w:val="00783EF7"/>
    <w:rsid w:val="0078742B"/>
    <w:rsid w:val="00793F48"/>
    <w:rsid w:val="007A225B"/>
    <w:rsid w:val="007A588E"/>
    <w:rsid w:val="007A6548"/>
    <w:rsid w:val="007B038E"/>
    <w:rsid w:val="007B0A5A"/>
    <w:rsid w:val="007B1486"/>
    <w:rsid w:val="007B35B2"/>
    <w:rsid w:val="007B35D9"/>
    <w:rsid w:val="007B6DBE"/>
    <w:rsid w:val="007B7579"/>
    <w:rsid w:val="007B7FB2"/>
    <w:rsid w:val="007C1FBF"/>
    <w:rsid w:val="007C443F"/>
    <w:rsid w:val="007C45D0"/>
    <w:rsid w:val="007C6802"/>
    <w:rsid w:val="007D1FFF"/>
    <w:rsid w:val="007D42A0"/>
    <w:rsid w:val="007D50DB"/>
    <w:rsid w:val="007D5941"/>
    <w:rsid w:val="007D643B"/>
    <w:rsid w:val="007E0CAA"/>
    <w:rsid w:val="007E1FE4"/>
    <w:rsid w:val="007E28D8"/>
    <w:rsid w:val="007E5631"/>
    <w:rsid w:val="007E685C"/>
    <w:rsid w:val="007E7BC4"/>
    <w:rsid w:val="007F0FE0"/>
    <w:rsid w:val="007F1B76"/>
    <w:rsid w:val="007F255A"/>
    <w:rsid w:val="007F6108"/>
    <w:rsid w:val="007F6551"/>
    <w:rsid w:val="007F7087"/>
    <w:rsid w:val="007F7097"/>
    <w:rsid w:val="008067A6"/>
    <w:rsid w:val="008143A1"/>
    <w:rsid w:val="00814447"/>
    <w:rsid w:val="00814C62"/>
    <w:rsid w:val="00815388"/>
    <w:rsid w:val="008155D8"/>
    <w:rsid w:val="0082080C"/>
    <w:rsid w:val="00821F4A"/>
    <w:rsid w:val="008227FF"/>
    <w:rsid w:val="008236B9"/>
    <w:rsid w:val="008248B9"/>
    <w:rsid w:val="008251B3"/>
    <w:rsid w:val="0082601A"/>
    <w:rsid w:val="0083153C"/>
    <w:rsid w:val="00834D8E"/>
    <w:rsid w:val="00836F1E"/>
    <w:rsid w:val="0083723D"/>
    <w:rsid w:val="00837648"/>
    <w:rsid w:val="00842058"/>
    <w:rsid w:val="008439B5"/>
    <w:rsid w:val="00844F1D"/>
    <w:rsid w:val="0084749F"/>
    <w:rsid w:val="008504FB"/>
    <w:rsid w:val="008533D4"/>
    <w:rsid w:val="00854799"/>
    <w:rsid w:val="008551C2"/>
    <w:rsid w:val="0085634C"/>
    <w:rsid w:val="0085775B"/>
    <w:rsid w:val="00857C78"/>
    <w:rsid w:val="00860ECC"/>
    <w:rsid w:val="00863044"/>
    <w:rsid w:val="008639BC"/>
    <w:rsid w:val="00864202"/>
    <w:rsid w:val="008662A4"/>
    <w:rsid w:val="0086732E"/>
    <w:rsid w:val="0087588D"/>
    <w:rsid w:val="00876428"/>
    <w:rsid w:val="008767E5"/>
    <w:rsid w:val="00877840"/>
    <w:rsid w:val="0088383A"/>
    <w:rsid w:val="00885499"/>
    <w:rsid w:val="00885A85"/>
    <w:rsid w:val="00887199"/>
    <w:rsid w:val="00890420"/>
    <w:rsid w:val="00891812"/>
    <w:rsid w:val="00893DDD"/>
    <w:rsid w:val="008A08ED"/>
    <w:rsid w:val="008A0FE8"/>
    <w:rsid w:val="008A2897"/>
    <w:rsid w:val="008A5B41"/>
    <w:rsid w:val="008B2BFB"/>
    <w:rsid w:val="008B2DC9"/>
    <w:rsid w:val="008B3C23"/>
    <w:rsid w:val="008B5443"/>
    <w:rsid w:val="008B6697"/>
    <w:rsid w:val="008C075C"/>
    <w:rsid w:val="008C26B1"/>
    <w:rsid w:val="008C4378"/>
    <w:rsid w:val="008C7EEB"/>
    <w:rsid w:val="008D0DEF"/>
    <w:rsid w:val="008D1B20"/>
    <w:rsid w:val="008D2256"/>
    <w:rsid w:val="008D2779"/>
    <w:rsid w:val="008D5E3D"/>
    <w:rsid w:val="008E426D"/>
    <w:rsid w:val="008E45DF"/>
    <w:rsid w:val="008E628A"/>
    <w:rsid w:val="008E753C"/>
    <w:rsid w:val="008F0C51"/>
    <w:rsid w:val="008F43C6"/>
    <w:rsid w:val="008F4AD2"/>
    <w:rsid w:val="00902A71"/>
    <w:rsid w:val="009049B6"/>
    <w:rsid w:val="0090737A"/>
    <w:rsid w:val="009132D3"/>
    <w:rsid w:val="009238D9"/>
    <w:rsid w:val="00924F39"/>
    <w:rsid w:val="009277C7"/>
    <w:rsid w:val="00930899"/>
    <w:rsid w:val="0093136C"/>
    <w:rsid w:val="0093349E"/>
    <w:rsid w:val="009338DE"/>
    <w:rsid w:val="0093396A"/>
    <w:rsid w:val="00940563"/>
    <w:rsid w:val="009440E4"/>
    <w:rsid w:val="009531C0"/>
    <w:rsid w:val="00954423"/>
    <w:rsid w:val="00955BFB"/>
    <w:rsid w:val="0096003C"/>
    <w:rsid w:val="0096108C"/>
    <w:rsid w:val="00963BA0"/>
    <w:rsid w:val="00967764"/>
    <w:rsid w:val="00967FA3"/>
    <w:rsid w:val="00970D2D"/>
    <w:rsid w:val="00973A3E"/>
    <w:rsid w:val="009766C9"/>
    <w:rsid w:val="00980BA8"/>
    <w:rsid w:val="009810EE"/>
    <w:rsid w:val="00982151"/>
    <w:rsid w:val="00984CC9"/>
    <w:rsid w:val="009910BB"/>
    <w:rsid w:val="0099233F"/>
    <w:rsid w:val="00997231"/>
    <w:rsid w:val="009979B7"/>
    <w:rsid w:val="009A1CCE"/>
    <w:rsid w:val="009A360D"/>
    <w:rsid w:val="009A4FC1"/>
    <w:rsid w:val="009A66AE"/>
    <w:rsid w:val="009B19AB"/>
    <w:rsid w:val="009B21A6"/>
    <w:rsid w:val="009B4090"/>
    <w:rsid w:val="009B44F3"/>
    <w:rsid w:val="009B4806"/>
    <w:rsid w:val="009B54A0"/>
    <w:rsid w:val="009B6381"/>
    <w:rsid w:val="009B78EE"/>
    <w:rsid w:val="009C1585"/>
    <w:rsid w:val="009C2760"/>
    <w:rsid w:val="009C2A2F"/>
    <w:rsid w:val="009C2E73"/>
    <w:rsid w:val="009C4D5A"/>
    <w:rsid w:val="009C6405"/>
    <w:rsid w:val="009D03C5"/>
    <w:rsid w:val="009D26C3"/>
    <w:rsid w:val="009D421B"/>
    <w:rsid w:val="009D6B4D"/>
    <w:rsid w:val="009D6D2A"/>
    <w:rsid w:val="009E305C"/>
    <w:rsid w:val="009E364B"/>
    <w:rsid w:val="009F2526"/>
    <w:rsid w:val="009F2E94"/>
    <w:rsid w:val="009F745B"/>
    <w:rsid w:val="00A06A05"/>
    <w:rsid w:val="00A122D8"/>
    <w:rsid w:val="00A202DC"/>
    <w:rsid w:val="00A20A9C"/>
    <w:rsid w:val="00A21C0E"/>
    <w:rsid w:val="00A25DD4"/>
    <w:rsid w:val="00A27A37"/>
    <w:rsid w:val="00A30799"/>
    <w:rsid w:val="00A30F03"/>
    <w:rsid w:val="00A31517"/>
    <w:rsid w:val="00A35A9C"/>
    <w:rsid w:val="00A40D2F"/>
    <w:rsid w:val="00A4454F"/>
    <w:rsid w:val="00A50984"/>
    <w:rsid w:val="00A54855"/>
    <w:rsid w:val="00A57FE8"/>
    <w:rsid w:val="00A604DC"/>
    <w:rsid w:val="00A60C8F"/>
    <w:rsid w:val="00A6194C"/>
    <w:rsid w:val="00A64ECE"/>
    <w:rsid w:val="00A6578E"/>
    <w:rsid w:val="00A66185"/>
    <w:rsid w:val="00A67EEA"/>
    <w:rsid w:val="00A71CAD"/>
    <w:rsid w:val="00A72180"/>
    <w:rsid w:val="00A7219D"/>
    <w:rsid w:val="00A731A2"/>
    <w:rsid w:val="00A75ACA"/>
    <w:rsid w:val="00A76C5B"/>
    <w:rsid w:val="00A8163B"/>
    <w:rsid w:val="00A827C1"/>
    <w:rsid w:val="00A82A78"/>
    <w:rsid w:val="00A849A3"/>
    <w:rsid w:val="00A92444"/>
    <w:rsid w:val="00A93F40"/>
    <w:rsid w:val="00A94111"/>
    <w:rsid w:val="00A9503B"/>
    <w:rsid w:val="00A950C5"/>
    <w:rsid w:val="00A95BDA"/>
    <w:rsid w:val="00A96F93"/>
    <w:rsid w:val="00AA3FED"/>
    <w:rsid w:val="00AA4463"/>
    <w:rsid w:val="00AA5014"/>
    <w:rsid w:val="00AA5BD5"/>
    <w:rsid w:val="00AA79D7"/>
    <w:rsid w:val="00AB0697"/>
    <w:rsid w:val="00AB151E"/>
    <w:rsid w:val="00AB54D2"/>
    <w:rsid w:val="00AC32A4"/>
    <w:rsid w:val="00AC65A3"/>
    <w:rsid w:val="00AD5967"/>
    <w:rsid w:val="00AD5A4F"/>
    <w:rsid w:val="00AE0894"/>
    <w:rsid w:val="00AE2B78"/>
    <w:rsid w:val="00AE39A9"/>
    <w:rsid w:val="00AE4354"/>
    <w:rsid w:val="00AE5772"/>
    <w:rsid w:val="00AF0062"/>
    <w:rsid w:val="00AF22AD"/>
    <w:rsid w:val="00AF5107"/>
    <w:rsid w:val="00B00823"/>
    <w:rsid w:val="00B013FD"/>
    <w:rsid w:val="00B0591D"/>
    <w:rsid w:val="00B06264"/>
    <w:rsid w:val="00B06660"/>
    <w:rsid w:val="00B07C8F"/>
    <w:rsid w:val="00B12AE7"/>
    <w:rsid w:val="00B14944"/>
    <w:rsid w:val="00B15FC7"/>
    <w:rsid w:val="00B27468"/>
    <w:rsid w:val="00B275D4"/>
    <w:rsid w:val="00B31F41"/>
    <w:rsid w:val="00B4010F"/>
    <w:rsid w:val="00B41D8D"/>
    <w:rsid w:val="00B46403"/>
    <w:rsid w:val="00B46D2F"/>
    <w:rsid w:val="00B46EED"/>
    <w:rsid w:val="00B51177"/>
    <w:rsid w:val="00B51934"/>
    <w:rsid w:val="00B545E5"/>
    <w:rsid w:val="00B56842"/>
    <w:rsid w:val="00B63C51"/>
    <w:rsid w:val="00B669E0"/>
    <w:rsid w:val="00B70719"/>
    <w:rsid w:val="00B73E76"/>
    <w:rsid w:val="00B75051"/>
    <w:rsid w:val="00B76186"/>
    <w:rsid w:val="00B77994"/>
    <w:rsid w:val="00B81640"/>
    <w:rsid w:val="00B838A0"/>
    <w:rsid w:val="00B845C8"/>
    <w:rsid w:val="00B85090"/>
    <w:rsid w:val="00B859DE"/>
    <w:rsid w:val="00B85EE9"/>
    <w:rsid w:val="00B87AF7"/>
    <w:rsid w:val="00BA00AC"/>
    <w:rsid w:val="00BA23A4"/>
    <w:rsid w:val="00BA26B4"/>
    <w:rsid w:val="00BA3E2F"/>
    <w:rsid w:val="00BB0B1A"/>
    <w:rsid w:val="00BB11E4"/>
    <w:rsid w:val="00BB1AC7"/>
    <w:rsid w:val="00BB55F2"/>
    <w:rsid w:val="00BB5857"/>
    <w:rsid w:val="00BC36D8"/>
    <w:rsid w:val="00BD0E59"/>
    <w:rsid w:val="00BD3B0C"/>
    <w:rsid w:val="00BD4C2F"/>
    <w:rsid w:val="00BD7D59"/>
    <w:rsid w:val="00BE2393"/>
    <w:rsid w:val="00BE4793"/>
    <w:rsid w:val="00BE5884"/>
    <w:rsid w:val="00BE5B1F"/>
    <w:rsid w:val="00BE7ADA"/>
    <w:rsid w:val="00BF4A77"/>
    <w:rsid w:val="00BF4C46"/>
    <w:rsid w:val="00C03C45"/>
    <w:rsid w:val="00C03DE0"/>
    <w:rsid w:val="00C07600"/>
    <w:rsid w:val="00C12D2F"/>
    <w:rsid w:val="00C13A9B"/>
    <w:rsid w:val="00C17B5E"/>
    <w:rsid w:val="00C21F8A"/>
    <w:rsid w:val="00C277A8"/>
    <w:rsid w:val="00C30493"/>
    <w:rsid w:val="00C309AE"/>
    <w:rsid w:val="00C319D8"/>
    <w:rsid w:val="00C3485E"/>
    <w:rsid w:val="00C356DB"/>
    <w:rsid w:val="00C365CE"/>
    <w:rsid w:val="00C379F9"/>
    <w:rsid w:val="00C37C24"/>
    <w:rsid w:val="00C417EB"/>
    <w:rsid w:val="00C5105F"/>
    <w:rsid w:val="00C528AE"/>
    <w:rsid w:val="00C52EDD"/>
    <w:rsid w:val="00C56C60"/>
    <w:rsid w:val="00C575A7"/>
    <w:rsid w:val="00C603F1"/>
    <w:rsid w:val="00C60E24"/>
    <w:rsid w:val="00C61688"/>
    <w:rsid w:val="00C62A85"/>
    <w:rsid w:val="00C635F8"/>
    <w:rsid w:val="00C67E73"/>
    <w:rsid w:val="00C73A19"/>
    <w:rsid w:val="00C75687"/>
    <w:rsid w:val="00C7578A"/>
    <w:rsid w:val="00C76A9B"/>
    <w:rsid w:val="00C9046E"/>
    <w:rsid w:val="00C9077F"/>
    <w:rsid w:val="00CA7784"/>
    <w:rsid w:val="00CB07BE"/>
    <w:rsid w:val="00CB199C"/>
    <w:rsid w:val="00CB214D"/>
    <w:rsid w:val="00CC1325"/>
    <w:rsid w:val="00CC7B5E"/>
    <w:rsid w:val="00CD21FE"/>
    <w:rsid w:val="00CD2693"/>
    <w:rsid w:val="00CD2A64"/>
    <w:rsid w:val="00CD3210"/>
    <w:rsid w:val="00CD63B7"/>
    <w:rsid w:val="00CD641A"/>
    <w:rsid w:val="00CD7D83"/>
    <w:rsid w:val="00CE45B0"/>
    <w:rsid w:val="00CE47B6"/>
    <w:rsid w:val="00CE5037"/>
    <w:rsid w:val="00CE550A"/>
    <w:rsid w:val="00CE7C25"/>
    <w:rsid w:val="00CF1410"/>
    <w:rsid w:val="00CF486A"/>
    <w:rsid w:val="00CF625F"/>
    <w:rsid w:val="00CF7D85"/>
    <w:rsid w:val="00D0014D"/>
    <w:rsid w:val="00D00E7E"/>
    <w:rsid w:val="00D01C15"/>
    <w:rsid w:val="00D038DB"/>
    <w:rsid w:val="00D04163"/>
    <w:rsid w:val="00D05901"/>
    <w:rsid w:val="00D07BB7"/>
    <w:rsid w:val="00D07C7E"/>
    <w:rsid w:val="00D11F61"/>
    <w:rsid w:val="00D140A9"/>
    <w:rsid w:val="00D14B97"/>
    <w:rsid w:val="00D16595"/>
    <w:rsid w:val="00D21E8B"/>
    <w:rsid w:val="00D22819"/>
    <w:rsid w:val="00D22C71"/>
    <w:rsid w:val="00D234BB"/>
    <w:rsid w:val="00D247F6"/>
    <w:rsid w:val="00D2786B"/>
    <w:rsid w:val="00D27B38"/>
    <w:rsid w:val="00D27BA8"/>
    <w:rsid w:val="00D313E0"/>
    <w:rsid w:val="00D35C5A"/>
    <w:rsid w:val="00D37C9C"/>
    <w:rsid w:val="00D4231A"/>
    <w:rsid w:val="00D47D0A"/>
    <w:rsid w:val="00D50799"/>
    <w:rsid w:val="00D511F0"/>
    <w:rsid w:val="00D51784"/>
    <w:rsid w:val="00D541E9"/>
    <w:rsid w:val="00D54633"/>
    <w:rsid w:val="00D54EE5"/>
    <w:rsid w:val="00D60A84"/>
    <w:rsid w:val="00D62BDA"/>
    <w:rsid w:val="00D63F82"/>
    <w:rsid w:val="00D640FC"/>
    <w:rsid w:val="00D67F10"/>
    <w:rsid w:val="00D70F7D"/>
    <w:rsid w:val="00D728BA"/>
    <w:rsid w:val="00D72A12"/>
    <w:rsid w:val="00D8048E"/>
    <w:rsid w:val="00D80D0A"/>
    <w:rsid w:val="00D817C7"/>
    <w:rsid w:val="00D86BCE"/>
    <w:rsid w:val="00D92929"/>
    <w:rsid w:val="00D93C2E"/>
    <w:rsid w:val="00D970A5"/>
    <w:rsid w:val="00DA212A"/>
    <w:rsid w:val="00DA268E"/>
    <w:rsid w:val="00DA5475"/>
    <w:rsid w:val="00DB06EB"/>
    <w:rsid w:val="00DB0BE6"/>
    <w:rsid w:val="00DB2117"/>
    <w:rsid w:val="00DB3072"/>
    <w:rsid w:val="00DB4967"/>
    <w:rsid w:val="00DB5A49"/>
    <w:rsid w:val="00DB64DA"/>
    <w:rsid w:val="00DB6793"/>
    <w:rsid w:val="00DB6AF8"/>
    <w:rsid w:val="00DC0B62"/>
    <w:rsid w:val="00DC5977"/>
    <w:rsid w:val="00DD0940"/>
    <w:rsid w:val="00DD308C"/>
    <w:rsid w:val="00DD41C2"/>
    <w:rsid w:val="00DE0737"/>
    <w:rsid w:val="00DE36C7"/>
    <w:rsid w:val="00DE50CB"/>
    <w:rsid w:val="00DE69CC"/>
    <w:rsid w:val="00DF4998"/>
    <w:rsid w:val="00DF6662"/>
    <w:rsid w:val="00E042BC"/>
    <w:rsid w:val="00E05639"/>
    <w:rsid w:val="00E12C13"/>
    <w:rsid w:val="00E13BE6"/>
    <w:rsid w:val="00E206AE"/>
    <w:rsid w:val="00E20A5E"/>
    <w:rsid w:val="00E23397"/>
    <w:rsid w:val="00E23CED"/>
    <w:rsid w:val="00E32CD7"/>
    <w:rsid w:val="00E32E44"/>
    <w:rsid w:val="00E35399"/>
    <w:rsid w:val="00E36CE4"/>
    <w:rsid w:val="00E41BD2"/>
    <w:rsid w:val="00E42917"/>
    <w:rsid w:val="00E44EE1"/>
    <w:rsid w:val="00E50B38"/>
    <w:rsid w:val="00E5241D"/>
    <w:rsid w:val="00E5393C"/>
    <w:rsid w:val="00E53C97"/>
    <w:rsid w:val="00E55AA4"/>
    <w:rsid w:val="00E5680C"/>
    <w:rsid w:val="00E60896"/>
    <w:rsid w:val="00E61A16"/>
    <w:rsid w:val="00E66441"/>
    <w:rsid w:val="00E67E51"/>
    <w:rsid w:val="00E708CE"/>
    <w:rsid w:val="00E70A9D"/>
    <w:rsid w:val="00E7453C"/>
    <w:rsid w:val="00E74A3F"/>
    <w:rsid w:val="00E76267"/>
    <w:rsid w:val="00E77976"/>
    <w:rsid w:val="00E80D67"/>
    <w:rsid w:val="00E970AB"/>
    <w:rsid w:val="00EA0F1B"/>
    <w:rsid w:val="00EA3A71"/>
    <w:rsid w:val="00EA535B"/>
    <w:rsid w:val="00EA715D"/>
    <w:rsid w:val="00EB19F0"/>
    <w:rsid w:val="00EB251D"/>
    <w:rsid w:val="00EB2B13"/>
    <w:rsid w:val="00EB5C25"/>
    <w:rsid w:val="00EB724D"/>
    <w:rsid w:val="00EC03B4"/>
    <w:rsid w:val="00EC24AF"/>
    <w:rsid w:val="00EC3793"/>
    <w:rsid w:val="00EC3C58"/>
    <w:rsid w:val="00EC554B"/>
    <w:rsid w:val="00EC579D"/>
    <w:rsid w:val="00EC6B08"/>
    <w:rsid w:val="00ED023F"/>
    <w:rsid w:val="00ED5BDC"/>
    <w:rsid w:val="00ED7DAC"/>
    <w:rsid w:val="00EE2344"/>
    <w:rsid w:val="00EE49B6"/>
    <w:rsid w:val="00EE4ABA"/>
    <w:rsid w:val="00EE72AB"/>
    <w:rsid w:val="00EF7D8D"/>
    <w:rsid w:val="00F067A6"/>
    <w:rsid w:val="00F12015"/>
    <w:rsid w:val="00F13B25"/>
    <w:rsid w:val="00F1481F"/>
    <w:rsid w:val="00F15A14"/>
    <w:rsid w:val="00F164F6"/>
    <w:rsid w:val="00F16B6D"/>
    <w:rsid w:val="00F171A4"/>
    <w:rsid w:val="00F17299"/>
    <w:rsid w:val="00F20B25"/>
    <w:rsid w:val="00F21857"/>
    <w:rsid w:val="00F22D97"/>
    <w:rsid w:val="00F251BC"/>
    <w:rsid w:val="00F25669"/>
    <w:rsid w:val="00F25C92"/>
    <w:rsid w:val="00F27484"/>
    <w:rsid w:val="00F32321"/>
    <w:rsid w:val="00F3444F"/>
    <w:rsid w:val="00F368B8"/>
    <w:rsid w:val="00F4059B"/>
    <w:rsid w:val="00F41D30"/>
    <w:rsid w:val="00F42BE0"/>
    <w:rsid w:val="00F439BB"/>
    <w:rsid w:val="00F4763F"/>
    <w:rsid w:val="00F51EDA"/>
    <w:rsid w:val="00F558B6"/>
    <w:rsid w:val="00F56B75"/>
    <w:rsid w:val="00F56BAB"/>
    <w:rsid w:val="00F6052E"/>
    <w:rsid w:val="00F622A1"/>
    <w:rsid w:val="00F6319C"/>
    <w:rsid w:val="00F70C03"/>
    <w:rsid w:val="00F8123E"/>
    <w:rsid w:val="00F83D14"/>
    <w:rsid w:val="00F84802"/>
    <w:rsid w:val="00F90222"/>
    <w:rsid w:val="00F9084A"/>
    <w:rsid w:val="00F93629"/>
    <w:rsid w:val="00FB1421"/>
    <w:rsid w:val="00FB6E40"/>
    <w:rsid w:val="00FC307F"/>
    <w:rsid w:val="00FC7A1D"/>
    <w:rsid w:val="00FD097A"/>
    <w:rsid w:val="00FD1CCB"/>
    <w:rsid w:val="00FD4170"/>
    <w:rsid w:val="00FD41D9"/>
    <w:rsid w:val="00FD6C6C"/>
    <w:rsid w:val="00FD7649"/>
    <w:rsid w:val="00FD7A7E"/>
    <w:rsid w:val="00FD7E66"/>
    <w:rsid w:val="00FE5E40"/>
    <w:rsid w:val="00FF25F0"/>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03C1"/>
  <w15:docId w15:val="{517DBA7B-C563-4321-8A89-55E0E43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uiPriority w:val="99"/>
    <w:semiHidden/>
    <w:rsid w:val="001E5ECF"/>
    <w:rPr>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324E7E"/>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FollowedHyperlink">
    <w:name w:val="FollowedHyperlink"/>
    <w:basedOn w:val="DefaultParagraphFont"/>
    <w:semiHidden/>
    <w:unhideWhenUsed/>
    <w:rsid w:val="00003C92"/>
    <w:rPr>
      <w:color w:val="5D295F" w:themeColor="followedHyperlink"/>
      <w:u w:val="single"/>
    </w:rPr>
  </w:style>
  <w:style w:type="paragraph" w:styleId="BodyText">
    <w:name w:val="Body Text"/>
    <w:basedOn w:val="Normal"/>
    <w:link w:val="BodyTextChar"/>
    <w:unhideWhenUsed/>
    <w:rsid w:val="00003C92"/>
    <w:pPr>
      <w:spacing w:after="120"/>
    </w:pPr>
  </w:style>
  <w:style w:type="character" w:customStyle="1" w:styleId="BodyTextChar">
    <w:name w:val="Body Text Char"/>
    <w:basedOn w:val="DefaultParagraphFont"/>
    <w:link w:val="BodyText"/>
    <w:rsid w:val="00003C92"/>
  </w:style>
  <w:style w:type="paragraph" w:customStyle="1" w:styleId="TableH1">
    <w:name w:val="Table H1"/>
    <w:next w:val="BodyText"/>
    <w:link w:val="TableH1Char"/>
    <w:uiPriority w:val="4"/>
    <w:qFormat/>
    <w:rsid w:val="00003C92"/>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DefaultParagraphFont"/>
    <w:link w:val="TableH1"/>
    <w:uiPriority w:val="4"/>
    <w:rsid w:val="00003C92"/>
    <w:rPr>
      <w:rFonts w:asciiTheme="minorHAnsi" w:eastAsiaTheme="majorEastAsia" w:hAnsiTheme="minorHAnsi" w:cstheme="majorBidi"/>
      <w:b/>
      <w:bCs/>
      <w:szCs w:val="32"/>
    </w:rPr>
  </w:style>
  <w:style w:type="paragraph" w:styleId="NoSpacing">
    <w:name w:val="No Spacing"/>
    <w:link w:val="NoSpacingChar"/>
    <w:uiPriority w:val="1"/>
    <w:qFormat/>
    <w:rsid w:val="00003C92"/>
    <w:pPr>
      <w:spacing w:before="0" w:line="240" w:lineRule="auto"/>
    </w:pPr>
    <w:rPr>
      <w:rFonts w:asciiTheme="minorHAnsi" w:eastAsiaTheme="minorHAnsi" w:hAnsiTheme="minorHAnsi" w:cstheme="minorBidi"/>
      <w:color w:val="000000" w:themeColor="text2"/>
      <w:lang w:bidi="ar-SA"/>
    </w:rPr>
  </w:style>
  <w:style w:type="character" w:customStyle="1" w:styleId="NoSpacingChar">
    <w:name w:val="No Spacing Char"/>
    <w:basedOn w:val="DefaultParagraphFont"/>
    <w:link w:val="NoSpacing"/>
    <w:uiPriority w:val="1"/>
    <w:rsid w:val="00003C92"/>
    <w:rPr>
      <w:rFonts w:asciiTheme="minorHAnsi" w:eastAsiaTheme="minorHAnsi" w:hAnsiTheme="minorHAnsi" w:cstheme="minorBidi"/>
      <w:color w:val="000000" w:themeColor="text2"/>
      <w:lang w:bidi="ar-SA"/>
    </w:rPr>
  </w:style>
  <w:style w:type="paragraph" w:styleId="TOC1">
    <w:name w:val="toc 1"/>
    <w:basedOn w:val="Normal"/>
    <w:next w:val="Normal"/>
    <w:autoRedefine/>
    <w:uiPriority w:val="39"/>
    <w:unhideWhenUsed/>
    <w:rsid w:val="00003C92"/>
    <w:pPr>
      <w:spacing w:after="100"/>
    </w:pPr>
  </w:style>
  <w:style w:type="paragraph" w:styleId="TOC2">
    <w:name w:val="toc 2"/>
    <w:basedOn w:val="Normal"/>
    <w:next w:val="Normal"/>
    <w:autoRedefine/>
    <w:uiPriority w:val="39"/>
    <w:unhideWhenUsed/>
    <w:rsid w:val="00003C92"/>
    <w:pPr>
      <w:spacing w:after="100"/>
      <w:ind w:left="220"/>
    </w:pPr>
  </w:style>
  <w:style w:type="paragraph" w:styleId="TOC3">
    <w:name w:val="toc 3"/>
    <w:basedOn w:val="Normal"/>
    <w:next w:val="Normal"/>
    <w:autoRedefine/>
    <w:uiPriority w:val="39"/>
    <w:unhideWhenUsed/>
    <w:rsid w:val="00003C92"/>
    <w:pPr>
      <w:spacing w:after="100"/>
      <w:ind w:left="440"/>
    </w:pPr>
  </w:style>
  <w:style w:type="paragraph" w:customStyle="1" w:styleId="xmsonormal">
    <w:name w:val="x_msonormal"/>
    <w:basedOn w:val="Normal"/>
    <w:rsid w:val="006855C3"/>
    <w:pPr>
      <w:spacing w:before="0" w:after="0" w:line="240" w:lineRule="auto"/>
    </w:pPr>
    <w:rPr>
      <w:rFonts w:ascii="Times New Roman" w:eastAsiaTheme="minorHAnsi" w:hAnsi="Times New Roman"/>
      <w:sz w:val="24"/>
      <w:szCs w:val="24"/>
      <w:lang w:bidi="ar-SA"/>
    </w:rPr>
  </w:style>
  <w:style w:type="character" w:customStyle="1" w:styleId="UnresolvedMention1">
    <w:name w:val="Unresolved Mention1"/>
    <w:basedOn w:val="DefaultParagraphFont"/>
    <w:uiPriority w:val="99"/>
    <w:semiHidden/>
    <w:unhideWhenUsed/>
    <w:rsid w:val="007329D5"/>
    <w:rPr>
      <w:color w:val="605E5C"/>
      <w:shd w:val="clear" w:color="auto" w:fill="E1DFDD"/>
    </w:rPr>
  </w:style>
  <w:style w:type="character" w:styleId="CommentReference">
    <w:name w:val="annotation reference"/>
    <w:basedOn w:val="DefaultParagraphFont"/>
    <w:semiHidden/>
    <w:unhideWhenUsed/>
    <w:rsid w:val="00E42917"/>
    <w:rPr>
      <w:sz w:val="16"/>
      <w:szCs w:val="16"/>
    </w:rPr>
  </w:style>
  <w:style w:type="paragraph" w:styleId="CommentText">
    <w:name w:val="annotation text"/>
    <w:basedOn w:val="Normal"/>
    <w:link w:val="CommentTextChar"/>
    <w:unhideWhenUsed/>
    <w:rsid w:val="00E42917"/>
    <w:pPr>
      <w:spacing w:line="240" w:lineRule="auto"/>
    </w:pPr>
    <w:rPr>
      <w:sz w:val="20"/>
      <w:szCs w:val="20"/>
    </w:rPr>
  </w:style>
  <w:style w:type="character" w:customStyle="1" w:styleId="CommentTextChar">
    <w:name w:val="Comment Text Char"/>
    <w:basedOn w:val="DefaultParagraphFont"/>
    <w:link w:val="CommentText"/>
    <w:rsid w:val="00E42917"/>
    <w:rPr>
      <w:sz w:val="20"/>
      <w:szCs w:val="20"/>
    </w:rPr>
  </w:style>
  <w:style w:type="paragraph" w:styleId="CommentSubject">
    <w:name w:val="annotation subject"/>
    <w:basedOn w:val="CommentText"/>
    <w:next w:val="CommentText"/>
    <w:link w:val="CommentSubjectChar"/>
    <w:semiHidden/>
    <w:unhideWhenUsed/>
    <w:rsid w:val="00E42917"/>
    <w:rPr>
      <w:b/>
      <w:bCs/>
    </w:rPr>
  </w:style>
  <w:style w:type="character" w:customStyle="1" w:styleId="CommentSubjectChar">
    <w:name w:val="Comment Subject Char"/>
    <w:basedOn w:val="CommentTextChar"/>
    <w:link w:val="CommentSubject"/>
    <w:semiHidden/>
    <w:rsid w:val="00E42917"/>
    <w:rPr>
      <w:b/>
      <w:bCs/>
      <w:sz w:val="20"/>
      <w:szCs w:val="20"/>
    </w:rPr>
  </w:style>
  <w:style w:type="character" w:styleId="UnresolvedMention">
    <w:name w:val="Unresolved Mention"/>
    <w:basedOn w:val="DefaultParagraphFont"/>
    <w:uiPriority w:val="99"/>
    <w:semiHidden/>
    <w:unhideWhenUsed/>
    <w:rsid w:val="00F84802"/>
    <w:rPr>
      <w:color w:val="605E5C"/>
      <w:shd w:val="clear" w:color="auto" w:fill="E1DFDD"/>
    </w:rPr>
  </w:style>
  <w:style w:type="paragraph" w:styleId="Title">
    <w:name w:val="Title"/>
    <w:basedOn w:val="Normal"/>
    <w:link w:val="TitleChar"/>
    <w:uiPriority w:val="10"/>
    <w:qFormat/>
    <w:rsid w:val="00FD7649"/>
    <w:pPr>
      <w:widowControl w:val="0"/>
      <w:autoSpaceDE w:val="0"/>
      <w:autoSpaceDN w:val="0"/>
      <w:spacing w:before="3" w:after="0" w:line="240" w:lineRule="auto"/>
      <w:ind w:right="138"/>
      <w:jc w:val="right"/>
    </w:pPr>
    <w:rPr>
      <w:rFonts w:eastAsia="Calibri" w:cs="Calibri"/>
      <w:b/>
      <w:bCs/>
      <w:sz w:val="48"/>
      <w:szCs w:val="48"/>
      <w:lang w:bidi="ar-SA"/>
    </w:rPr>
  </w:style>
  <w:style w:type="character" w:customStyle="1" w:styleId="TitleChar">
    <w:name w:val="Title Char"/>
    <w:basedOn w:val="DefaultParagraphFont"/>
    <w:link w:val="Title"/>
    <w:uiPriority w:val="10"/>
    <w:rsid w:val="00FD7649"/>
    <w:rPr>
      <w:rFonts w:eastAsia="Calibri" w:cs="Calibri"/>
      <w:b/>
      <w:bCs/>
      <w:sz w:val="48"/>
      <w:szCs w:val="48"/>
      <w:lang w:bidi="ar-SA"/>
    </w:rPr>
  </w:style>
  <w:style w:type="paragraph" w:customStyle="1" w:styleId="Default">
    <w:name w:val="Default"/>
    <w:rsid w:val="002B2C94"/>
    <w:pPr>
      <w:autoSpaceDE w:val="0"/>
      <w:autoSpaceDN w:val="0"/>
      <w:adjustRightInd w:val="0"/>
      <w:spacing w:before="0" w:line="240" w:lineRule="auto"/>
    </w:pPr>
    <w:rPr>
      <w:rFonts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26243350">
      <w:bodyDiv w:val="1"/>
      <w:marLeft w:val="0"/>
      <w:marRight w:val="0"/>
      <w:marTop w:val="0"/>
      <w:marBottom w:val="0"/>
      <w:divBdr>
        <w:top w:val="none" w:sz="0" w:space="0" w:color="auto"/>
        <w:left w:val="none" w:sz="0" w:space="0" w:color="auto"/>
        <w:bottom w:val="none" w:sz="0" w:space="0" w:color="auto"/>
        <w:right w:val="none" w:sz="0" w:space="0" w:color="auto"/>
      </w:divBdr>
    </w:div>
    <w:div w:id="234048447">
      <w:bodyDiv w:val="1"/>
      <w:marLeft w:val="0"/>
      <w:marRight w:val="0"/>
      <w:marTop w:val="0"/>
      <w:marBottom w:val="0"/>
      <w:divBdr>
        <w:top w:val="none" w:sz="0" w:space="0" w:color="auto"/>
        <w:left w:val="none" w:sz="0" w:space="0" w:color="auto"/>
        <w:bottom w:val="none" w:sz="0" w:space="0" w:color="auto"/>
        <w:right w:val="none" w:sz="0" w:space="0" w:color="auto"/>
      </w:divBdr>
    </w:div>
    <w:div w:id="276571236">
      <w:bodyDiv w:val="1"/>
      <w:marLeft w:val="0"/>
      <w:marRight w:val="0"/>
      <w:marTop w:val="0"/>
      <w:marBottom w:val="0"/>
      <w:divBdr>
        <w:top w:val="none" w:sz="0" w:space="0" w:color="auto"/>
        <w:left w:val="none" w:sz="0" w:space="0" w:color="auto"/>
        <w:bottom w:val="none" w:sz="0" w:space="0" w:color="auto"/>
        <w:right w:val="none" w:sz="0" w:space="0" w:color="auto"/>
      </w:divBdr>
    </w:div>
    <w:div w:id="307785848">
      <w:bodyDiv w:val="1"/>
      <w:marLeft w:val="0"/>
      <w:marRight w:val="0"/>
      <w:marTop w:val="0"/>
      <w:marBottom w:val="0"/>
      <w:divBdr>
        <w:top w:val="none" w:sz="0" w:space="0" w:color="auto"/>
        <w:left w:val="none" w:sz="0" w:space="0" w:color="auto"/>
        <w:bottom w:val="none" w:sz="0" w:space="0" w:color="auto"/>
        <w:right w:val="none" w:sz="0" w:space="0" w:color="auto"/>
      </w:divBdr>
    </w:div>
    <w:div w:id="495728218">
      <w:bodyDiv w:val="1"/>
      <w:marLeft w:val="0"/>
      <w:marRight w:val="0"/>
      <w:marTop w:val="0"/>
      <w:marBottom w:val="0"/>
      <w:divBdr>
        <w:top w:val="none" w:sz="0" w:space="0" w:color="auto"/>
        <w:left w:val="none" w:sz="0" w:space="0" w:color="auto"/>
        <w:bottom w:val="none" w:sz="0" w:space="0" w:color="auto"/>
        <w:right w:val="none" w:sz="0" w:space="0" w:color="auto"/>
      </w:divBdr>
    </w:div>
    <w:div w:id="716322659">
      <w:bodyDiv w:val="1"/>
      <w:marLeft w:val="0"/>
      <w:marRight w:val="0"/>
      <w:marTop w:val="0"/>
      <w:marBottom w:val="0"/>
      <w:divBdr>
        <w:top w:val="none" w:sz="0" w:space="0" w:color="auto"/>
        <w:left w:val="none" w:sz="0" w:space="0" w:color="auto"/>
        <w:bottom w:val="none" w:sz="0" w:space="0" w:color="auto"/>
        <w:right w:val="none" w:sz="0" w:space="0" w:color="auto"/>
      </w:divBdr>
    </w:div>
    <w:div w:id="742725124">
      <w:bodyDiv w:val="1"/>
      <w:marLeft w:val="0"/>
      <w:marRight w:val="0"/>
      <w:marTop w:val="0"/>
      <w:marBottom w:val="0"/>
      <w:divBdr>
        <w:top w:val="none" w:sz="0" w:space="0" w:color="auto"/>
        <w:left w:val="none" w:sz="0" w:space="0" w:color="auto"/>
        <w:bottom w:val="none" w:sz="0" w:space="0" w:color="auto"/>
        <w:right w:val="none" w:sz="0" w:space="0" w:color="auto"/>
      </w:divBdr>
    </w:div>
    <w:div w:id="871726567">
      <w:bodyDiv w:val="1"/>
      <w:marLeft w:val="0"/>
      <w:marRight w:val="0"/>
      <w:marTop w:val="0"/>
      <w:marBottom w:val="0"/>
      <w:divBdr>
        <w:top w:val="none" w:sz="0" w:space="0" w:color="auto"/>
        <w:left w:val="none" w:sz="0" w:space="0" w:color="auto"/>
        <w:bottom w:val="none" w:sz="0" w:space="0" w:color="auto"/>
        <w:right w:val="none" w:sz="0" w:space="0" w:color="auto"/>
      </w:divBdr>
    </w:div>
    <w:div w:id="1129662729">
      <w:bodyDiv w:val="1"/>
      <w:marLeft w:val="0"/>
      <w:marRight w:val="0"/>
      <w:marTop w:val="0"/>
      <w:marBottom w:val="0"/>
      <w:divBdr>
        <w:top w:val="none" w:sz="0" w:space="0" w:color="auto"/>
        <w:left w:val="none" w:sz="0" w:space="0" w:color="auto"/>
        <w:bottom w:val="none" w:sz="0" w:space="0" w:color="auto"/>
        <w:right w:val="none" w:sz="0" w:space="0" w:color="auto"/>
      </w:divBdr>
    </w:div>
    <w:div w:id="1470201180">
      <w:bodyDiv w:val="1"/>
      <w:marLeft w:val="0"/>
      <w:marRight w:val="0"/>
      <w:marTop w:val="0"/>
      <w:marBottom w:val="0"/>
      <w:divBdr>
        <w:top w:val="none" w:sz="0" w:space="0" w:color="auto"/>
        <w:left w:val="none" w:sz="0" w:space="0" w:color="auto"/>
        <w:bottom w:val="none" w:sz="0" w:space="0" w:color="auto"/>
        <w:right w:val="none" w:sz="0" w:space="0" w:color="auto"/>
      </w:divBdr>
    </w:div>
    <w:div w:id="1539274940">
      <w:bodyDiv w:val="1"/>
      <w:marLeft w:val="0"/>
      <w:marRight w:val="0"/>
      <w:marTop w:val="0"/>
      <w:marBottom w:val="0"/>
      <w:divBdr>
        <w:top w:val="none" w:sz="0" w:space="0" w:color="auto"/>
        <w:left w:val="none" w:sz="0" w:space="0" w:color="auto"/>
        <w:bottom w:val="none" w:sz="0" w:space="0" w:color="auto"/>
        <w:right w:val="none" w:sz="0" w:space="0" w:color="auto"/>
      </w:divBdr>
    </w:div>
    <w:div w:id="1787499936">
      <w:bodyDiv w:val="1"/>
      <w:marLeft w:val="0"/>
      <w:marRight w:val="0"/>
      <w:marTop w:val="0"/>
      <w:marBottom w:val="0"/>
      <w:divBdr>
        <w:top w:val="none" w:sz="0" w:space="0" w:color="auto"/>
        <w:left w:val="none" w:sz="0" w:space="0" w:color="auto"/>
        <w:bottom w:val="none" w:sz="0" w:space="0" w:color="auto"/>
        <w:right w:val="none" w:sz="0" w:space="0" w:color="auto"/>
      </w:divBdr>
    </w:div>
    <w:div w:id="1823345467">
      <w:bodyDiv w:val="1"/>
      <w:marLeft w:val="0"/>
      <w:marRight w:val="0"/>
      <w:marTop w:val="0"/>
      <w:marBottom w:val="0"/>
      <w:divBdr>
        <w:top w:val="none" w:sz="0" w:space="0" w:color="auto"/>
        <w:left w:val="none" w:sz="0" w:space="0" w:color="auto"/>
        <w:bottom w:val="none" w:sz="0" w:space="0" w:color="auto"/>
        <w:right w:val="none" w:sz="0" w:space="0" w:color="auto"/>
      </w:divBdr>
    </w:div>
    <w:div w:id="2023774040">
      <w:bodyDiv w:val="1"/>
      <w:marLeft w:val="0"/>
      <w:marRight w:val="0"/>
      <w:marTop w:val="0"/>
      <w:marBottom w:val="0"/>
      <w:divBdr>
        <w:top w:val="none" w:sz="0" w:space="0" w:color="auto"/>
        <w:left w:val="none" w:sz="0" w:space="0" w:color="auto"/>
        <w:bottom w:val="none" w:sz="0" w:space="0" w:color="auto"/>
        <w:right w:val="none" w:sz="0" w:space="0" w:color="auto"/>
      </w:divBdr>
    </w:div>
    <w:div w:id="20465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Tracy@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laws/2023/0/Session+Law/Chapter/53/"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A5EBC408F994995B4F9396FF7D618" ma:contentTypeVersion="8" ma:contentTypeDescription="Create a new document." ma:contentTypeScope="" ma:versionID="0f279ca1a24c064e4f0e4805e95417e7">
  <xsd:schema xmlns:xsd="http://www.w3.org/2001/XMLSchema" xmlns:xs="http://www.w3.org/2001/XMLSchema" xmlns:p="http://schemas.microsoft.com/office/2006/metadata/properties" xmlns:ns3="11ceec97-eca2-4a98-b316-d6c0dba5a240" xmlns:ns4="7aad47d0-75f5-4973-b3e4-46f4709fcf14" targetNamespace="http://schemas.microsoft.com/office/2006/metadata/properties" ma:root="true" ma:fieldsID="08be388f4ff9379426df8ff06c7a3615" ns3:_="" ns4:_="">
    <xsd:import namespace="11ceec97-eca2-4a98-b316-d6c0dba5a240"/>
    <xsd:import namespace="7aad47d0-75f5-4973-b3e4-46f4709fcf1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eec97-eca2-4a98-b316-d6c0dba5a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d47d0-75f5-4973-b3e4-46f4709fcf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1ceec97-eca2-4a98-b316-d6c0dba5a240" xsi:nil="true"/>
  </documentManagement>
</p:properties>
</file>

<file path=customXml/itemProps1.xml><?xml version="1.0" encoding="utf-8"?>
<ds:datastoreItem xmlns:ds="http://schemas.openxmlformats.org/officeDocument/2006/customXml" ds:itemID="{D9EFFE95-3CB4-4633-BBFB-CFA63E8B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eec97-eca2-4a98-b316-d6c0dba5a240"/>
    <ds:schemaRef ds:uri="7aad47d0-75f5-4973-b3e4-46f4709f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3.xml><?xml version="1.0" encoding="utf-8"?>
<ds:datastoreItem xmlns:ds="http://schemas.openxmlformats.org/officeDocument/2006/customXml" ds:itemID="{3CE43E21-4B89-438F-A82B-EEB4C630EEB4}">
  <ds:schemaRefs>
    <ds:schemaRef ds:uri="http://schemas.openxmlformats.org/officeDocument/2006/bibliography"/>
  </ds:schemaRefs>
</ds:datastoreItem>
</file>

<file path=customXml/itemProps4.xml><?xml version="1.0" encoding="utf-8"?>
<ds:datastoreItem xmlns:ds="http://schemas.openxmlformats.org/officeDocument/2006/customXml" ds:itemID="{C0373A2B-B247-48D0-9579-3481F102C991}">
  <ds:schemaRefs>
    <ds:schemaRef ds:uri="http://schemas.microsoft.com/office/2006/metadata/properties"/>
    <ds:schemaRef ds:uri="http://schemas.microsoft.com/office/infopath/2007/PartnerControls"/>
    <ds:schemaRef ds:uri="11ceec97-eca2-4a98-b316-d6c0dba5a240"/>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21</TotalTime>
  <Pages>9</Pages>
  <Words>1887</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SFY 2021 Ujamaa Place Direct Appropriation report to Legislature</vt:lpstr>
    </vt:vector>
  </TitlesOfParts>
  <Manager/>
  <Company>DEED</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2021 Ujamaa Place Direct Appropriation report to Legislature</dc:title>
  <dc:subject>Progress of SFY 2021 Ujamaa Place Direct Appropriation Grant</dc:subject>
  <dc:creator>Employment and Training Programs Division/Youth Development</dc:creator>
  <cp:keywords>Ujamaa Place, report</cp:keywords>
  <dc:description/>
  <cp:lastModifiedBy>Young, Kathy (DEED)</cp:lastModifiedBy>
  <cp:revision>4</cp:revision>
  <cp:lastPrinted>2018-12-14T16:16:00Z</cp:lastPrinted>
  <dcterms:created xsi:type="dcterms:W3CDTF">2025-01-14T18:02:00Z</dcterms:created>
  <dcterms:modified xsi:type="dcterms:W3CDTF">2025-01-22T16:46:00Z</dcterms:modified>
  <cp:category>report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0x010100ECEA5EBC408F994995B4F9396FF7D618</vt:lpwstr>
  </property>
</Properties>
</file>