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2797" w14:textId="3EE36AFC" w:rsidR="008A3741" w:rsidRDefault="00D52CFB" w:rsidP="00AB6F70">
      <w:r>
        <w:br/>
      </w:r>
      <w:r w:rsidR="00721A9D">
        <w:rPr>
          <w:noProof/>
        </w:rPr>
        <w:drawing>
          <wp:inline distT="0" distB="0" distL="0" distR="0" wp14:anchorId="358C20A9" wp14:editId="2893D2E2">
            <wp:extent cx="7029450" cy="1586506"/>
            <wp:effectExtent l="0" t="0" r="0" b="0"/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2361" cy="16119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338F97" w14:textId="271D9D9F" w:rsidR="008B388C" w:rsidRPr="00D60273" w:rsidRDefault="001873F4" w:rsidP="00E55E81">
      <w:pPr>
        <w:pStyle w:val="Heading1"/>
        <w:jc w:val="center"/>
        <w:rPr>
          <w:b/>
          <w:sz w:val="28"/>
          <w:szCs w:val="28"/>
        </w:rPr>
        <w:sectPr w:rsidR="008B388C" w:rsidRPr="00D60273" w:rsidSect="0070375F"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  <w:r>
        <w:rPr>
          <w:b/>
          <w:sz w:val="28"/>
          <w:szCs w:val="28"/>
        </w:rPr>
        <w:t>Manufact</w:t>
      </w:r>
      <w:r w:rsidR="00A7507C">
        <w:rPr>
          <w:b/>
          <w:sz w:val="28"/>
          <w:szCs w:val="28"/>
        </w:rPr>
        <w:t xml:space="preserve">urers </w:t>
      </w:r>
      <w:r w:rsidR="005A3847">
        <w:rPr>
          <w:b/>
          <w:sz w:val="28"/>
          <w:szCs w:val="28"/>
        </w:rPr>
        <w:t>Expect Mostly Unchanged Conditions in 2023</w:t>
      </w:r>
      <w:r w:rsidR="00180F16">
        <w:rPr>
          <w:b/>
          <w:sz w:val="28"/>
          <w:szCs w:val="28"/>
        </w:rPr>
        <w:br/>
      </w:r>
    </w:p>
    <w:p w14:paraId="4118757D" w14:textId="55E20B3C" w:rsidR="00266F95" w:rsidRPr="00D361E1" w:rsidRDefault="00266F95" w:rsidP="00266F95">
      <w:pPr>
        <w:spacing w:after="0" w:line="240" w:lineRule="auto"/>
      </w:pPr>
      <w:r w:rsidRPr="00D361E1">
        <w:t>A random sample survey of Minnesota manufacturers conducted from November-</w:t>
      </w:r>
      <w:r w:rsidR="00860D34">
        <w:t>December 2022</w:t>
      </w:r>
      <w:r w:rsidRPr="00D361E1">
        <w:t xml:space="preserve"> by the Minnesota Department of Employment and Economic Development and the Federal Reserve Bank of Minneapolis reports that Minnesota manufacturers </w:t>
      </w:r>
      <w:r w:rsidR="001E5A34" w:rsidRPr="00D361E1">
        <w:t xml:space="preserve">expect </w:t>
      </w:r>
      <w:r w:rsidR="005A3847" w:rsidRPr="00D361E1">
        <w:t>mostly unchanged conditions</w:t>
      </w:r>
      <w:r w:rsidRPr="00D361E1">
        <w:t xml:space="preserve">. </w:t>
      </w:r>
      <w:r w:rsidR="00CD106C" w:rsidRPr="00D361E1">
        <w:t>Fifty-</w:t>
      </w:r>
      <w:r w:rsidR="005A3847" w:rsidRPr="00D361E1">
        <w:t>five</w:t>
      </w:r>
      <w:r w:rsidR="00DB159E" w:rsidRPr="00D361E1">
        <w:t xml:space="preserve"> percent expect</w:t>
      </w:r>
      <w:r w:rsidR="00CD106C" w:rsidRPr="00D361E1">
        <w:t xml:space="preserve"> </w:t>
      </w:r>
      <w:r w:rsidR="005A3847" w:rsidRPr="00D361E1">
        <w:t>unchanged production level</w:t>
      </w:r>
      <w:r w:rsidR="001E5A34" w:rsidRPr="00D361E1">
        <w:t xml:space="preserve">, </w:t>
      </w:r>
      <w:r w:rsidR="00CD106C" w:rsidRPr="00D361E1">
        <w:t>while 5</w:t>
      </w:r>
      <w:r w:rsidR="005A3847" w:rsidRPr="00D361E1">
        <w:t>1</w:t>
      </w:r>
      <w:r w:rsidR="002D20C8" w:rsidRPr="00D361E1">
        <w:t>%</w:t>
      </w:r>
      <w:r w:rsidRPr="00D361E1">
        <w:t xml:space="preserve"> </w:t>
      </w:r>
      <w:r w:rsidR="005A3847" w:rsidRPr="00D361E1">
        <w:t>the same level of productivity</w:t>
      </w:r>
      <w:r w:rsidR="00C927EB" w:rsidRPr="00D361E1">
        <w:t>.</w:t>
      </w:r>
    </w:p>
    <w:p w14:paraId="626009E2" w14:textId="77777777" w:rsidR="00C067E2" w:rsidRPr="00B42CDA" w:rsidRDefault="00C067E2" w:rsidP="00C067E2">
      <w:pPr>
        <w:spacing w:after="0" w:line="240" w:lineRule="auto"/>
      </w:pPr>
    </w:p>
    <w:p w14:paraId="19681C43" w14:textId="1EED2515" w:rsidR="00CF304A" w:rsidRDefault="003F62BE" w:rsidP="003F62BE">
      <w:pPr>
        <w:spacing w:after="0" w:line="240" w:lineRule="auto"/>
        <w:rPr>
          <w:noProof/>
          <w:color w:val="C00000"/>
        </w:rPr>
      </w:pPr>
      <w:r>
        <w:br/>
      </w:r>
      <w:r w:rsidR="001873F4">
        <w:rPr>
          <w:rStyle w:val="Heading2Char"/>
          <w:b/>
        </w:rPr>
        <w:t>The Manufacturing Industry in 202</w:t>
      </w:r>
      <w:r w:rsidR="005A3847">
        <w:rPr>
          <w:rStyle w:val="Heading2Char"/>
          <w:b/>
        </w:rPr>
        <w:t>2</w:t>
      </w:r>
      <w:r w:rsidR="00855892" w:rsidRPr="003F62BE">
        <w:rPr>
          <w:rStyle w:val="Heading2Char"/>
        </w:rPr>
        <w:br/>
      </w:r>
      <w:r w:rsidR="00937AC5" w:rsidRPr="00D361E1">
        <w:t>Compared to 202</w:t>
      </w:r>
      <w:r w:rsidR="005A3847" w:rsidRPr="00D361E1">
        <w:t>1</w:t>
      </w:r>
      <w:r w:rsidR="00937AC5" w:rsidRPr="00D361E1">
        <w:t>, m</w:t>
      </w:r>
      <w:r w:rsidR="004B46A0" w:rsidRPr="00D361E1">
        <w:t>ost economic indicators</w:t>
      </w:r>
      <w:r w:rsidR="000715D1" w:rsidRPr="00D361E1">
        <w:t xml:space="preserve"> </w:t>
      </w:r>
      <w:r w:rsidR="004B46A0" w:rsidRPr="00D361E1">
        <w:t>showed</w:t>
      </w:r>
      <w:r w:rsidR="00F0687F" w:rsidRPr="00D361E1">
        <w:t xml:space="preserve"> </w:t>
      </w:r>
      <w:r w:rsidR="005A3847" w:rsidRPr="00D361E1">
        <w:t>improved or unchanged conditions</w:t>
      </w:r>
      <w:r w:rsidR="006449F7" w:rsidRPr="00D361E1">
        <w:t xml:space="preserve">. </w:t>
      </w:r>
      <w:r w:rsidR="006A75FE" w:rsidRPr="00D361E1">
        <w:t>Fifty-two</w:t>
      </w:r>
      <w:r w:rsidR="00413D79" w:rsidRPr="00D361E1">
        <w:t xml:space="preserve"> </w:t>
      </w:r>
      <w:r w:rsidR="00C927EB" w:rsidRPr="00D361E1">
        <w:t xml:space="preserve">percent </w:t>
      </w:r>
      <w:r w:rsidR="006B6F5E" w:rsidRPr="00D361E1">
        <w:t xml:space="preserve">of respondents </w:t>
      </w:r>
      <w:r w:rsidR="00413D79" w:rsidRPr="00D361E1">
        <w:t>indica</w:t>
      </w:r>
      <w:r w:rsidR="001873F4" w:rsidRPr="00D361E1">
        <w:t>ted a</w:t>
      </w:r>
      <w:r w:rsidR="00F0687F" w:rsidRPr="00D361E1">
        <w:t>n increase in the number of orders</w:t>
      </w:r>
      <w:r w:rsidR="00413D79" w:rsidRPr="00D361E1">
        <w:t xml:space="preserve"> and </w:t>
      </w:r>
      <w:r w:rsidR="001873F4" w:rsidRPr="00D361E1">
        <w:t>5</w:t>
      </w:r>
      <w:r w:rsidR="006A75FE" w:rsidRPr="00D361E1">
        <w:t>1</w:t>
      </w:r>
      <w:r w:rsidR="0051195F" w:rsidRPr="00D361E1">
        <w:t>%</w:t>
      </w:r>
      <w:r w:rsidR="0063644F" w:rsidRPr="00D361E1">
        <w:t xml:space="preserve"> exper</w:t>
      </w:r>
      <w:r w:rsidR="001873F4" w:rsidRPr="00D361E1">
        <w:t xml:space="preserve">ienced </w:t>
      </w:r>
      <w:r w:rsidR="006A75FE" w:rsidRPr="00D361E1">
        <w:t>unchanged productivity</w:t>
      </w:r>
      <w:r w:rsidR="001873F4" w:rsidRPr="00D361E1">
        <w:t xml:space="preserve">. Additionally, </w:t>
      </w:r>
      <w:r w:rsidR="006A75FE" w:rsidRPr="00D361E1">
        <w:t>4</w:t>
      </w:r>
      <w:r w:rsidR="003A2A40">
        <w:t>5</w:t>
      </w:r>
      <w:r w:rsidR="0051195F" w:rsidRPr="00D361E1">
        <w:t>%</w:t>
      </w:r>
      <w:r w:rsidR="00245A31" w:rsidRPr="00D361E1">
        <w:t xml:space="preserve"> rep</w:t>
      </w:r>
      <w:r w:rsidR="001873F4" w:rsidRPr="00D361E1">
        <w:t xml:space="preserve">orted </w:t>
      </w:r>
      <w:r w:rsidR="006A75FE" w:rsidRPr="00D361E1">
        <w:t xml:space="preserve">an </w:t>
      </w:r>
      <w:r w:rsidR="00F0687F" w:rsidRPr="00D361E1">
        <w:t>increase</w:t>
      </w:r>
      <w:r w:rsidR="006A75FE" w:rsidRPr="00D361E1">
        <w:t xml:space="preserve"> in investment in plant/equipment</w:t>
      </w:r>
      <w:r w:rsidR="0063644F" w:rsidRPr="00D361E1">
        <w:t xml:space="preserve">. </w:t>
      </w:r>
      <w:r w:rsidR="00667728" w:rsidRPr="00D361E1">
        <w:t>Forty-one</w:t>
      </w:r>
      <w:r w:rsidR="00937AC5" w:rsidRPr="00D361E1">
        <w:t xml:space="preserve"> percent indicated </w:t>
      </w:r>
      <w:r w:rsidR="00667728" w:rsidRPr="00D361E1">
        <w:t>constant</w:t>
      </w:r>
      <w:r w:rsidR="00937AC5" w:rsidRPr="00D361E1">
        <w:t xml:space="preserve"> level</w:t>
      </w:r>
      <w:r w:rsidR="007178EA" w:rsidRPr="00D361E1">
        <w:t>s</w:t>
      </w:r>
      <w:r w:rsidR="00937AC5" w:rsidRPr="00D361E1">
        <w:t xml:space="preserve"> of employment</w:t>
      </w:r>
      <w:r w:rsidR="007530EC" w:rsidRPr="00D361E1">
        <w:t xml:space="preserve"> and production levels. </w:t>
      </w:r>
      <w:r w:rsidR="004B46A0" w:rsidRPr="00D361E1">
        <w:t xml:space="preserve">Nonetheless, </w:t>
      </w:r>
      <w:r w:rsidR="00F0687F" w:rsidRPr="00D361E1">
        <w:t>3</w:t>
      </w:r>
      <w:r w:rsidR="006A75FE" w:rsidRPr="00D361E1">
        <w:t>6</w:t>
      </w:r>
      <w:r w:rsidR="00F0687F" w:rsidRPr="00D361E1">
        <w:t xml:space="preserve">% </w:t>
      </w:r>
      <w:r w:rsidR="00C927EB" w:rsidRPr="00D361E1">
        <w:t xml:space="preserve">of respondents </w:t>
      </w:r>
      <w:r w:rsidR="004B46A0" w:rsidRPr="00D361E1">
        <w:t xml:space="preserve">reported </w:t>
      </w:r>
      <w:r w:rsidR="006A75FE" w:rsidRPr="00D361E1">
        <w:t>unchanged profits, while 33</w:t>
      </w:r>
      <w:r w:rsidR="007530EC" w:rsidRPr="00D361E1">
        <w:t>%</w:t>
      </w:r>
      <w:r w:rsidR="006A75FE" w:rsidRPr="00D361E1">
        <w:t xml:space="preserve"> experienced a decline. </w:t>
      </w:r>
      <w:r w:rsidR="004B46A0" w:rsidRPr="00D361E1">
        <w:t>M</w:t>
      </w:r>
      <w:r w:rsidR="00144626" w:rsidRPr="00D361E1">
        <w:t xml:space="preserve">ost </w:t>
      </w:r>
      <w:r w:rsidR="004E12F2" w:rsidRPr="00D361E1">
        <w:t>diffusion indices</w:t>
      </w:r>
      <w:r w:rsidR="004B46A0" w:rsidRPr="00D361E1">
        <w:t xml:space="preserve"> </w:t>
      </w:r>
      <w:r w:rsidR="00AB54BD" w:rsidRPr="00D361E1">
        <w:t xml:space="preserve">were </w:t>
      </w:r>
      <w:r w:rsidR="00144626" w:rsidRPr="00D361E1">
        <w:t>above</w:t>
      </w:r>
      <w:r w:rsidR="00AB54BD" w:rsidRPr="00D361E1">
        <w:t xml:space="preserve"> 50</w:t>
      </w:r>
      <w:r w:rsidR="0051195F" w:rsidRPr="00D361E1">
        <w:t>,</w:t>
      </w:r>
      <w:r w:rsidR="00AB54BD" w:rsidRPr="00D361E1">
        <w:t xml:space="preserve"> indicating </w:t>
      </w:r>
      <w:r w:rsidR="00144626" w:rsidRPr="00D361E1">
        <w:t xml:space="preserve">expansion, </w:t>
      </w:r>
      <w:r w:rsidR="004B46A0" w:rsidRPr="00D361E1">
        <w:t>except for</w:t>
      </w:r>
      <w:r w:rsidR="00144626" w:rsidRPr="00D361E1">
        <w:t xml:space="preserve"> profits </w:t>
      </w:r>
      <w:r w:rsidR="00667728" w:rsidRPr="00D361E1">
        <w:t>(</w:t>
      </w:r>
      <w:r w:rsidR="00144626" w:rsidRPr="00D361E1">
        <w:t>index of 49</w:t>
      </w:r>
      <w:r w:rsidR="00667728" w:rsidRPr="00D361E1">
        <w:t>) and exports (index of 46)</w:t>
      </w:r>
      <w:r w:rsidR="00144626" w:rsidRPr="00D361E1">
        <w:t>,</w:t>
      </w:r>
      <w:r w:rsidR="004B46A0" w:rsidRPr="00D361E1">
        <w:t xml:space="preserve"> </w:t>
      </w:r>
      <w:r w:rsidR="00667728" w:rsidRPr="00D361E1">
        <w:t xml:space="preserve">both </w:t>
      </w:r>
      <w:r w:rsidR="004B46A0" w:rsidRPr="00D361E1">
        <w:t>below the threshold of 50,</w:t>
      </w:r>
      <w:r w:rsidR="00144626" w:rsidRPr="00D361E1">
        <w:t xml:space="preserve"> </w:t>
      </w:r>
      <w:r w:rsidR="00A447BD" w:rsidRPr="00D361E1">
        <w:t>suggesting</w:t>
      </w:r>
      <w:r w:rsidR="00144626" w:rsidRPr="00D361E1">
        <w:t xml:space="preserve"> contraction</w:t>
      </w:r>
      <w:r w:rsidR="00AD5C32" w:rsidRPr="00D361E1">
        <w:t>.</w:t>
      </w:r>
      <w:r w:rsidR="0055748C" w:rsidRPr="00D361E1">
        <w:t xml:space="preserve"> </w:t>
      </w:r>
      <w:r w:rsidR="002D322B">
        <w:t xml:space="preserve">Inflation was </w:t>
      </w:r>
      <w:r w:rsidR="00E30A4D">
        <w:t xml:space="preserve">also </w:t>
      </w:r>
      <w:r w:rsidR="002D322B">
        <w:t>a problem with 82% of respondents indicating an increase.</w:t>
      </w:r>
      <w:r w:rsidR="00CF304A" w:rsidRPr="00D361E1">
        <w:rPr>
          <w:noProof/>
        </w:rPr>
        <w:br/>
      </w:r>
    </w:p>
    <w:p w14:paraId="4A11052A" w14:textId="77777777" w:rsidR="00AB6F70" w:rsidRDefault="00CF304A" w:rsidP="003F62BE">
      <w:pPr>
        <w:spacing w:after="0" w:line="240" w:lineRule="auto"/>
      </w:pPr>
      <w:r>
        <w:rPr>
          <w:noProof/>
          <w:color w:val="C00000"/>
        </w:rPr>
        <w:drawing>
          <wp:inline distT="0" distB="0" distL="0" distR="0" wp14:anchorId="6E9F3906" wp14:editId="3246FE19">
            <wp:extent cx="2647666" cy="1897038"/>
            <wp:effectExtent l="0" t="0" r="635" b="8255"/>
            <wp:docPr id="1" name="Chart 1" descr="Bar chart. &#10;Title: Economic Performance for Minnesota Manufacturers: 2022 Compared to 2021&#10;&#10;Description: Compared to 2021, most economic indicators showed improved or unchanged conditions. Fifty-two percent of respondents indicated an increase in the number of orders and 51% experienced unchanged productivity. Additionally, 44% reported an increase in investment in plant/equipment. Forty-one percent indicated constant levels of employment and production levels.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1215A7">
        <w:t xml:space="preserve"> </w:t>
      </w:r>
    </w:p>
    <w:p w14:paraId="087C178F" w14:textId="77777777" w:rsidR="008C1810" w:rsidRDefault="00A7507C" w:rsidP="00A66699">
      <w:r w:rsidRPr="00FF5EB2">
        <w:rPr>
          <w:rStyle w:val="Heading2Char"/>
          <w:b/>
        </w:rPr>
        <w:t>Outlook for the Manufacturing Industry</w:t>
      </w:r>
      <w:r w:rsidR="003368D3" w:rsidRPr="00FF5EB2">
        <w:rPr>
          <w:rStyle w:val="Heading2Char"/>
          <w:b/>
        </w:rPr>
        <w:br/>
      </w:r>
      <w:r w:rsidR="00AE2D5B" w:rsidRPr="00D361E1">
        <w:t>Minnesota manufacturers</w:t>
      </w:r>
      <w:r w:rsidR="008417ED" w:rsidRPr="00D361E1">
        <w:t xml:space="preserve"> expect</w:t>
      </w:r>
      <w:r w:rsidR="00D50991" w:rsidRPr="00D361E1">
        <w:t xml:space="preserve"> </w:t>
      </w:r>
      <w:r w:rsidR="00663DCC" w:rsidRPr="00D361E1">
        <w:t>mostly</w:t>
      </w:r>
      <w:r w:rsidR="00D50991" w:rsidRPr="00D361E1">
        <w:t xml:space="preserve"> </w:t>
      </w:r>
      <w:r w:rsidR="00101B46" w:rsidRPr="00D361E1">
        <w:t>unchanged conditions</w:t>
      </w:r>
      <w:r w:rsidR="00A447BD" w:rsidRPr="00D361E1">
        <w:t xml:space="preserve"> for</w:t>
      </w:r>
      <w:r w:rsidR="00AE2D5B" w:rsidRPr="00D361E1">
        <w:t xml:space="preserve"> 202</w:t>
      </w:r>
      <w:r w:rsidR="00101B46" w:rsidRPr="00D361E1">
        <w:t>3</w:t>
      </w:r>
      <w:r w:rsidR="00093843" w:rsidRPr="00D361E1">
        <w:t xml:space="preserve">. </w:t>
      </w:r>
      <w:r w:rsidR="007530EC" w:rsidRPr="00D361E1">
        <w:t>Seventy-three percent expect unchanged exports, while 55%</w:t>
      </w:r>
      <w:r w:rsidR="005D05C5" w:rsidRPr="00D361E1">
        <w:t xml:space="preserve"> percent an</w:t>
      </w:r>
      <w:r w:rsidR="00C633BF" w:rsidRPr="00D361E1">
        <w:t>ticipate</w:t>
      </w:r>
      <w:r w:rsidR="002E0F6D" w:rsidRPr="00D361E1">
        <w:t xml:space="preserve"> </w:t>
      </w:r>
      <w:r w:rsidR="007530EC" w:rsidRPr="00D361E1">
        <w:t>the same</w:t>
      </w:r>
      <w:r w:rsidR="00101B46" w:rsidRPr="00D361E1">
        <w:t xml:space="preserve"> production levels</w:t>
      </w:r>
      <w:r w:rsidR="007530EC" w:rsidRPr="00D361E1">
        <w:t>. Fifty-one percent</w:t>
      </w:r>
      <w:r w:rsidR="00101B46" w:rsidRPr="00D361E1">
        <w:t xml:space="preserve"> expect constant productivity</w:t>
      </w:r>
      <w:r w:rsidR="007530EC" w:rsidRPr="00D361E1">
        <w:t xml:space="preserve"> and 44%</w:t>
      </w:r>
      <w:r w:rsidR="007F04CE" w:rsidRPr="00D361E1">
        <w:t xml:space="preserve"> </w:t>
      </w:r>
      <w:r w:rsidR="00663DCC" w:rsidRPr="00D361E1">
        <w:t xml:space="preserve">predict </w:t>
      </w:r>
      <w:r w:rsidR="00101B46" w:rsidRPr="00D361E1">
        <w:t>unchanged</w:t>
      </w:r>
      <w:r w:rsidR="007F04CE" w:rsidRPr="00D361E1">
        <w:t xml:space="preserve"> employment levels</w:t>
      </w:r>
      <w:r w:rsidR="007530EC" w:rsidRPr="00D361E1">
        <w:t>.</w:t>
      </w:r>
      <w:r w:rsidR="007F04CE" w:rsidRPr="00D361E1">
        <w:t xml:space="preserve"> </w:t>
      </w:r>
      <w:r w:rsidR="007530EC" w:rsidRPr="00D361E1">
        <w:t>Forty-one percent</w:t>
      </w:r>
      <w:r w:rsidR="002E0F6D" w:rsidRPr="00D361E1">
        <w:t xml:space="preserve"> </w:t>
      </w:r>
      <w:r w:rsidR="007F04CE" w:rsidRPr="00D361E1">
        <w:t>expect</w:t>
      </w:r>
      <w:r w:rsidR="002E0F6D" w:rsidRPr="00D361E1">
        <w:t xml:space="preserve"> </w:t>
      </w:r>
      <w:r w:rsidR="007530EC" w:rsidRPr="00D361E1">
        <w:t xml:space="preserve">the same level of </w:t>
      </w:r>
      <w:r w:rsidR="00101B46" w:rsidRPr="00D361E1">
        <w:t>profits</w:t>
      </w:r>
      <w:r w:rsidR="00E91C23" w:rsidRPr="00D361E1">
        <w:t xml:space="preserve">. </w:t>
      </w:r>
    </w:p>
    <w:p w14:paraId="110C52DA" w14:textId="0257A8C8" w:rsidR="00085F89" w:rsidRPr="00D361E1" w:rsidRDefault="008C1810" w:rsidP="00A66699">
      <w:r>
        <w:t>Selling prices are a concern as nearly 60% of respondents expect an increase</w:t>
      </w:r>
      <w:r w:rsidR="00C1728F">
        <w:t>.</w:t>
      </w:r>
      <w:r w:rsidR="00D43D4F">
        <w:t xml:space="preserve"> </w:t>
      </w:r>
      <w:r w:rsidR="00830CF4" w:rsidRPr="00D361E1">
        <w:t>Labor availability is a</w:t>
      </w:r>
      <w:r>
        <w:t>nother</w:t>
      </w:r>
      <w:r w:rsidR="00830CF4" w:rsidRPr="00D361E1">
        <w:t xml:space="preserve"> </w:t>
      </w:r>
      <w:r>
        <w:t>worry</w:t>
      </w:r>
      <w:r w:rsidR="00830CF4" w:rsidRPr="00D361E1">
        <w:t xml:space="preserve">. </w:t>
      </w:r>
      <w:r w:rsidR="00804275" w:rsidRPr="00D361E1">
        <w:t>A large percentage of manufacturers expect an increase in wages and benefits</w:t>
      </w:r>
      <w:r w:rsidR="00830CF4" w:rsidRPr="00D361E1">
        <w:t>, suggesting and attempt to attract and retain talent</w:t>
      </w:r>
      <w:r w:rsidR="00C1728F">
        <w:t xml:space="preserve"> due to the tight labor market</w:t>
      </w:r>
      <w:r w:rsidR="00830CF4" w:rsidRPr="00D361E1">
        <w:t xml:space="preserve">. </w:t>
      </w:r>
      <w:r w:rsidR="00804275" w:rsidRPr="00D361E1">
        <w:t>Sixty</w:t>
      </w:r>
      <w:r w:rsidR="008A3741" w:rsidRPr="00D361E1">
        <w:t xml:space="preserve"> </w:t>
      </w:r>
      <w:r w:rsidR="00804275" w:rsidRPr="00D361E1">
        <w:t xml:space="preserve">percent </w:t>
      </w:r>
      <w:r w:rsidR="00830CF4" w:rsidRPr="00D361E1">
        <w:t xml:space="preserve">of respondents </w:t>
      </w:r>
      <w:r w:rsidR="007F04CE" w:rsidRPr="00D361E1">
        <w:t>expect</w:t>
      </w:r>
      <w:r w:rsidR="008A3741" w:rsidRPr="00D361E1">
        <w:t xml:space="preserve"> wages to increase between 3-5%</w:t>
      </w:r>
      <w:r w:rsidR="00804275" w:rsidRPr="00D361E1">
        <w:t>, while close to 40% anticipate a rise in benefits in the same amount</w:t>
      </w:r>
      <w:r w:rsidR="00830CF4" w:rsidRPr="00D361E1">
        <w:t xml:space="preserve">. </w:t>
      </w:r>
    </w:p>
    <w:p w14:paraId="3C0F6910" w14:textId="77777777" w:rsidR="00CB586B" w:rsidRPr="00CE3E64" w:rsidRDefault="00CB586B" w:rsidP="00A66699">
      <w:pPr>
        <w:rPr>
          <w:rStyle w:val="Heading2Char"/>
          <w:rFonts w:asciiTheme="minorHAnsi" w:eastAsiaTheme="minorHAnsi" w:hAnsiTheme="minorHAnsi" w:cstheme="minorBidi"/>
          <w:color w:val="auto"/>
          <w:sz w:val="22"/>
          <w:szCs w:val="22"/>
        </w:rPr>
      </w:pPr>
      <w:r>
        <w:rPr>
          <w:noProof/>
          <w:color w:val="C00000"/>
        </w:rPr>
        <w:drawing>
          <wp:inline distT="0" distB="0" distL="0" distR="0" wp14:anchorId="6F19E846" wp14:editId="6CD9FA85">
            <wp:extent cx="2855936" cy="1917510"/>
            <wp:effectExtent l="0" t="0" r="1905" b="6985"/>
            <wp:docPr id="5" name="Chart 5" descr="Bar Chart.&#10;Title: Outlook on Manufacturing Economic Performance, 2023 Compare to 2022&#10;&#10;Description: Minnesota manufacturers expect mostly unchanged conditions for 2023. Seventy-three percent expect unchanged exports, while 55% percent anticipate the same production levels. Fifty-one percent expect constant productivity and 44% predict unchanged employment levels. Forty-one percent expect the same level of profits. &#10;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7B84B1C" w14:textId="62769F13" w:rsidR="0070287B" w:rsidRPr="009F5499" w:rsidRDefault="00A66699" w:rsidP="003B5595">
      <w:pPr>
        <w:sectPr w:rsidR="0070287B" w:rsidRPr="009F5499" w:rsidSect="009B07B0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D60273">
        <w:rPr>
          <w:rStyle w:val="Heading2Char"/>
          <w:b/>
        </w:rPr>
        <w:t>Outlook on the State Economy</w:t>
      </w:r>
      <w:r w:rsidR="00E7356E" w:rsidRPr="00D60273">
        <w:rPr>
          <w:rStyle w:val="Heading2Char"/>
          <w:b/>
        </w:rPr>
        <w:br/>
      </w:r>
      <w:r w:rsidRPr="00D361E1">
        <w:t>M</w:t>
      </w:r>
      <w:r w:rsidR="00795376" w:rsidRPr="00D361E1">
        <w:t>anufacture</w:t>
      </w:r>
      <w:r w:rsidR="000547A3" w:rsidRPr="00D361E1">
        <w:t xml:space="preserve">rs </w:t>
      </w:r>
      <w:r w:rsidR="00A66C22" w:rsidRPr="00D361E1">
        <w:t xml:space="preserve">expect </w:t>
      </w:r>
      <w:r w:rsidR="0004396B" w:rsidRPr="00D361E1">
        <w:t xml:space="preserve">mostly </w:t>
      </w:r>
      <w:r w:rsidR="00804275" w:rsidRPr="00D361E1">
        <w:t>contracting</w:t>
      </w:r>
      <w:r w:rsidR="00A66C22" w:rsidRPr="00D361E1">
        <w:t xml:space="preserve"> conditions for the economy. </w:t>
      </w:r>
      <w:r w:rsidR="00795376" w:rsidRPr="00D361E1">
        <w:t>F</w:t>
      </w:r>
      <w:r w:rsidR="006A04E5" w:rsidRPr="00D361E1">
        <w:t>ifty-one</w:t>
      </w:r>
      <w:r w:rsidR="000B7992" w:rsidRPr="00D361E1">
        <w:t xml:space="preserve"> percent </w:t>
      </w:r>
      <w:r w:rsidR="00A66C22" w:rsidRPr="00D361E1">
        <w:t xml:space="preserve">anticipate </w:t>
      </w:r>
      <w:r w:rsidR="006A04E5" w:rsidRPr="00D361E1">
        <w:t xml:space="preserve">a decline in consumer spending. The diffusion index for this metric (31) is </w:t>
      </w:r>
      <w:r w:rsidR="00061628">
        <w:t xml:space="preserve">significantly </w:t>
      </w:r>
      <w:r w:rsidR="006A04E5" w:rsidRPr="00D361E1">
        <w:t xml:space="preserve">below 50 suggesting contraction and is the lowest among diffusion indexes for the economy </w:t>
      </w:r>
      <w:r w:rsidR="006A04E5" w:rsidRPr="00D361E1">
        <w:lastRenderedPageBreak/>
        <w:t xml:space="preserve">outlook. </w:t>
      </w:r>
      <w:r w:rsidR="006A04E5" w:rsidRPr="00D361E1">
        <w:rPr>
          <w:rFonts w:eastAsiaTheme="majorEastAsia" w:cstheme="majorBidi"/>
        </w:rPr>
        <w:t xml:space="preserve">Additionally, </w:t>
      </w:r>
      <w:r w:rsidR="001B733E" w:rsidRPr="00D361E1">
        <w:rPr>
          <w:rFonts w:eastAsiaTheme="majorEastAsia" w:cstheme="majorBidi"/>
        </w:rPr>
        <w:t xml:space="preserve">nearly </w:t>
      </w:r>
      <w:r w:rsidR="006A04E5" w:rsidRPr="00D361E1">
        <w:t>50</w:t>
      </w:r>
      <w:r w:rsidR="00795376" w:rsidRPr="00D361E1">
        <w:t xml:space="preserve">% </w:t>
      </w:r>
      <w:r w:rsidR="006A04E5" w:rsidRPr="00D361E1">
        <w:t xml:space="preserve">of respondents </w:t>
      </w:r>
      <w:r w:rsidR="00795376" w:rsidRPr="00D361E1">
        <w:t xml:space="preserve">anticipate </w:t>
      </w:r>
      <w:r w:rsidR="006A04E5" w:rsidRPr="00D361E1">
        <w:t>a drop in corporate profits</w:t>
      </w:r>
      <w:r w:rsidR="001B733E" w:rsidRPr="00D361E1">
        <w:t xml:space="preserve">, with a </w:t>
      </w:r>
      <w:r w:rsidR="0004396B" w:rsidRPr="00D361E1">
        <w:t xml:space="preserve">diffusion index </w:t>
      </w:r>
      <w:r w:rsidR="001B733E" w:rsidRPr="00D361E1">
        <w:t>of 33</w:t>
      </w:r>
      <w:r w:rsidR="0004396B" w:rsidRPr="00D361E1">
        <w:t>, the second lowest</w:t>
      </w:r>
      <w:r w:rsidR="00B90819">
        <w:t xml:space="preserve">. </w:t>
      </w:r>
      <w:r w:rsidR="00C1728F">
        <w:t>Inflation is again a concern with 73% of respondents anticipating an increase.</w:t>
      </w:r>
      <w:r w:rsidR="00B90819">
        <w:t xml:space="preserve"> </w:t>
      </w:r>
      <w:r w:rsidR="003B5595">
        <w:t xml:space="preserve"> </w:t>
      </w:r>
      <w:proofErr w:type="gramStart"/>
      <w:r w:rsidR="003B5595">
        <w:rPr>
          <w:rFonts w:eastAsiaTheme="majorEastAsia" w:cstheme="majorBidi"/>
        </w:rPr>
        <w:t>With regard to</w:t>
      </w:r>
      <w:proofErr w:type="gramEnd"/>
      <w:r w:rsidR="003B5595">
        <w:rPr>
          <w:rFonts w:eastAsiaTheme="majorEastAsia" w:cstheme="majorBidi"/>
        </w:rPr>
        <w:t xml:space="preserve"> changes in credit conditions, 62% of respondents indicated they did not experience </w:t>
      </w:r>
      <w:r w:rsidR="003B5595">
        <w:rPr>
          <w:rFonts w:eastAsiaTheme="majorEastAsia" w:cstheme="majorBidi"/>
        </w:rPr>
        <w:t>changes.</w:t>
      </w:r>
      <w:r w:rsidR="003B5595">
        <w:t xml:space="preserve"> </w:t>
      </w:r>
      <w:r w:rsidR="00B90819">
        <w:rPr>
          <w:rFonts w:eastAsiaTheme="majorEastAsia" w:cstheme="majorBidi"/>
        </w:rPr>
        <w:t xml:space="preserve">A new question inquired about supply chain bottle neck problems compared to the year before. The </w:t>
      </w:r>
      <w:r w:rsidR="00B90819">
        <w:rPr>
          <w:rFonts w:eastAsiaTheme="majorEastAsia" w:cstheme="majorBidi"/>
        </w:rPr>
        <w:br/>
        <w:t>majority of respondents indicated that issues have been getting worse</w:t>
      </w:r>
      <w:r w:rsidR="009F5499">
        <w:rPr>
          <w:rFonts w:eastAsiaTheme="majorEastAsia" w:cstheme="majorBidi"/>
        </w:rPr>
        <w:t xml:space="preserve"> with</w:t>
      </w:r>
      <w:r w:rsidR="005E7101">
        <w:rPr>
          <w:rFonts w:eastAsiaTheme="majorEastAsia" w:cstheme="majorBidi"/>
        </w:rPr>
        <w:t xml:space="preserve"> labor </w:t>
      </w:r>
      <w:r w:rsidR="009F5499">
        <w:rPr>
          <w:rFonts w:eastAsiaTheme="majorEastAsia" w:cstheme="majorBidi"/>
        </w:rPr>
        <w:t>(64%)</w:t>
      </w:r>
      <w:r w:rsidR="00417D5F">
        <w:rPr>
          <w:rFonts w:eastAsiaTheme="majorEastAsia" w:cstheme="majorBidi"/>
        </w:rPr>
        <w:t xml:space="preserve"> and </w:t>
      </w:r>
      <w:r w:rsidR="009F5499">
        <w:rPr>
          <w:rFonts w:eastAsiaTheme="majorEastAsia" w:cstheme="majorBidi"/>
        </w:rPr>
        <w:t>transportation/logistic issues (60%)</w:t>
      </w:r>
      <w:r w:rsidR="003B5595">
        <w:rPr>
          <w:rFonts w:eastAsiaTheme="majorEastAsia" w:cstheme="majorBidi"/>
        </w:rPr>
        <w:t>.</w:t>
      </w:r>
    </w:p>
    <w:p w14:paraId="595E6C60" w14:textId="6BA825A7" w:rsidR="00F069A3" w:rsidRPr="00D60273" w:rsidRDefault="00B90819" w:rsidP="00F069A3">
      <w:pPr>
        <w:pStyle w:val="Title"/>
        <w:rPr>
          <w:b/>
          <w:color w:val="2E74B5" w:themeColor="accent1" w:themeShade="BF"/>
          <w:sz w:val="22"/>
          <w:szCs w:val="22"/>
        </w:rPr>
      </w:pPr>
      <w:r>
        <w:rPr>
          <w:b/>
          <w:color w:val="2E74B5" w:themeColor="accent1" w:themeShade="BF"/>
          <w:sz w:val="22"/>
          <w:szCs w:val="22"/>
        </w:rPr>
        <w:br/>
      </w:r>
      <w:r w:rsidR="00F069A3">
        <w:rPr>
          <w:b/>
          <w:color w:val="2E74B5" w:themeColor="accent1" w:themeShade="BF"/>
          <w:sz w:val="22"/>
          <w:szCs w:val="22"/>
        </w:rPr>
        <w:t>Minnesota 202</w:t>
      </w:r>
      <w:r w:rsidR="0004396B">
        <w:rPr>
          <w:b/>
          <w:color w:val="2E74B5" w:themeColor="accent1" w:themeShade="BF"/>
          <w:sz w:val="22"/>
          <w:szCs w:val="22"/>
        </w:rPr>
        <w:t>2</w:t>
      </w:r>
      <w:r w:rsidR="00F069A3">
        <w:rPr>
          <w:b/>
          <w:color w:val="2E74B5" w:themeColor="accent1" w:themeShade="BF"/>
          <w:sz w:val="22"/>
          <w:szCs w:val="22"/>
        </w:rPr>
        <w:t xml:space="preserve"> Manufacturing Business </w:t>
      </w:r>
      <w:r w:rsidR="00F069A3" w:rsidRPr="00D60273">
        <w:rPr>
          <w:b/>
          <w:color w:val="2E74B5" w:themeColor="accent1" w:themeShade="BF"/>
          <w:sz w:val="22"/>
          <w:szCs w:val="22"/>
        </w:rPr>
        <w:t>Condition Survey Results</w:t>
      </w:r>
      <w:r w:rsidR="00F069A3" w:rsidRPr="00D60273">
        <w:rPr>
          <w:b/>
          <w:color w:val="2E74B5" w:themeColor="accent1" w:themeShade="BF"/>
          <w:sz w:val="22"/>
          <w:szCs w:val="22"/>
          <w:vertAlign w:val="superscript"/>
        </w:rPr>
        <w:t>1</w:t>
      </w:r>
    </w:p>
    <w:p w14:paraId="625CC051" w14:textId="77777777" w:rsidR="00F069A3" w:rsidRDefault="00F069A3" w:rsidP="00797604">
      <w:pPr>
        <w:pStyle w:val="Title"/>
        <w:spacing w:line="120" w:lineRule="auto"/>
        <w:rPr>
          <w:b/>
          <w:color w:val="2E74B5" w:themeColor="accent1" w:themeShade="BF"/>
          <w:sz w:val="22"/>
          <w:szCs w:val="22"/>
        </w:rPr>
      </w:pPr>
    </w:p>
    <w:tbl>
      <w:tblPr>
        <w:tblStyle w:val="PlainTable5"/>
        <w:tblW w:w="10790" w:type="dxa"/>
        <w:jc w:val="center"/>
        <w:tblLook w:val="0620" w:firstRow="1" w:lastRow="0" w:firstColumn="0" w:lastColumn="0" w:noHBand="1" w:noVBand="1"/>
        <w:tblCaption w:val="Business Comparison Indicators: 2014-2015"/>
        <w:tblDescription w:val="Table coparing business indicators between 2014 and 2015."/>
      </w:tblPr>
      <w:tblGrid>
        <w:gridCol w:w="3367"/>
        <w:gridCol w:w="665"/>
        <w:gridCol w:w="1541"/>
        <w:gridCol w:w="1172"/>
        <w:gridCol w:w="1170"/>
        <w:gridCol w:w="1260"/>
        <w:gridCol w:w="1615"/>
      </w:tblGrid>
      <w:tr w:rsidR="00A45FA5" w:rsidRPr="00623BC4" w14:paraId="35654438" w14:textId="77777777" w:rsidTr="00217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hideMark/>
          </w:tcPr>
          <w:p w14:paraId="68F7DDE2" w14:textId="20F7F828" w:rsidR="00A45FA5" w:rsidRPr="000A28AD" w:rsidRDefault="00A45FA5" w:rsidP="00AF53F7">
            <w:pPr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Compared to 202</w:t>
            </w:r>
            <w:r w:rsidR="0004396B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1</w:t>
            </w:r>
            <w:r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, in 202</w:t>
            </w:r>
            <w:r w:rsidR="0004396B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2</w:t>
            </w:r>
            <w:r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, your location’s</w:t>
            </w: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hideMark/>
          </w:tcPr>
          <w:p w14:paraId="08080A89" w14:textId="77777777" w:rsidR="00A45FA5" w:rsidRPr="000A28AD" w:rsidRDefault="00A45FA5" w:rsidP="00AF53F7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Up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hideMark/>
          </w:tcPr>
          <w:p w14:paraId="3788DEAB" w14:textId="77777777" w:rsidR="00A45FA5" w:rsidRPr="000A28AD" w:rsidRDefault="00A45FA5" w:rsidP="00AF53F7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Same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  <w:hideMark/>
          </w:tcPr>
          <w:p w14:paraId="18D3291B" w14:textId="77777777" w:rsidR="00A45FA5" w:rsidRPr="000A28AD" w:rsidRDefault="00A45FA5" w:rsidP="00AF53F7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Down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</w:tcPr>
          <w:p w14:paraId="1F81EC8D" w14:textId="7B6327BF" w:rsidR="00A45FA5" w:rsidRPr="00A45FA5" w:rsidRDefault="00A45FA5" w:rsidP="00AF53F7">
            <w:pPr>
              <w:jc w:val="center"/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A45FA5"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 xml:space="preserve">Diffusion Index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>202</w:t>
            </w:r>
            <w:r w:rsidR="001B733E"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>2</w:t>
            </w: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  <w:vertAlign w:val="superscript"/>
              </w:rPr>
              <w:t>(2</w:t>
            </w:r>
            <w:r w:rsidR="001B733E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14:paraId="77DCA242" w14:textId="25F8BA68" w:rsidR="00A45FA5" w:rsidRPr="000A28AD" w:rsidRDefault="001B733E" w:rsidP="00AF53F7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 w:rsidRPr="00A45FA5"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 xml:space="preserve">Diffusion Index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>2021</w:t>
            </w: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  <w:vertAlign w:val="superscript"/>
              </w:rPr>
              <w:t>(2</w:t>
            </w:r>
            <w:r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noWrap/>
          </w:tcPr>
          <w:p w14:paraId="6649B9AE" w14:textId="11DA60C5" w:rsidR="00A45FA5" w:rsidRPr="000A28AD" w:rsidRDefault="001B733E" w:rsidP="00AF53F7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Diffusion Index 20</w:t>
            </w:r>
            <w:r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20</w:t>
            </w: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  <w:vertAlign w:val="superscript"/>
              </w:rPr>
              <w:t>(2)</w:t>
            </w:r>
          </w:p>
        </w:tc>
      </w:tr>
      <w:tr w:rsidR="001B733E" w:rsidRPr="00C2294E" w14:paraId="7E9AFCD6" w14:textId="77777777" w:rsidTr="00217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F6E36D" w14:textId="77777777" w:rsidR="001B733E" w:rsidRPr="000A28AD" w:rsidRDefault="001B733E" w:rsidP="001B733E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Number of orders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F803A" w14:textId="0B459EDC" w:rsidR="001B733E" w:rsidRPr="00D361E1" w:rsidRDefault="001B733E" w:rsidP="001B733E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52%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66EA50" w14:textId="19F86B1C" w:rsidR="001B733E" w:rsidRPr="00D361E1" w:rsidRDefault="001B733E" w:rsidP="001B733E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23%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37F694" w14:textId="483E738B" w:rsidR="001B733E" w:rsidRPr="00D361E1" w:rsidRDefault="001B733E" w:rsidP="001B733E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25%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50F3" w14:textId="507F9036" w:rsidR="001B733E" w:rsidRPr="00D361E1" w:rsidRDefault="001B733E" w:rsidP="001B733E">
            <w:pPr>
              <w:jc w:val="center"/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FB4B60" w14:textId="7F59F3C8" w:rsidR="001B733E" w:rsidRPr="00D361E1" w:rsidRDefault="001B733E" w:rsidP="001B733E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72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87AA3E" w14:textId="7C996578" w:rsidR="001B733E" w:rsidRPr="00D361E1" w:rsidRDefault="001B733E" w:rsidP="001B733E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32</w:t>
            </w:r>
          </w:p>
        </w:tc>
      </w:tr>
      <w:tr w:rsidR="001B733E" w:rsidRPr="00C2294E" w14:paraId="12AD5AAC" w14:textId="77777777" w:rsidTr="00217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AE2A8A9" w14:textId="77777777" w:rsidR="001B733E" w:rsidRPr="000A28AD" w:rsidRDefault="001B733E" w:rsidP="001B733E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Product/service production level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6D2C3F" w14:textId="5FDB0CF5" w:rsidR="001B733E" w:rsidRPr="00D361E1" w:rsidRDefault="001B733E" w:rsidP="001B733E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43%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471FFC" w14:textId="4949AAE7" w:rsidR="001B733E" w:rsidRPr="00D361E1" w:rsidRDefault="001B733E" w:rsidP="001B733E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41%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A3021B" w14:textId="4C9DFFCD" w:rsidR="001B733E" w:rsidRPr="00D361E1" w:rsidRDefault="001B733E" w:rsidP="001B733E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16%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5FCFA" w14:textId="7F875421" w:rsidR="001B733E" w:rsidRPr="00D361E1" w:rsidRDefault="001B733E" w:rsidP="001B733E">
            <w:pPr>
              <w:jc w:val="center"/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64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948D83" w14:textId="38EA494D" w:rsidR="001B733E" w:rsidRPr="00D361E1" w:rsidRDefault="001B733E" w:rsidP="001B733E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64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805D445" w14:textId="23D6A30F" w:rsidR="001B733E" w:rsidRPr="00D361E1" w:rsidRDefault="001B733E" w:rsidP="001B733E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34</w:t>
            </w:r>
          </w:p>
        </w:tc>
      </w:tr>
      <w:tr w:rsidR="001B733E" w:rsidRPr="00C2294E" w14:paraId="24FFE7CD" w14:textId="77777777" w:rsidTr="00217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7C38DA" w14:textId="77777777" w:rsidR="001B733E" w:rsidRPr="000A28AD" w:rsidRDefault="001B733E" w:rsidP="001B733E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Employment level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9DB7CB" w14:textId="20D68C33" w:rsidR="001B733E" w:rsidRPr="00D361E1" w:rsidRDefault="001B733E" w:rsidP="001B733E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36%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A0D437" w14:textId="6CD49723" w:rsidR="001B733E" w:rsidRPr="00D361E1" w:rsidRDefault="001B733E" w:rsidP="001B733E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41%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FA2A5A" w14:textId="32BB1CF4" w:rsidR="001B733E" w:rsidRPr="00D361E1" w:rsidRDefault="001B733E" w:rsidP="001B733E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23%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D2E0" w14:textId="2C7274BB" w:rsidR="001B733E" w:rsidRPr="00D361E1" w:rsidRDefault="001B733E" w:rsidP="001B733E">
            <w:pPr>
              <w:jc w:val="center"/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57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837BFF2" w14:textId="0F0ADC60" w:rsidR="001B733E" w:rsidRPr="00D361E1" w:rsidRDefault="001B733E" w:rsidP="001B733E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54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DCB8D7E" w14:textId="7C3A30AA" w:rsidR="001B733E" w:rsidRPr="00D361E1" w:rsidRDefault="001B733E" w:rsidP="001B733E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40</w:t>
            </w:r>
          </w:p>
        </w:tc>
      </w:tr>
      <w:tr w:rsidR="001B733E" w:rsidRPr="00C2294E" w14:paraId="2F760F4E" w14:textId="77777777" w:rsidTr="00217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6C72D3" w14:textId="77777777" w:rsidR="001B733E" w:rsidRPr="000A28AD" w:rsidRDefault="001B733E" w:rsidP="001B733E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Investment in plant/equipment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7DC9D7" w14:textId="792910EC" w:rsidR="001B733E" w:rsidRPr="00D361E1" w:rsidRDefault="001B733E" w:rsidP="001B733E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45%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B517FE" w14:textId="6B9B7294" w:rsidR="001B733E" w:rsidRPr="00D361E1" w:rsidRDefault="001B733E" w:rsidP="001B733E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39%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651C6" w14:textId="7B0C5739" w:rsidR="001B733E" w:rsidRPr="00D361E1" w:rsidRDefault="001B733E" w:rsidP="001B733E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16%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23011" w14:textId="462250B3" w:rsidR="001B733E" w:rsidRPr="00D361E1" w:rsidRDefault="001B733E" w:rsidP="001B733E">
            <w:pPr>
              <w:jc w:val="center"/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65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95C055A" w14:textId="2EB51AB4" w:rsidR="001B733E" w:rsidRPr="00D361E1" w:rsidRDefault="001B733E" w:rsidP="001B733E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63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A46213E" w14:textId="5F69EF21" w:rsidR="001B733E" w:rsidRPr="00D361E1" w:rsidRDefault="001B733E" w:rsidP="001B733E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40</w:t>
            </w:r>
          </w:p>
        </w:tc>
      </w:tr>
      <w:tr w:rsidR="001B733E" w:rsidRPr="00C2294E" w14:paraId="1CAAD292" w14:textId="77777777" w:rsidTr="00217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35FD9F" w14:textId="007E8A1C" w:rsidR="001B733E" w:rsidRPr="000A28AD" w:rsidRDefault="001B733E" w:rsidP="001B733E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Selling p</w:t>
            </w: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rices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4FB83F" w14:textId="57678785" w:rsidR="001B733E" w:rsidRPr="00D361E1" w:rsidRDefault="001B733E" w:rsidP="001B733E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82%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5C098D" w14:textId="41C433B7" w:rsidR="001B733E" w:rsidRPr="00D361E1" w:rsidRDefault="001B733E" w:rsidP="001B733E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14%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736B2" w14:textId="7A9E3945" w:rsidR="001B733E" w:rsidRPr="00D361E1" w:rsidRDefault="001B733E" w:rsidP="001B733E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4%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8BC46" w14:textId="05D72FE2" w:rsidR="001B733E" w:rsidRPr="00D361E1" w:rsidRDefault="001B733E" w:rsidP="001B733E">
            <w:pPr>
              <w:jc w:val="center"/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89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02A27A7" w14:textId="74CE3E55" w:rsidR="001B733E" w:rsidRPr="00D361E1" w:rsidRDefault="001B733E" w:rsidP="001B733E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88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C3FF51A" w14:textId="7E07AB1D" w:rsidR="001B733E" w:rsidRPr="00D361E1" w:rsidRDefault="001B733E" w:rsidP="001B733E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52</w:t>
            </w:r>
          </w:p>
        </w:tc>
      </w:tr>
      <w:tr w:rsidR="001B733E" w:rsidRPr="00C2294E" w14:paraId="45B94BA2" w14:textId="77777777" w:rsidTr="00217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5CE2A2" w14:textId="77777777" w:rsidR="001B733E" w:rsidRPr="000A28AD" w:rsidRDefault="001B733E" w:rsidP="001B733E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Profits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6F5883" w14:textId="6C00937E" w:rsidR="001B733E" w:rsidRPr="00D361E1" w:rsidRDefault="001B733E" w:rsidP="001B733E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31%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A37680" w14:textId="6EDA6FC7" w:rsidR="001B733E" w:rsidRPr="00D361E1" w:rsidRDefault="001B733E" w:rsidP="001B733E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36%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05EF55" w14:textId="741781D4" w:rsidR="001B733E" w:rsidRPr="00D361E1" w:rsidRDefault="001B733E" w:rsidP="001B733E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33%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57799" w14:textId="5D45872A" w:rsidR="001B733E" w:rsidRPr="00D361E1" w:rsidRDefault="001B733E" w:rsidP="001B733E">
            <w:pPr>
              <w:jc w:val="center"/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  <w:highlight w:val="yellow"/>
              </w:rPr>
            </w:pPr>
            <w:r w:rsidRPr="00D361E1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49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8BB59C3" w14:textId="273A4601" w:rsidR="001B733E" w:rsidRPr="00D361E1" w:rsidRDefault="001B733E" w:rsidP="001B733E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  <w:highlight w:val="yellow"/>
              </w:rPr>
            </w:pPr>
            <w:r w:rsidRPr="00D361E1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49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66F4511" w14:textId="073C677B" w:rsidR="001B733E" w:rsidRPr="00D361E1" w:rsidRDefault="001B733E" w:rsidP="001B733E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  <w:highlight w:val="yellow"/>
              </w:rPr>
            </w:pPr>
            <w:r w:rsidRPr="00D361E1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30</w:t>
            </w:r>
          </w:p>
        </w:tc>
      </w:tr>
      <w:tr w:rsidR="001B733E" w:rsidRPr="00C2294E" w14:paraId="4000D0F1" w14:textId="77777777" w:rsidTr="00217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975101" w14:textId="77777777" w:rsidR="001B733E" w:rsidRPr="000A28AD" w:rsidRDefault="001B733E" w:rsidP="001B733E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Productivity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0B7451" w14:textId="7F4E7A98" w:rsidR="001B733E" w:rsidRPr="00D361E1" w:rsidRDefault="001B733E" w:rsidP="001B733E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27%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7A496D" w14:textId="326FB034" w:rsidR="001B733E" w:rsidRPr="00D361E1" w:rsidRDefault="001B733E" w:rsidP="001B733E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51%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5FBA21" w14:textId="61C27E9B" w:rsidR="001B733E" w:rsidRPr="00D361E1" w:rsidRDefault="001B733E" w:rsidP="001B733E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22%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94B4" w14:textId="30DBCE99" w:rsidR="001B733E" w:rsidRPr="00D361E1" w:rsidRDefault="001B733E" w:rsidP="001B733E">
            <w:pPr>
              <w:jc w:val="center"/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53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3747488" w14:textId="019C6969" w:rsidR="001B733E" w:rsidRPr="00D361E1" w:rsidRDefault="001B733E" w:rsidP="001B733E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55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A758A7" w14:textId="335A9B8C" w:rsidR="001B733E" w:rsidRPr="00D361E1" w:rsidRDefault="001B733E" w:rsidP="001B733E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37</w:t>
            </w:r>
          </w:p>
        </w:tc>
      </w:tr>
      <w:tr w:rsidR="001B733E" w:rsidRPr="00C2294E" w14:paraId="2F2FA89E" w14:textId="77777777" w:rsidTr="00217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A5C71F5" w14:textId="77777777" w:rsidR="001B733E" w:rsidRPr="000A28AD" w:rsidRDefault="001B733E" w:rsidP="001B733E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Exports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CBDFD" w14:textId="3D195E12" w:rsidR="001B733E" w:rsidRPr="00D361E1" w:rsidRDefault="001B733E" w:rsidP="001B733E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9%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6161A8" w14:textId="02B686BE" w:rsidR="001B733E" w:rsidRPr="00D361E1" w:rsidRDefault="001B733E" w:rsidP="001B733E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73%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EC6691" w14:textId="7255CC9C" w:rsidR="001B733E" w:rsidRPr="00D361E1" w:rsidRDefault="001B733E" w:rsidP="001B733E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18%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CD9E" w14:textId="2E707131" w:rsidR="001B733E" w:rsidRPr="00D361E1" w:rsidRDefault="001B733E" w:rsidP="001B733E">
            <w:pPr>
              <w:jc w:val="center"/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46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72777F4" w14:textId="68849AD6" w:rsidR="001B733E" w:rsidRPr="00D361E1" w:rsidRDefault="001B733E" w:rsidP="001B733E">
            <w:pPr>
              <w:jc w:val="center"/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theme="minorHAnsi"/>
                <w:i w:val="0"/>
                <w:iCs w:val="0"/>
                <w:sz w:val="18"/>
                <w:szCs w:val="18"/>
              </w:rPr>
              <w:t>60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031BD16" w14:textId="360E16BD" w:rsidR="001B733E" w:rsidRPr="00D361E1" w:rsidRDefault="001B733E" w:rsidP="001B733E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37</w:t>
            </w:r>
          </w:p>
        </w:tc>
      </w:tr>
    </w:tbl>
    <w:p w14:paraId="159B563A" w14:textId="1489800A" w:rsidR="003B2FD3" w:rsidRDefault="003B2FD3" w:rsidP="00020BB4">
      <w:pPr>
        <w:pStyle w:val="Title"/>
        <w:spacing w:line="120" w:lineRule="auto"/>
        <w:rPr>
          <w:b/>
          <w:color w:val="2E74B5" w:themeColor="accent1" w:themeShade="BF"/>
          <w:sz w:val="22"/>
          <w:szCs w:val="22"/>
        </w:rPr>
      </w:pPr>
    </w:p>
    <w:tbl>
      <w:tblPr>
        <w:tblStyle w:val="PlainTable4"/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omparison Worker's Indicators, 2014-2015"/>
        <w:tblDescription w:val="Table comparing workers indicators 2014-2014-2015"/>
      </w:tblPr>
      <w:tblGrid>
        <w:gridCol w:w="2880"/>
        <w:gridCol w:w="902"/>
        <w:gridCol w:w="1334"/>
        <w:gridCol w:w="1350"/>
        <w:gridCol w:w="1350"/>
        <w:gridCol w:w="1350"/>
        <w:gridCol w:w="1629"/>
      </w:tblGrid>
      <w:tr w:rsidR="003B2FD3" w:rsidRPr="000F78D4" w14:paraId="68C5AA2A" w14:textId="77777777" w:rsidTr="00217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BDD6EE" w:themeFill="accent1" w:themeFillTint="66"/>
            <w:noWrap/>
            <w:hideMark/>
          </w:tcPr>
          <w:p w14:paraId="03479FC7" w14:textId="0B14FD4D" w:rsidR="003B2FD3" w:rsidRPr="000A28AD" w:rsidRDefault="003B2FD3" w:rsidP="00AF53F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Labor indicators in 20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  <w:r w:rsidR="00BA015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compared to 20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  <w:r w:rsidR="00BA015F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02" w:type="dxa"/>
            <w:shd w:val="clear" w:color="auto" w:fill="BDD6EE" w:themeFill="accent1" w:themeFillTint="66"/>
            <w:noWrap/>
            <w:hideMark/>
          </w:tcPr>
          <w:p w14:paraId="6DC94B50" w14:textId="77777777" w:rsidR="003B2FD3" w:rsidRPr="000A28AD" w:rsidRDefault="003B2FD3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Decrease</w:t>
            </w:r>
          </w:p>
        </w:tc>
        <w:tc>
          <w:tcPr>
            <w:tcW w:w="1334" w:type="dxa"/>
            <w:shd w:val="clear" w:color="auto" w:fill="BDD6EE" w:themeFill="accent1" w:themeFillTint="66"/>
            <w:noWrap/>
            <w:hideMark/>
          </w:tcPr>
          <w:p w14:paraId="5E5B3AD8" w14:textId="6CF0610B" w:rsidR="003B2FD3" w:rsidRPr="000A28AD" w:rsidRDefault="003B2FD3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514988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shd w:val="clear" w:color="auto" w:fill="BDD6EE" w:themeFill="accent1" w:themeFillTint="66"/>
            <w:noWrap/>
            <w:hideMark/>
          </w:tcPr>
          <w:p w14:paraId="6CED47E8" w14:textId="77777777" w:rsidR="003B2FD3" w:rsidRPr="000A28AD" w:rsidRDefault="003B2FD3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1-2%</w:t>
            </w:r>
          </w:p>
        </w:tc>
        <w:tc>
          <w:tcPr>
            <w:tcW w:w="1350" w:type="dxa"/>
            <w:shd w:val="clear" w:color="auto" w:fill="BDD6EE" w:themeFill="accent1" w:themeFillTint="66"/>
            <w:noWrap/>
            <w:hideMark/>
          </w:tcPr>
          <w:p w14:paraId="65EC8E82" w14:textId="77777777" w:rsidR="003B2FD3" w:rsidRPr="000A28AD" w:rsidRDefault="003B2FD3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3-5%</w:t>
            </w:r>
          </w:p>
        </w:tc>
        <w:tc>
          <w:tcPr>
            <w:tcW w:w="1350" w:type="dxa"/>
            <w:shd w:val="clear" w:color="auto" w:fill="BDD6EE" w:themeFill="accent1" w:themeFillTint="66"/>
            <w:noWrap/>
            <w:hideMark/>
          </w:tcPr>
          <w:p w14:paraId="3F23FB8D" w14:textId="77777777" w:rsidR="003B2FD3" w:rsidRPr="000A28AD" w:rsidRDefault="003B2FD3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6-9%</w:t>
            </w:r>
          </w:p>
        </w:tc>
        <w:tc>
          <w:tcPr>
            <w:tcW w:w="1629" w:type="dxa"/>
            <w:shd w:val="clear" w:color="auto" w:fill="BDD6EE" w:themeFill="accent1" w:themeFillTint="66"/>
            <w:noWrap/>
            <w:hideMark/>
          </w:tcPr>
          <w:p w14:paraId="62762065" w14:textId="77777777" w:rsidR="003B2FD3" w:rsidRPr="000A28AD" w:rsidRDefault="003B2FD3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&gt;10%</w:t>
            </w:r>
          </w:p>
        </w:tc>
      </w:tr>
      <w:tr w:rsidR="003B2FD3" w:rsidRPr="000F78D4" w14:paraId="7B3CB87E" w14:textId="77777777" w:rsidTr="00217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noWrap/>
            <w:hideMark/>
          </w:tcPr>
          <w:p w14:paraId="021E078B" w14:textId="77777777" w:rsidR="003B2FD3" w:rsidRPr="000A28AD" w:rsidRDefault="003B2FD3" w:rsidP="00AF53F7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Wages per worker</w:t>
            </w:r>
          </w:p>
        </w:tc>
        <w:tc>
          <w:tcPr>
            <w:tcW w:w="902" w:type="dxa"/>
            <w:noWrap/>
            <w:hideMark/>
          </w:tcPr>
          <w:p w14:paraId="551423C1" w14:textId="13850438" w:rsidR="003B2FD3" w:rsidRPr="00D361E1" w:rsidRDefault="00514988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</w:pPr>
            <w:r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2</w:t>
            </w:r>
            <w:r w:rsidR="003B2FD3"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%</w:t>
            </w:r>
          </w:p>
        </w:tc>
        <w:tc>
          <w:tcPr>
            <w:tcW w:w="1334" w:type="dxa"/>
            <w:noWrap/>
            <w:hideMark/>
          </w:tcPr>
          <w:p w14:paraId="00AC8F2B" w14:textId="2AE299A2" w:rsidR="003B2FD3" w:rsidRPr="00D361E1" w:rsidRDefault="00BA015F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</w:pPr>
            <w:r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6</w:t>
            </w:r>
            <w:r w:rsidR="003B2FD3"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14:paraId="76FD05E3" w14:textId="1AF6380E" w:rsidR="003B2FD3" w:rsidRPr="00D361E1" w:rsidRDefault="00BA015F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</w:pPr>
            <w:r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8</w:t>
            </w:r>
            <w:r w:rsidR="003B2FD3"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14:paraId="63D7C82E" w14:textId="7B54D142" w:rsidR="003B2FD3" w:rsidRPr="00D361E1" w:rsidRDefault="003B2FD3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</w:pPr>
            <w:r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4</w:t>
            </w:r>
            <w:r w:rsidR="00514988"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1</w:t>
            </w:r>
            <w:r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14:paraId="682775AF" w14:textId="617EBAC7" w:rsidR="003B2FD3" w:rsidRPr="00D361E1" w:rsidRDefault="00BA015F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</w:pPr>
            <w:r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29</w:t>
            </w:r>
            <w:r w:rsidR="003B2FD3"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%</w:t>
            </w:r>
          </w:p>
        </w:tc>
        <w:tc>
          <w:tcPr>
            <w:tcW w:w="1629" w:type="dxa"/>
            <w:noWrap/>
            <w:hideMark/>
          </w:tcPr>
          <w:p w14:paraId="4CDAA6C5" w14:textId="363932FC" w:rsidR="003B2FD3" w:rsidRPr="00D361E1" w:rsidRDefault="00514988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</w:pPr>
            <w:r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1</w:t>
            </w:r>
            <w:r w:rsidR="00BA015F"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4</w:t>
            </w:r>
            <w:r w:rsidR="003B2FD3"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%</w:t>
            </w:r>
          </w:p>
        </w:tc>
      </w:tr>
      <w:tr w:rsidR="003B2FD3" w:rsidRPr="000F78D4" w14:paraId="0E89ED39" w14:textId="77777777" w:rsidTr="00217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noWrap/>
            <w:hideMark/>
          </w:tcPr>
          <w:p w14:paraId="637EAD50" w14:textId="77777777" w:rsidR="003B2FD3" w:rsidRPr="000A28AD" w:rsidRDefault="003B2FD3" w:rsidP="00AF53F7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Benefits per worker</w:t>
            </w:r>
          </w:p>
        </w:tc>
        <w:tc>
          <w:tcPr>
            <w:tcW w:w="902" w:type="dxa"/>
            <w:noWrap/>
            <w:hideMark/>
          </w:tcPr>
          <w:p w14:paraId="0DCBB380" w14:textId="1682E1F9" w:rsidR="003B2FD3" w:rsidRPr="00D361E1" w:rsidRDefault="00BA015F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</w:pPr>
            <w:r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5</w:t>
            </w:r>
            <w:r w:rsidR="003B2FD3"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%</w:t>
            </w:r>
          </w:p>
        </w:tc>
        <w:tc>
          <w:tcPr>
            <w:tcW w:w="1334" w:type="dxa"/>
            <w:noWrap/>
            <w:hideMark/>
          </w:tcPr>
          <w:p w14:paraId="5AB1FC62" w14:textId="0F1897E7" w:rsidR="003B2FD3" w:rsidRPr="00D361E1" w:rsidRDefault="00BA015F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</w:pPr>
            <w:r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25</w:t>
            </w:r>
            <w:r w:rsidR="003B2FD3"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14:paraId="792C0EFE" w14:textId="2DE7DBAC" w:rsidR="003B2FD3" w:rsidRPr="00D361E1" w:rsidRDefault="00514988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</w:pPr>
            <w:r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1</w:t>
            </w:r>
            <w:r w:rsidR="00BA015F"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1</w:t>
            </w:r>
            <w:r w:rsidR="003B2FD3"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14:paraId="2A482CD9" w14:textId="66970B89" w:rsidR="003B2FD3" w:rsidRPr="00D361E1" w:rsidRDefault="00BA015F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</w:pPr>
            <w:r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32</w:t>
            </w:r>
            <w:r w:rsidR="003B2FD3"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14:paraId="2DED3D00" w14:textId="351B2764" w:rsidR="003B2FD3" w:rsidRPr="00D361E1" w:rsidRDefault="003B2FD3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</w:pPr>
            <w:r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1</w:t>
            </w:r>
            <w:r w:rsidR="00BA015F"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9</w:t>
            </w:r>
            <w:r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%</w:t>
            </w:r>
          </w:p>
        </w:tc>
        <w:tc>
          <w:tcPr>
            <w:tcW w:w="1629" w:type="dxa"/>
            <w:noWrap/>
            <w:hideMark/>
          </w:tcPr>
          <w:p w14:paraId="0149FD60" w14:textId="5F352E91" w:rsidR="003B2FD3" w:rsidRPr="00D361E1" w:rsidRDefault="00BA015F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</w:pPr>
            <w:r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9</w:t>
            </w:r>
            <w:r w:rsidR="003B2FD3"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%</w:t>
            </w:r>
          </w:p>
        </w:tc>
      </w:tr>
    </w:tbl>
    <w:p w14:paraId="2275FB5A" w14:textId="0FF95977" w:rsidR="00F069A3" w:rsidRDefault="00F069A3" w:rsidP="00020BB4">
      <w:pPr>
        <w:pStyle w:val="Title"/>
        <w:spacing w:line="120" w:lineRule="auto"/>
        <w:rPr>
          <w:b/>
          <w:color w:val="2E74B5" w:themeColor="accent1" w:themeShade="BF"/>
          <w:sz w:val="22"/>
          <w:szCs w:val="22"/>
        </w:rPr>
      </w:pPr>
    </w:p>
    <w:tbl>
      <w:tblPr>
        <w:tblStyle w:val="PlainTable5"/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Business Comparison Indicators: 2014-2015"/>
        <w:tblDescription w:val="Table coparing business indicators between 2014 and 2015."/>
      </w:tblPr>
      <w:tblGrid>
        <w:gridCol w:w="3367"/>
        <w:gridCol w:w="665"/>
        <w:gridCol w:w="1541"/>
        <w:gridCol w:w="1172"/>
        <w:gridCol w:w="1170"/>
        <w:gridCol w:w="1260"/>
        <w:gridCol w:w="1615"/>
      </w:tblGrid>
      <w:tr w:rsidR="00C50ABC" w:rsidRPr="00623BC4" w14:paraId="6898B03E" w14:textId="77777777" w:rsidTr="00217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367" w:type="dxa"/>
            <w:tcBorders>
              <w:bottom w:val="none" w:sz="0" w:space="0" w:color="auto"/>
            </w:tcBorders>
            <w:shd w:val="clear" w:color="auto" w:fill="BDD6EE" w:themeFill="accent1" w:themeFillTint="66"/>
            <w:noWrap/>
            <w:hideMark/>
          </w:tcPr>
          <w:p w14:paraId="068C3330" w14:textId="51C1AB93" w:rsidR="00C50ABC" w:rsidRPr="000A28AD" w:rsidRDefault="00C50ABC" w:rsidP="00AF53F7">
            <w:pPr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Compared to 202</w:t>
            </w:r>
            <w:r w:rsidR="00AA7E23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2</w:t>
            </w:r>
            <w:r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, in 202</w:t>
            </w:r>
            <w:r w:rsidR="00AA7E23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3</w:t>
            </w:r>
            <w:r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, you expect your location’s</w:t>
            </w: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:</w:t>
            </w:r>
          </w:p>
        </w:tc>
        <w:tc>
          <w:tcPr>
            <w:tcW w:w="665" w:type="dxa"/>
            <w:tcBorders>
              <w:bottom w:val="none" w:sz="0" w:space="0" w:color="auto"/>
            </w:tcBorders>
            <w:shd w:val="clear" w:color="auto" w:fill="BDD6EE" w:themeFill="accent1" w:themeFillTint="66"/>
            <w:noWrap/>
            <w:hideMark/>
          </w:tcPr>
          <w:p w14:paraId="4B946B04" w14:textId="77777777" w:rsidR="00C50ABC" w:rsidRPr="000A28AD" w:rsidRDefault="00C50ABC" w:rsidP="00AF53F7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Up</w:t>
            </w:r>
          </w:p>
        </w:tc>
        <w:tc>
          <w:tcPr>
            <w:tcW w:w="1541" w:type="dxa"/>
            <w:tcBorders>
              <w:bottom w:val="none" w:sz="0" w:space="0" w:color="auto"/>
            </w:tcBorders>
            <w:shd w:val="clear" w:color="auto" w:fill="BDD6EE" w:themeFill="accent1" w:themeFillTint="66"/>
            <w:noWrap/>
            <w:hideMark/>
          </w:tcPr>
          <w:p w14:paraId="17DA433C" w14:textId="77777777" w:rsidR="00C50ABC" w:rsidRPr="000A28AD" w:rsidRDefault="00C50ABC" w:rsidP="00AF53F7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Same</w:t>
            </w:r>
          </w:p>
        </w:tc>
        <w:tc>
          <w:tcPr>
            <w:tcW w:w="1172" w:type="dxa"/>
            <w:tcBorders>
              <w:bottom w:val="none" w:sz="0" w:space="0" w:color="auto"/>
            </w:tcBorders>
            <w:shd w:val="clear" w:color="auto" w:fill="BDD6EE" w:themeFill="accent1" w:themeFillTint="66"/>
            <w:noWrap/>
            <w:hideMark/>
          </w:tcPr>
          <w:p w14:paraId="2B5212EA" w14:textId="77777777" w:rsidR="00C50ABC" w:rsidRPr="000A28AD" w:rsidRDefault="00C50ABC" w:rsidP="00AF53F7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Down</w:t>
            </w:r>
          </w:p>
        </w:tc>
        <w:tc>
          <w:tcPr>
            <w:tcW w:w="1170" w:type="dxa"/>
            <w:tcBorders>
              <w:bottom w:val="none" w:sz="0" w:space="0" w:color="auto"/>
            </w:tcBorders>
            <w:shd w:val="clear" w:color="auto" w:fill="BDD6EE" w:themeFill="accent1" w:themeFillTint="66"/>
          </w:tcPr>
          <w:p w14:paraId="06AC64BE" w14:textId="43DD06F9" w:rsidR="00C50ABC" w:rsidRPr="00A45FA5" w:rsidRDefault="00C50ABC" w:rsidP="00AF53F7">
            <w:pPr>
              <w:jc w:val="center"/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A45FA5"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 xml:space="preserve">Diffusion Index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>202</w:t>
            </w:r>
            <w:r w:rsidR="00E40F71"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>2</w:t>
            </w: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  <w:vertAlign w:val="superscript"/>
              </w:rPr>
              <w:t>(2</w:t>
            </w:r>
            <w:r w:rsidR="00E40F71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260" w:type="dxa"/>
            <w:tcBorders>
              <w:bottom w:val="none" w:sz="0" w:space="0" w:color="auto"/>
            </w:tcBorders>
            <w:shd w:val="clear" w:color="auto" w:fill="BDD6EE" w:themeFill="accent1" w:themeFillTint="66"/>
            <w:noWrap/>
          </w:tcPr>
          <w:p w14:paraId="1EA17650" w14:textId="1161675C" w:rsidR="00C50ABC" w:rsidRPr="000A28AD" w:rsidRDefault="00AA7E23" w:rsidP="00AF53F7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 w:rsidRPr="00A45FA5"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 xml:space="preserve">Diffusion Index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>2021</w:t>
            </w: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  <w:vertAlign w:val="superscript"/>
              </w:rPr>
              <w:t>(2</w:t>
            </w:r>
            <w:r w:rsidR="00E40F71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615" w:type="dxa"/>
            <w:tcBorders>
              <w:bottom w:val="none" w:sz="0" w:space="0" w:color="auto"/>
            </w:tcBorders>
            <w:shd w:val="clear" w:color="auto" w:fill="BDD6EE" w:themeFill="accent1" w:themeFillTint="66"/>
            <w:noWrap/>
          </w:tcPr>
          <w:p w14:paraId="334491C3" w14:textId="722E9C0A" w:rsidR="00C50ABC" w:rsidRPr="000A28AD" w:rsidRDefault="00AA7E23" w:rsidP="00AF53F7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Diffusion Index 20</w:t>
            </w:r>
            <w:r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20</w:t>
            </w: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  <w:vertAlign w:val="superscript"/>
              </w:rPr>
              <w:t>(2)</w:t>
            </w:r>
          </w:p>
        </w:tc>
      </w:tr>
      <w:tr w:rsidR="00AA7E23" w:rsidRPr="00C2294E" w14:paraId="32933681" w14:textId="77777777" w:rsidTr="00217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367" w:type="dxa"/>
            <w:tcBorders>
              <w:bottom w:val="none" w:sz="0" w:space="0" w:color="auto"/>
            </w:tcBorders>
            <w:noWrap/>
            <w:hideMark/>
          </w:tcPr>
          <w:p w14:paraId="44AE2286" w14:textId="77777777" w:rsidR="00AA7E23" w:rsidRPr="000A28AD" w:rsidRDefault="00AA7E23" w:rsidP="00AA7E23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Number of orders</w:t>
            </w:r>
          </w:p>
        </w:tc>
        <w:tc>
          <w:tcPr>
            <w:tcW w:w="665" w:type="dxa"/>
            <w:tcBorders>
              <w:bottom w:val="none" w:sz="0" w:space="0" w:color="auto"/>
            </w:tcBorders>
            <w:noWrap/>
            <w:hideMark/>
          </w:tcPr>
          <w:p w14:paraId="676F4D03" w14:textId="7D4C1E58" w:rsidR="00AA7E23" w:rsidRPr="00D361E1" w:rsidRDefault="00E40F71" w:rsidP="00AA7E23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37</w:t>
            </w:r>
            <w:r w:rsidR="00AA7E23"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%</w:t>
            </w:r>
          </w:p>
        </w:tc>
        <w:tc>
          <w:tcPr>
            <w:tcW w:w="1541" w:type="dxa"/>
            <w:tcBorders>
              <w:bottom w:val="none" w:sz="0" w:space="0" w:color="auto"/>
            </w:tcBorders>
            <w:noWrap/>
            <w:hideMark/>
          </w:tcPr>
          <w:p w14:paraId="33EA603B" w14:textId="4A729563" w:rsidR="00AA7E23" w:rsidRPr="00D361E1" w:rsidRDefault="00AA7E23" w:rsidP="00AA7E23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3</w:t>
            </w:r>
            <w:r w:rsidR="00E40F71"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7</w:t>
            </w: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%</w:t>
            </w:r>
          </w:p>
        </w:tc>
        <w:tc>
          <w:tcPr>
            <w:tcW w:w="1172" w:type="dxa"/>
            <w:tcBorders>
              <w:bottom w:val="none" w:sz="0" w:space="0" w:color="auto"/>
            </w:tcBorders>
            <w:noWrap/>
            <w:hideMark/>
          </w:tcPr>
          <w:p w14:paraId="417A7FBD" w14:textId="234E5981" w:rsidR="00AA7E23" w:rsidRPr="00D361E1" w:rsidRDefault="00E40F71" w:rsidP="00AA7E23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26</w:t>
            </w:r>
            <w:r w:rsidR="00AA7E23"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%</w:t>
            </w:r>
          </w:p>
        </w:tc>
        <w:tc>
          <w:tcPr>
            <w:tcW w:w="1170" w:type="dxa"/>
            <w:tcBorders>
              <w:bottom w:val="none" w:sz="0" w:space="0" w:color="auto"/>
            </w:tcBorders>
          </w:tcPr>
          <w:p w14:paraId="13835A5E" w14:textId="3344694E" w:rsidR="00AA7E23" w:rsidRPr="00D361E1" w:rsidRDefault="00E40F71" w:rsidP="00AA7E23">
            <w:pPr>
              <w:jc w:val="center"/>
              <w:rPr>
                <w:rFonts w:eastAsia="Times New Roman" w:cs="Times New Roman"/>
                <w:i w:val="0"/>
                <w:iCs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56</w:t>
            </w:r>
          </w:p>
        </w:tc>
        <w:tc>
          <w:tcPr>
            <w:tcW w:w="1260" w:type="dxa"/>
            <w:tcBorders>
              <w:bottom w:val="none" w:sz="0" w:space="0" w:color="auto"/>
            </w:tcBorders>
            <w:noWrap/>
          </w:tcPr>
          <w:p w14:paraId="312E806C" w14:textId="46A58BE5" w:rsidR="00AA7E23" w:rsidRPr="00D361E1" w:rsidRDefault="00AA7E23" w:rsidP="00AA7E23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73</w:t>
            </w:r>
          </w:p>
        </w:tc>
        <w:tc>
          <w:tcPr>
            <w:tcW w:w="1615" w:type="dxa"/>
            <w:tcBorders>
              <w:bottom w:val="none" w:sz="0" w:space="0" w:color="auto"/>
            </w:tcBorders>
            <w:noWrap/>
          </w:tcPr>
          <w:p w14:paraId="60017285" w14:textId="66FCBD55" w:rsidR="00AA7E23" w:rsidRPr="00D361E1" w:rsidRDefault="00AA7E23" w:rsidP="00AA7E23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67</w:t>
            </w:r>
          </w:p>
        </w:tc>
      </w:tr>
      <w:tr w:rsidR="00AA7E23" w:rsidRPr="00C2294E" w14:paraId="3BE5FFBA" w14:textId="77777777" w:rsidTr="00217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367" w:type="dxa"/>
            <w:tcBorders>
              <w:bottom w:val="none" w:sz="0" w:space="0" w:color="auto"/>
            </w:tcBorders>
            <w:noWrap/>
            <w:hideMark/>
          </w:tcPr>
          <w:p w14:paraId="549EB2B4" w14:textId="77777777" w:rsidR="00AA7E23" w:rsidRPr="000A28AD" w:rsidRDefault="00AA7E23" w:rsidP="00AA7E23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Product/service production level</w:t>
            </w:r>
          </w:p>
        </w:tc>
        <w:tc>
          <w:tcPr>
            <w:tcW w:w="665" w:type="dxa"/>
            <w:tcBorders>
              <w:bottom w:val="none" w:sz="0" w:space="0" w:color="auto"/>
            </w:tcBorders>
            <w:noWrap/>
            <w:hideMark/>
          </w:tcPr>
          <w:p w14:paraId="673A73F0" w14:textId="10636FE3" w:rsidR="00AA7E23" w:rsidRPr="00D361E1" w:rsidRDefault="00E40F71" w:rsidP="00AA7E23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33</w:t>
            </w:r>
            <w:r w:rsidR="00AA7E23"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%</w:t>
            </w:r>
          </w:p>
        </w:tc>
        <w:tc>
          <w:tcPr>
            <w:tcW w:w="1541" w:type="dxa"/>
            <w:tcBorders>
              <w:bottom w:val="none" w:sz="0" w:space="0" w:color="auto"/>
            </w:tcBorders>
            <w:noWrap/>
            <w:hideMark/>
          </w:tcPr>
          <w:p w14:paraId="487EA224" w14:textId="7ED4C8F1" w:rsidR="00AA7E23" w:rsidRPr="00D361E1" w:rsidRDefault="00E40F71" w:rsidP="00AA7E23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55</w:t>
            </w:r>
            <w:r w:rsidR="00AA7E23"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%</w:t>
            </w:r>
          </w:p>
        </w:tc>
        <w:tc>
          <w:tcPr>
            <w:tcW w:w="1172" w:type="dxa"/>
            <w:tcBorders>
              <w:bottom w:val="none" w:sz="0" w:space="0" w:color="auto"/>
            </w:tcBorders>
            <w:noWrap/>
            <w:hideMark/>
          </w:tcPr>
          <w:p w14:paraId="3D1F24C2" w14:textId="011C6D2E" w:rsidR="00AA7E23" w:rsidRPr="00D361E1" w:rsidRDefault="00E40F71" w:rsidP="00AA7E23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12</w:t>
            </w:r>
            <w:r w:rsidR="00AA7E23"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%</w:t>
            </w:r>
          </w:p>
        </w:tc>
        <w:tc>
          <w:tcPr>
            <w:tcW w:w="1170" w:type="dxa"/>
            <w:tcBorders>
              <w:bottom w:val="none" w:sz="0" w:space="0" w:color="auto"/>
            </w:tcBorders>
          </w:tcPr>
          <w:p w14:paraId="6ED1EC9B" w14:textId="09A0C3B3" w:rsidR="00AA7E23" w:rsidRPr="00D361E1" w:rsidRDefault="00E40F71" w:rsidP="00AA7E23">
            <w:pPr>
              <w:jc w:val="center"/>
              <w:rPr>
                <w:rFonts w:eastAsia="Times New Roman" w:cs="Times New Roman"/>
                <w:i w:val="0"/>
                <w:iCs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61</w:t>
            </w:r>
          </w:p>
        </w:tc>
        <w:tc>
          <w:tcPr>
            <w:tcW w:w="1260" w:type="dxa"/>
            <w:tcBorders>
              <w:bottom w:val="none" w:sz="0" w:space="0" w:color="auto"/>
            </w:tcBorders>
            <w:noWrap/>
          </w:tcPr>
          <w:p w14:paraId="066EF71D" w14:textId="57F4A396" w:rsidR="00AA7E23" w:rsidRPr="00D361E1" w:rsidRDefault="00AA7E23" w:rsidP="00AA7E23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74</w:t>
            </w:r>
          </w:p>
        </w:tc>
        <w:tc>
          <w:tcPr>
            <w:tcW w:w="1615" w:type="dxa"/>
            <w:tcBorders>
              <w:bottom w:val="none" w:sz="0" w:space="0" w:color="auto"/>
            </w:tcBorders>
            <w:noWrap/>
          </w:tcPr>
          <w:p w14:paraId="6A0AD04D" w14:textId="08F85C45" w:rsidR="00AA7E23" w:rsidRPr="00D361E1" w:rsidRDefault="00AA7E23" w:rsidP="00AA7E23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61</w:t>
            </w:r>
          </w:p>
        </w:tc>
      </w:tr>
      <w:tr w:rsidR="00AA7E23" w:rsidRPr="00C2294E" w14:paraId="6C2E4F21" w14:textId="77777777" w:rsidTr="00217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367" w:type="dxa"/>
            <w:tcBorders>
              <w:bottom w:val="none" w:sz="0" w:space="0" w:color="auto"/>
            </w:tcBorders>
            <w:noWrap/>
            <w:hideMark/>
          </w:tcPr>
          <w:p w14:paraId="01904FAD" w14:textId="77777777" w:rsidR="00AA7E23" w:rsidRPr="000A28AD" w:rsidRDefault="00AA7E23" w:rsidP="00AA7E23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Employment level</w:t>
            </w:r>
          </w:p>
        </w:tc>
        <w:tc>
          <w:tcPr>
            <w:tcW w:w="665" w:type="dxa"/>
            <w:tcBorders>
              <w:bottom w:val="none" w:sz="0" w:space="0" w:color="auto"/>
            </w:tcBorders>
            <w:noWrap/>
            <w:hideMark/>
          </w:tcPr>
          <w:p w14:paraId="184D4FCE" w14:textId="6731A45A" w:rsidR="00AA7E23" w:rsidRPr="00D361E1" w:rsidRDefault="00E40F71" w:rsidP="00AA7E23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39</w:t>
            </w:r>
            <w:r w:rsidR="00AA7E23"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%</w:t>
            </w:r>
          </w:p>
        </w:tc>
        <w:tc>
          <w:tcPr>
            <w:tcW w:w="1541" w:type="dxa"/>
            <w:tcBorders>
              <w:bottom w:val="none" w:sz="0" w:space="0" w:color="auto"/>
            </w:tcBorders>
            <w:noWrap/>
            <w:hideMark/>
          </w:tcPr>
          <w:p w14:paraId="68FB4EE7" w14:textId="68A62BD9" w:rsidR="00AA7E23" w:rsidRPr="00D361E1" w:rsidRDefault="00AA7E23" w:rsidP="00AA7E23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4</w:t>
            </w:r>
            <w:r w:rsidR="00E40F71"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6</w:t>
            </w: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%</w:t>
            </w:r>
          </w:p>
        </w:tc>
        <w:tc>
          <w:tcPr>
            <w:tcW w:w="1172" w:type="dxa"/>
            <w:tcBorders>
              <w:bottom w:val="none" w:sz="0" w:space="0" w:color="auto"/>
            </w:tcBorders>
            <w:noWrap/>
            <w:hideMark/>
          </w:tcPr>
          <w:p w14:paraId="0C0EDAB0" w14:textId="206D531F" w:rsidR="00AA7E23" w:rsidRPr="00D361E1" w:rsidRDefault="00E40F71" w:rsidP="00AA7E23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16</w:t>
            </w:r>
            <w:r w:rsidR="00AA7E23"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%</w:t>
            </w:r>
          </w:p>
        </w:tc>
        <w:tc>
          <w:tcPr>
            <w:tcW w:w="1170" w:type="dxa"/>
            <w:tcBorders>
              <w:bottom w:val="none" w:sz="0" w:space="0" w:color="auto"/>
            </w:tcBorders>
          </w:tcPr>
          <w:p w14:paraId="30E836CE" w14:textId="1CA62735" w:rsidR="00AA7E23" w:rsidRPr="00D361E1" w:rsidRDefault="00E40F71" w:rsidP="00AA7E23">
            <w:pPr>
              <w:jc w:val="center"/>
              <w:rPr>
                <w:rFonts w:eastAsia="Times New Roman" w:cs="Times New Roman"/>
                <w:i w:val="0"/>
                <w:iCs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62</w:t>
            </w:r>
          </w:p>
        </w:tc>
        <w:tc>
          <w:tcPr>
            <w:tcW w:w="1260" w:type="dxa"/>
            <w:tcBorders>
              <w:bottom w:val="none" w:sz="0" w:space="0" w:color="auto"/>
            </w:tcBorders>
            <w:noWrap/>
          </w:tcPr>
          <w:p w14:paraId="578B3E66" w14:textId="5F3491B3" w:rsidR="00AA7E23" w:rsidRPr="00D361E1" w:rsidRDefault="00AA7E23" w:rsidP="00AA7E23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71</w:t>
            </w:r>
          </w:p>
        </w:tc>
        <w:tc>
          <w:tcPr>
            <w:tcW w:w="1615" w:type="dxa"/>
            <w:tcBorders>
              <w:bottom w:val="none" w:sz="0" w:space="0" w:color="auto"/>
            </w:tcBorders>
            <w:noWrap/>
          </w:tcPr>
          <w:p w14:paraId="13E5A66D" w14:textId="3AF8763E" w:rsidR="00AA7E23" w:rsidRPr="00D361E1" w:rsidRDefault="00AA7E23" w:rsidP="00AA7E23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63</w:t>
            </w:r>
          </w:p>
        </w:tc>
      </w:tr>
      <w:tr w:rsidR="00AA7E23" w:rsidRPr="00C2294E" w14:paraId="1017B902" w14:textId="77777777" w:rsidTr="00217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367" w:type="dxa"/>
            <w:tcBorders>
              <w:bottom w:val="none" w:sz="0" w:space="0" w:color="auto"/>
            </w:tcBorders>
            <w:noWrap/>
            <w:hideMark/>
          </w:tcPr>
          <w:p w14:paraId="479E9348" w14:textId="77777777" w:rsidR="00AA7E23" w:rsidRPr="000A28AD" w:rsidRDefault="00AA7E23" w:rsidP="00AA7E23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Investment in plant/equipment</w:t>
            </w:r>
          </w:p>
        </w:tc>
        <w:tc>
          <w:tcPr>
            <w:tcW w:w="665" w:type="dxa"/>
            <w:tcBorders>
              <w:bottom w:val="none" w:sz="0" w:space="0" w:color="auto"/>
            </w:tcBorders>
            <w:noWrap/>
            <w:hideMark/>
          </w:tcPr>
          <w:p w14:paraId="29851962" w14:textId="5C8F45E2" w:rsidR="00AA7E23" w:rsidRPr="00D361E1" w:rsidRDefault="00E40F71" w:rsidP="00AA7E23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32</w:t>
            </w:r>
            <w:r w:rsidR="00AA7E23"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%</w:t>
            </w:r>
          </w:p>
        </w:tc>
        <w:tc>
          <w:tcPr>
            <w:tcW w:w="1541" w:type="dxa"/>
            <w:tcBorders>
              <w:bottom w:val="none" w:sz="0" w:space="0" w:color="auto"/>
            </w:tcBorders>
            <w:noWrap/>
            <w:hideMark/>
          </w:tcPr>
          <w:p w14:paraId="722B917A" w14:textId="23A4984F" w:rsidR="00AA7E23" w:rsidRPr="00D361E1" w:rsidRDefault="00E40F71" w:rsidP="00AA7E23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44</w:t>
            </w:r>
            <w:r w:rsidR="00AA7E23"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%</w:t>
            </w:r>
          </w:p>
        </w:tc>
        <w:tc>
          <w:tcPr>
            <w:tcW w:w="1172" w:type="dxa"/>
            <w:tcBorders>
              <w:bottom w:val="none" w:sz="0" w:space="0" w:color="auto"/>
            </w:tcBorders>
            <w:noWrap/>
            <w:hideMark/>
          </w:tcPr>
          <w:p w14:paraId="0C78DD19" w14:textId="53106CAC" w:rsidR="00AA7E23" w:rsidRPr="00D361E1" w:rsidRDefault="00E40F71" w:rsidP="00AA7E23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24</w:t>
            </w:r>
            <w:r w:rsidR="00AA7E23"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%</w:t>
            </w:r>
          </w:p>
        </w:tc>
        <w:tc>
          <w:tcPr>
            <w:tcW w:w="1170" w:type="dxa"/>
            <w:tcBorders>
              <w:bottom w:val="none" w:sz="0" w:space="0" w:color="auto"/>
            </w:tcBorders>
          </w:tcPr>
          <w:p w14:paraId="13C6D197" w14:textId="205CA3FF" w:rsidR="00AA7E23" w:rsidRPr="00D361E1" w:rsidRDefault="00E40F71" w:rsidP="00AA7E23">
            <w:pPr>
              <w:jc w:val="center"/>
              <w:rPr>
                <w:rFonts w:eastAsia="Times New Roman" w:cs="Times New Roman"/>
                <w:i w:val="0"/>
                <w:iCs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54</w:t>
            </w:r>
          </w:p>
        </w:tc>
        <w:tc>
          <w:tcPr>
            <w:tcW w:w="1260" w:type="dxa"/>
            <w:tcBorders>
              <w:bottom w:val="none" w:sz="0" w:space="0" w:color="auto"/>
            </w:tcBorders>
            <w:noWrap/>
          </w:tcPr>
          <w:p w14:paraId="4D634899" w14:textId="7EC6628E" w:rsidR="00AA7E23" w:rsidRPr="00D361E1" w:rsidRDefault="00AA7E23" w:rsidP="00AA7E23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64</w:t>
            </w:r>
          </w:p>
        </w:tc>
        <w:tc>
          <w:tcPr>
            <w:tcW w:w="1615" w:type="dxa"/>
            <w:tcBorders>
              <w:bottom w:val="none" w:sz="0" w:space="0" w:color="auto"/>
            </w:tcBorders>
            <w:noWrap/>
          </w:tcPr>
          <w:p w14:paraId="74E4FF01" w14:textId="68DD04AF" w:rsidR="00AA7E23" w:rsidRPr="00D361E1" w:rsidRDefault="00AA7E23" w:rsidP="00AA7E23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52</w:t>
            </w:r>
          </w:p>
        </w:tc>
      </w:tr>
      <w:tr w:rsidR="00AA7E23" w:rsidRPr="00C2294E" w14:paraId="60355EF4" w14:textId="77777777" w:rsidTr="00217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367" w:type="dxa"/>
            <w:tcBorders>
              <w:bottom w:val="none" w:sz="0" w:space="0" w:color="auto"/>
            </w:tcBorders>
            <w:noWrap/>
            <w:hideMark/>
          </w:tcPr>
          <w:p w14:paraId="79214E13" w14:textId="6C5C3759" w:rsidR="00AA7E23" w:rsidRPr="000A28AD" w:rsidRDefault="00E40F71" w:rsidP="00AA7E23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Selling p</w:t>
            </w:r>
            <w:r w:rsidR="00AA7E23"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rices</w:t>
            </w:r>
          </w:p>
        </w:tc>
        <w:tc>
          <w:tcPr>
            <w:tcW w:w="665" w:type="dxa"/>
            <w:tcBorders>
              <w:bottom w:val="none" w:sz="0" w:space="0" w:color="auto"/>
            </w:tcBorders>
            <w:noWrap/>
            <w:hideMark/>
          </w:tcPr>
          <w:p w14:paraId="0DBD32A1" w14:textId="0E8FC57C" w:rsidR="00AA7E23" w:rsidRPr="00D361E1" w:rsidRDefault="00E40F71" w:rsidP="00AA7E23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5</w:t>
            </w:r>
            <w:r w:rsidR="00AA7E23"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8%</w:t>
            </w:r>
          </w:p>
        </w:tc>
        <w:tc>
          <w:tcPr>
            <w:tcW w:w="1541" w:type="dxa"/>
            <w:tcBorders>
              <w:bottom w:val="none" w:sz="0" w:space="0" w:color="auto"/>
            </w:tcBorders>
            <w:noWrap/>
            <w:hideMark/>
          </w:tcPr>
          <w:p w14:paraId="2E4C0A8E" w14:textId="44ECFB75" w:rsidR="00AA7E23" w:rsidRPr="00D361E1" w:rsidRDefault="00E40F71" w:rsidP="00AA7E23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32</w:t>
            </w:r>
            <w:r w:rsidR="00AA7E23"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%</w:t>
            </w:r>
          </w:p>
        </w:tc>
        <w:tc>
          <w:tcPr>
            <w:tcW w:w="1172" w:type="dxa"/>
            <w:tcBorders>
              <w:bottom w:val="none" w:sz="0" w:space="0" w:color="auto"/>
            </w:tcBorders>
            <w:noWrap/>
            <w:hideMark/>
          </w:tcPr>
          <w:p w14:paraId="363DA8AD" w14:textId="222BE8C8" w:rsidR="00AA7E23" w:rsidRPr="00D361E1" w:rsidRDefault="00E40F71" w:rsidP="00AA7E23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10</w:t>
            </w:r>
            <w:r w:rsidR="00AA7E23"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%</w:t>
            </w:r>
          </w:p>
        </w:tc>
        <w:tc>
          <w:tcPr>
            <w:tcW w:w="1170" w:type="dxa"/>
            <w:tcBorders>
              <w:bottom w:val="none" w:sz="0" w:space="0" w:color="auto"/>
            </w:tcBorders>
          </w:tcPr>
          <w:p w14:paraId="767CCC70" w14:textId="2AFD32EC" w:rsidR="00AA7E23" w:rsidRPr="00D361E1" w:rsidRDefault="00E40F71" w:rsidP="00AA7E23">
            <w:pPr>
              <w:jc w:val="center"/>
              <w:rPr>
                <w:rFonts w:eastAsia="Times New Roman" w:cs="Times New Roman"/>
                <w:i w:val="0"/>
                <w:iCs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74</w:t>
            </w:r>
          </w:p>
        </w:tc>
        <w:tc>
          <w:tcPr>
            <w:tcW w:w="1260" w:type="dxa"/>
            <w:tcBorders>
              <w:bottom w:val="none" w:sz="0" w:space="0" w:color="auto"/>
            </w:tcBorders>
            <w:noWrap/>
          </w:tcPr>
          <w:p w14:paraId="2CBBCB7E" w14:textId="1BBFDC52" w:rsidR="00AA7E23" w:rsidRPr="00D361E1" w:rsidRDefault="00AA7E23" w:rsidP="00AA7E23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86</w:t>
            </w:r>
          </w:p>
        </w:tc>
        <w:tc>
          <w:tcPr>
            <w:tcW w:w="1615" w:type="dxa"/>
            <w:tcBorders>
              <w:bottom w:val="none" w:sz="0" w:space="0" w:color="auto"/>
            </w:tcBorders>
            <w:noWrap/>
          </w:tcPr>
          <w:p w14:paraId="3B7A5C58" w14:textId="02099774" w:rsidR="00AA7E23" w:rsidRPr="00D361E1" w:rsidRDefault="00AA7E23" w:rsidP="00AA7E23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64</w:t>
            </w:r>
          </w:p>
        </w:tc>
      </w:tr>
      <w:tr w:rsidR="00AA7E23" w:rsidRPr="00C2294E" w14:paraId="0A59BB46" w14:textId="77777777" w:rsidTr="00217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367" w:type="dxa"/>
            <w:tcBorders>
              <w:bottom w:val="none" w:sz="0" w:space="0" w:color="auto"/>
            </w:tcBorders>
            <w:noWrap/>
            <w:hideMark/>
          </w:tcPr>
          <w:p w14:paraId="7A889F50" w14:textId="77777777" w:rsidR="00AA7E23" w:rsidRPr="000A28AD" w:rsidRDefault="00AA7E23" w:rsidP="00AA7E23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Profits</w:t>
            </w:r>
          </w:p>
        </w:tc>
        <w:tc>
          <w:tcPr>
            <w:tcW w:w="665" w:type="dxa"/>
            <w:tcBorders>
              <w:bottom w:val="none" w:sz="0" w:space="0" w:color="auto"/>
            </w:tcBorders>
            <w:noWrap/>
            <w:hideMark/>
          </w:tcPr>
          <w:p w14:paraId="6654B6BF" w14:textId="44B960BA" w:rsidR="00AA7E23" w:rsidRPr="00D361E1" w:rsidRDefault="00E40F71" w:rsidP="00AA7E23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32</w:t>
            </w:r>
            <w:r w:rsidR="00AA7E23"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%</w:t>
            </w:r>
          </w:p>
        </w:tc>
        <w:tc>
          <w:tcPr>
            <w:tcW w:w="1541" w:type="dxa"/>
            <w:tcBorders>
              <w:bottom w:val="none" w:sz="0" w:space="0" w:color="auto"/>
            </w:tcBorders>
            <w:noWrap/>
            <w:hideMark/>
          </w:tcPr>
          <w:p w14:paraId="5AF3B2CC" w14:textId="72E7640D" w:rsidR="00AA7E23" w:rsidRPr="00D361E1" w:rsidRDefault="00AA7E23" w:rsidP="00AA7E23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4</w:t>
            </w:r>
            <w:r w:rsidR="00E40F71"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1</w:t>
            </w: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%</w:t>
            </w:r>
          </w:p>
        </w:tc>
        <w:tc>
          <w:tcPr>
            <w:tcW w:w="1172" w:type="dxa"/>
            <w:tcBorders>
              <w:bottom w:val="none" w:sz="0" w:space="0" w:color="auto"/>
            </w:tcBorders>
            <w:noWrap/>
            <w:hideMark/>
          </w:tcPr>
          <w:p w14:paraId="521F2E26" w14:textId="1E07EC42" w:rsidR="00AA7E23" w:rsidRPr="00D361E1" w:rsidRDefault="00E40F71" w:rsidP="00AA7E23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28</w:t>
            </w:r>
            <w:r w:rsidR="00AA7E23"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%</w:t>
            </w:r>
          </w:p>
        </w:tc>
        <w:tc>
          <w:tcPr>
            <w:tcW w:w="1170" w:type="dxa"/>
            <w:tcBorders>
              <w:bottom w:val="none" w:sz="0" w:space="0" w:color="auto"/>
            </w:tcBorders>
          </w:tcPr>
          <w:p w14:paraId="113A532E" w14:textId="51D790C8" w:rsidR="00AA7E23" w:rsidRPr="00D361E1" w:rsidRDefault="00E40F71" w:rsidP="00AA7E23">
            <w:pPr>
              <w:jc w:val="center"/>
              <w:rPr>
                <w:rFonts w:eastAsia="Times New Roman" w:cs="Times New Roman"/>
                <w:i w:val="0"/>
                <w:iCs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53</w:t>
            </w:r>
          </w:p>
        </w:tc>
        <w:tc>
          <w:tcPr>
            <w:tcW w:w="1260" w:type="dxa"/>
            <w:tcBorders>
              <w:bottom w:val="none" w:sz="0" w:space="0" w:color="auto"/>
            </w:tcBorders>
            <w:noWrap/>
          </w:tcPr>
          <w:p w14:paraId="0595CA5B" w14:textId="2A73FDA6" w:rsidR="00AA7E23" w:rsidRPr="00D361E1" w:rsidRDefault="00AA7E23" w:rsidP="00AA7E23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60</w:t>
            </w:r>
          </w:p>
        </w:tc>
        <w:tc>
          <w:tcPr>
            <w:tcW w:w="1615" w:type="dxa"/>
            <w:tcBorders>
              <w:bottom w:val="none" w:sz="0" w:space="0" w:color="auto"/>
            </w:tcBorders>
            <w:noWrap/>
          </w:tcPr>
          <w:p w14:paraId="5E80B2D7" w14:textId="4503E381" w:rsidR="00AA7E23" w:rsidRPr="00D361E1" w:rsidRDefault="00AA7E23" w:rsidP="00AA7E23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51</w:t>
            </w:r>
          </w:p>
        </w:tc>
      </w:tr>
      <w:tr w:rsidR="00AA7E23" w:rsidRPr="00C2294E" w14:paraId="70EC1370" w14:textId="77777777" w:rsidTr="00217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367" w:type="dxa"/>
            <w:tcBorders>
              <w:bottom w:val="none" w:sz="0" w:space="0" w:color="auto"/>
            </w:tcBorders>
            <w:noWrap/>
            <w:hideMark/>
          </w:tcPr>
          <w:p w14:paraId="2F7225C0" w14:textId="77777777" w:rsidR="00AA7E23" w:rsidRPr="000A28AD" w:rsidRDefault="00AA7E23" w:rsidP="00AA7E23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Productivity</w:t>
            </w:r>
          </w:p>
        </w:tc>
        <w:tc>
          <w:tcPr>
            <w:tcW w:w="665" w:type="dxa"/>
            <w:tcBorders>
              <w:bottom w:val="none" w:sz="0" w:space="0" w:color="auto"/>
            </w:tcBorders>
            <w:noWrap/>
            <w:hideMark/>
          </w:tcPr>
          <w:p w14:paraId="491F0EDE" w14:textId="51B057FD" w:rsidR="00AA7E23" w:rsidRPr="00D361E1" w:rsidRDefault="00E40F71" w:rsidP="00AA7E23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39</w:t>
            </w:r>
            <w:r w:rsidR="00AA7E23"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%</w:t>
            </w:r>
          </w:p>
        </w:tc>
        <w:tc>
          <w:tcPr>
            <w:tcW w:w="1541" w:type="dxa"/>
            <w:tcBorders>
              <w:bottom w:val="none" w:sz="0" w:space="0" w:color="auto"/>
            </w:tcBorders>
            <w:noWrap/>
            <w:hideMark/>
          </w:tcPr>
          <w:p w14:paraId="478A2580" w14:textId="3B606AB2" w:rsidR="00AA7E23" w:rsidRPr="00D361E1" w:rsidRDefault="00E40F71" w:rsidP="00AA7E23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51</w:t>
            </w:r>
            <w:r w:rsidR="00AA7E23"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%</w:t>
            </w:r>
          </w:p>
        </w:tc>
        <w:tc>
          <w:tcPr>
            <w:tcW w:w="1172" w:type="dxa"/>
            <w:tcBorders>
              <w:bottom w:val="none" w:sz="0" w:space="0" w:color="auto"/>
            </w:tcBorders>
            <w:noWrap/>
            <w:hideMark/>
          </w:tcPr>
          <w:p w14:paraId="19CD8AF3" w14:textId="399A0B6F" w:rsidR="00AA7E23" w:rsidRPr="00D361E1" w:rsidRDefault="00AA7E23" w:rsidP="00AA7E23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1</w:t>
            </w:r>
            <w:r w:rsidR="00E40F71"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0</w:t>
            </w: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%</w:t>
            </w:r>
          </w:p>
        </w:tc>
        <w:tc>
          <w:tcPr>
            <w:tcW w:w="1170" w:type="dxa"/>
            <w:tcBorders>
              <w:bottom w:val="none" w:sz="0" w:space="0" w:color="auto"/>
            </w:tcBorders>
          </w:tcPr>
          <w:p w14:paraId="7D5851E2" w14:textId="7AE472B9" w:rsidR="00AA7E23" w:rsidRPr="00D361E1" w:rsidRDefault="00E40F71" w:rsidP="00AA7E23">
            <w:pPr>
              <w:jc w:val="center"/>
              <w:rPr>
                <w:rFonts w:eastAsia="Times New Roman" w:cs="Times New Roman"/>
                <w:i w:val="0"/>
                <w:iCs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65</w:t>
            </w:r>
          </w:p>
        </w:tc>
        <w:tc>
          <w:tcPr>
            <w:tcW w:w="1260" w:type="dxa"/>
            <w:tcBorders>
              <w:bottom w:val="none" w:sz="0" w:space="0" w:color="auto"/>
            </w:tcBorders>
            <w:noWrap/>
          </w:tcPr>
          <w:p w14:paraId="404A417D" w14:textId="3ED68433" w:rsidR="00AA7E23" w:rsidRPr="00D361E1" w:rsidRDefault="00AA7E23" w:rsidP="00AA7E23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67</w:t>
            </w:r>
          </w:p>
        </w:tc>
        <w:tc>
          <w:tcPr>
            <w:tcW w:w="1615" w:type="dxa"/>
            <w:tcBorders>
              <w:bottom w:val="none" w:sz="0" w:space="0" w:color="auto"/>
            </w:tcBorders>
            <w:noWrap/>
          </w:tcPr>
          <w:p w14:paraId="7BBF31F2" w14:textId="413BA5B4" w:rsidR="00AA7E23" w:rsidRPr="00D361E1" w:rsidRDefault="00AA7E23" w:rsidP="00AA7E23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60</w:t>
            </w:r>
          </w:p>
        </w:tc>
      </w:tr>
      <w:tr w:rsidR="00AA7E23" w:rsidRPr="00C2294E" w14:paraId="481674C3" w14:textId="77777777" w:rsidTr="00217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367" w:type="dxa"/>
            <w:tcBorders>
              <w:bottom w:val="none" w:sz="0" w:space="0" w:color="auto"/>
            </w:tcBorders>
            <w:noWrap/>
            <w:hideMark/>
          </w:tcPr>
          <w:p w14:paraId="2BB299B6" w14:textId="77777777" w:rsidR="00AA7E23" w:rsidRPr="000A28AD" w:rsidRDefault="00AA7E23" w:rsidP="00AA7E23">
            <w:pPr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i w:val="0"/>
                <w:color w:val="000000"/>
                <w:sz w:val="18"/>
                <w:szCs w:val="18"/>
              </w:rPr>
              <w:t>Exports</w:t>
            </w:r>
          </w:p>
        </w:tc>
        <w:tc>
          <w:tcPr>
            <w:tcW w:w="665" w:type="dxa"/>
            <w:tcBorders>
              <w:bottom w:val="none" w:sz="0" w:space="0" w:color="auto"/>
            </w:tcBorders>
            <w:noWrap/>
            <w:hideMark/>
          </w:tcPr>
          <w:p w14:paraId="7DBFB5DA" w14:textId="43CDD4D9" w:rsidR="00AA7E23" w:rsidRPr="00D361E1" w:rsidRDefault="00E40F71" w:rsidP="00AA7E23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14</w:t>
            </w:r>
            <w:r w:rsidR="00AA7E23"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%</w:t>
            </w:r>
          </w:p>
        </w:tc>
        <w:tc>
          <w:tcPr>
            <w:tcW w:w="1541" w:type="dxa"/>
            <w:tcBorders>
              <w:bottom w:val="none" w:sz="0" w:space="0" w:color="auto"/>
            </w:tcBorders>
            <w:noWrap/>
            <w:hideMark/>
          </w:tcPr>
          <w:p w14:paraId="3EB06B20" w14:textId="12AB89B8" w:rsidR="00AA7E23" w:rsidRPr="00D361E1" w:rsidRDefault="00E40F71" w:rsidP="00AA7E23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73</w:t>
            </w:r>
            <w:r w:rsidR="00AA7E23"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%</w:t>
            </w:r>
          </w:p>
        </w:tc>
        <w:tc>
          <w:tcPr>
            <w:tcW w:w="1172" w:type="dxa"/>
            <w:tcBorders>
              <w:bottom w:val="none" w:sz="0" w:space="0" w:color="auto"/>
            </w:tcBorders>
            <w:noWrap/>
            <w:hideMark/>
          </w:tcPr>
          <w:p w14:paraId="110A7914" w14:textId="7711B909" w:rsidR="00AA7E23" w:rsidRPr="00D361E1" w:rsidRDefault="00AA7E23" w:rsidP="00AA7E23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1</w:t>
            </w:r>
            <w:r w:rsidR="00E40F71"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4</w:t>
            </w: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%</w:t>
            </w:r>
          </w:p>
        </w:tc>
        <w:tc>
          <w:tcPr>
            <w:tcW w:w="1170" w:type="dxa"/>
            <w:tcBorders>
              <w:bottom w:val="none" w:sz="0" w:space="0" w:color="auto"/>
            </w:tcBorders>
          </w:tcPr>
          <w:p w14:paraId="59D3AE8F" w14:textId="28EDF66F" w:rsidR="00AA7E23" w:rsidRPr="00D361E1" w:rsidRDefault="00E40F71" w:rsidP="00AA7E23">
            <w:pPr>
              <w:jc w:val="center"/>
              <w:rPr>
                <w:rFonts w:eastAsia="Times New Roman" w:cs="Times New Roman"/>
                <w:i w:val="0"/>
                <w:iCs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51</w:t>
            </w:r>
          </w:p>
        </w:tc>
        <w:tc>
          <w:tcPr>
            <w:tcW w:w="1260" w:type="dxa"/>
            <w:tcBorders>
              <w:bottom w:val="none" w:sz="0" w:space="0" w:color="auto"/>
            </w:tcBorders>
            <w:noWrap/>
          </w:tcPr>
          <w:p w14:paraId="28DC89EE" w14:textId="469A6986" w:rsidR="00AA7E23" w:rsidRPr="00D361E1" w:rsidRDefault="00AA7E23" w:rsidP="00AA7E23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60</w:t>
            </w:r>
          </w:p>
        </w:tc>
        <w:tc>
          <w:tcPr>
            <w:tcW w:w="1615" w:type="dxa"/>
            <w:tcBorders>
              <w:bottom w:val="none" w:sz="0" w:space="0" w:color="auto"/>
            </w:tcBorders>
            <w:noWrap/>
          </w:tcPr>
          <w:p w14:paraId="2FA42B1B" w14:textId="2850D311" w:rsidR="00AA7E23" w:rsidRPr="00D361E1" w:rsidRDefault="00AA7E23" w:rsidP="00AA7E23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52</w:t>
            </w:r>
          </w:p>
        </w:tc>
      </w:tr>
    </w:tbl>
    <w:p w14:paraId="6BE9E1E6" w14:textId="2B12FDB3" w:rsidR="00C50ABC" w:rsidRDefault="00C50ABC" w:rsidP="00020BB4">
      <w:pPr>
        <w:spacing w:after="0" w:line="120" w:lineRule="auto"/>
      </w:pPr>
    </w:p>
    <w:tbl>
      <w:tblPr>
        <w:tblStyle w:val="PlainTable4"/>
        <w:tblW w:w="10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omparison Worker's Indicators, 2014-2015"/>
        <w:tblDescription w:val="Table comparing workers indicators 2014-2014-2015"/>
      </w:tblPr>
      <w:tblGrid>
        <w:gridCol w:w="2880"/>
        <w:gridCol w:w="902"/>
        <w:gridCol w:w="1334"/>
        <w:gridCol w:w="1350"/>
        <w:gridCol w:w="1350"/>
        <w:gridCol w:w="1350"/>
        <w:gridCol w:w="1629"/>
      </w:tblGrid>
      <w:tr w:rsidR="00C50ABC" w:rsidRPr="000F78D4" w14:paraId="03B6EB44" w14:textId="77777777" w:rsidTr="00217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shd w:val="clear" w:color="auto" w:fill="BDD6EE" w:themeFill="accent1" w:themeFillTint="66"/>
            <w:noWrap/>
            <w:hideMark/>
          </w:tcPr>
          <w:p w14:paraId="71958813" w14:textId="26010B08" w:rsidR="00C50ABC" w:rsidRPr="000A28AD" w:rsidRDefault="00C50ABC" w:rsidP="00AF53F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Expected l</w:t>
            </w: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abor indicators in 20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  <w:r w:rsidR="00E40F7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compared to 20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  <w:r w:rsidR="00E40F7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:</w:t>
            </w:r>
          </w:p>
        </w:tc>
        <w:tc>
          <w:tcPr>
            <w:tcW w:w="902" w:type="dxa"/>
            <w:shd w:val="clear" w:color="auto" w:fill="BDD6EE" w:themeFill="accent1" w:themeFillTint="66"/>
            <w:noWrap/>
            <w:hideMark/>
          </w:tcPr>
          <w:p w14:paraId="10922D67" w14:textId="77777777" w:rsidR="00C50ABC" w:rsidRPr="000A28AD" w:rsidRDefault="00C50ABC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Decrease</w:t>
            </w:r>
          </w:p>
        </w:tc>
        <w:tc>
          <w:tcPr>
            <w:tcW w:w="1334" w:type="dxa"/>
            <w:shd w:val="clear" w:color="auto" w:fill="BDD6EE" w:themeFill="accent1" w:themeFillTint="66"/>
            <w:noWrap/>
            <w:hideMark/>
          </w:tcPr>
          <w:p w14:paraId="52E47C7E" w14:textId="6430CD1B" w:rsidR="00C50ABC" w:rsidRPr="000A28AD" w:rsidRDefault="00C50ABC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  <w:r w:rsidR="0046490E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%</w:t>
            </w:r>
          </w:p>
        </w:tc>
        <w:tc>
          <w:tcPr>
            <w:tcW w:w="1350" w:type="dxa"/>
            <w:shd w:val="clear" w:color="auto" w:fill="BDD6EE" w:themeFill="accent1" w:themeFillTint="66"/>
            <w:noWrap/>
            <w:hideMark/>
          </w:tcPr>
          <w:p w14:paraId="2288D0D5" w14:textId="77777777" w:rsidR="00C50ABC" w:rsidRPr="000A28AD" w:rsidRDefault="00C50ABC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1-2%</w:t>
            </w:r>
          </w:p>
        </w:tc>
        <w:tc>
          <w:tcPr>
            <w:tcW w:w="1350" w:type="dxa"/>
            <w:shd w:val="clear" w:color="auto" w:fill="BDD6EE" w:themeFill="accent1" w:themeFillTint="66"/>
            <w:noWrap/>
            <w:hideMark/>
          </w:tcPr>
          <w:p w14:paraId="75C033CC" w14:textId="77777777" w:rsidR="00C50ABC" w:rsidRPr="000A28AD" w:rsidRDefault="00C50ABC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3-5%</w:t>
            </w:r>
          </w:p>
        </w:tc>
        <w:tc>
          <w:tcPr>
            <w:tcW w:w="1350" w:type="dxa"/>
            <w:shd w:val="clear" w:color="auto" w:fill="BDD6EE" w:themeFill="accent1" w:themeFillTint="66"/>
            <w:noWrap/>
            <w:hideMark/>
          </w:tcPr>
          <w:p w14:paraId="699010B1" w14:textId="77777777" w:rsidR="00C50ABC" w:rsidRPr="000A28AD" w:rsidRDefault="00C50ABC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6-9%</w:t>
            </w:r>
          </w:p>
        </w:tc>
        <w:tc>
          <w:tcPr>
            <w:tcW w:w="1629" w:type="dxa"/>
            <w:shd w:val="clear" w:color="auto" w:fill="BDD6EE" w:themeFill="accent1" w:themeFillTint="66"/>
            <w:noWrap/>
            <w:hideMark/>
          </w:tcPr>
          <w:p w14:paraId="56DD529B" w14:textId="77777777" w:rsidR="00C50ABC" w:rsidRPr="000A28AD" w:rsidRDefault="00C50ABC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&gt;10%</w:t>
            </w:r>
          </w:p>
        </w:tc>
      </w:tr>
      <w:tr w:rsidR="00C50ABC" w:rsidRPr="000F78D4" w14:paraId="0C33A105" w14:textId="77777777" w:rsidTr="00217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noWrap/>
            <w:hideMark/>
          </w:tcPr>
          <w:p w14:paraId="1B6C32D9" w14:textId="77777777" w:rsidR="00C50ABC" w:rsidRPr="000A28AD" w:rsidRDefault="00C50ABC" w:rsidP="00AF53F7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Wages per worker</w:t>
            </w:r>
          </w:p>
        </w:tc>
        <w:tc>
          <w:tcPr>
            <w:tcW w:w="902" w:type="dxa"/>
            <w:noWrap/>
            <w:hideMark/>
          </w:tcPr>
          <w:p w14:paraId="20E76994" w14:textId="531F7109" w:rsidR="00C50ABC" w:rsidRPr="00D361E1" w:rsidRDefault="00E40F71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</w:pPr>
            <w:r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1</w:t>
            </w:r>
            <w:r w:rsidR="00C50ABC"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%</w:t>
            </w:r>
          </w:p>
        </w:tc>
        <w:tc>
          <w:tcPr>
            <w:tcW w:w="1334" w:type="dxa"/>
            <w:noWrap/>
            <w:hideMark/>
          </w:tcPr>
          <w:p w14:paraId="68CA15D3" w14:textId="476E2DEC" w:rsidR="00C50ABC" w:rsidRPr="00D361E1" w:rsidRDefault="00C50ABC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</w:pPr>
            <w:r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1</w:t>
            </w:r>
            <w:r w:rsidR="00486CB2"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1</w:t>
            </w:r>
            <w:r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14:paraId="2BB42F4C" w14:textId="5618CAA0" w:rsidR="00C50ABC" w:rsidRPr="00D361E1" w:rsidRDefault="00486CB2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</w:pPr>
            <w:r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1</w:t>
            </w:r>
            <w:r w:rsidR="00E40F71"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2</w:t>
            </w:r>
            <w:r w:rsidR="00C50ABC"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14:paraId="3A8742D0" w14:textId="382525E3" w:rsidR="00C50ABC" w:rsidRPr="00D361E1" w:rsidRDefault="00E40F71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</w:pPr>
            <w:r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60</w:t>
            </w:r>
            <w:r w:rsidR="00C50ABC"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14:paraId="721AF4FC" w14:textId="0A550E9E" w:rsidR="00C50ABC" w:rsidRPr="00D361E1" w:rsidRDefault="00486CB2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</w:pPr>
            <w:r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1</w:t>
            </w:r>
            <w:r w:rsidR="00E40F71"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4</w:t>
            </w:r>
            <w:r w:rsidR="00C50ABC"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%</w:t>
            </w:r>
          </w:p>
        </w:tc>
        <w:tc>
          <w:tcPr>
            <w:tcW w:w="1629" w:type="dxa"/>
            <w:noWrap/>
            <w:hideMark/>
          </w:tcPr>
          <w:p w14:paraId="0F355612" w14:textId="393EAFFA" w:rsidR="00C50ABC" w:rsidRPr="00D361E1" w:rsidRDefault="00E40F71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</w:pPr>
            <w:r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4</w:t>
            </w:r>
            <w:r w:rsidR="00C50ABC"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%</w:t>
            </w:r>
          </w:p>
        </w:tc>
      </w:tr>
      <w:tr w:rsidR="00C50ABC" w:rsidRPr="000F78D4" w14:paraId="5FC86306" w14:textId="77777777" w:rsidTr="00217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  <w:noWrap/>
            <w:hideMark/>
          </w:tcPr>
          <w:p w14:paraId="33B5044D" w14:textId="77777777" w:rsidR="00C50ABC" w:rsidRPr="000A28AD" w:rsidRDefault="00C50ABC" w:rsidP="00AF53F7">
            <w:pPr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</w:pPr>
            <w:r w:rsidRPr="000A28AD">
              <w:rPr>
                <w:rFonts w:ascii="Calibri" w:eastAsia="Times New Roman" w:hAnsi="Calibri" w:cs="Times New Roman"/>
                <w:b w:val="0"/>
                <w:color w:val="000000"/>
                <w:sz w:val="18"/>
                <w:szCs w:val="18"/>
              </w:rPr>
              <w:t>Benefits per worker</w:t>
            </w:r>
          </w:p>
        </w:tc>
        <w:tc>
          <w:tcPr>
            <w:tcW w:w="902" w:type="dxa"/>
            <w:noWrap/>
            <w:hideMark/>
          </w:tcPr>
          <w:p w14:paraId="4272BC63" w14:textId="3DA3A87B" w:rsidR="00C50ABC" w:rsidRPr="00D361E1" w:rsidRDefault="00E40F71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</w:pPr>
            <w:r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0</w:t>
            </w:r>
            <w:r w:rsidR="00C50ABC"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%</w:t>
            </w:r>
          </w:p>
        </w:tc>
        <w:tc>
          <w:tcPr>
            <w:tcW w:w="1334" w:type="dxa"/>
            <w:noWrap/>
            <w:hideMark/>
          </w:tcPr>
          <w:p w14:paraId="46B20791" w14:textId="2C6FA270" w:rsidR="00C50ABC" w:rsidRPr="00D361E1" w:rsidRDefault="00486CB2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</w:pPr>
            <w:r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2</w:t>
            </w:r>
            <w:r w:rsidR="00E40F71"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0</w:t>
            </w:r>
            <w:r w:rsidR="00C50ABC"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14:paraId="36D92B34" w14:textId="16A828A7" w:rsidR="00C50ABC" w:rsidRPr="00D361E1" w:rsidRDefault="00E40F71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</w:pPr>
            <w:r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20</w:t>
            </w:r>
            <w:r w:rsidR="00C50ABC"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14:paraId="445B4873" w14:textId="4A873752" w:rsidR="00C50ABC" w:rsidRPr="00D361E1" w:rsidRDefault="00E40F71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</w:pPr>
            <w:r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38</w:t>
            </w:r>
            <w:r w:rsidR="00C50ABC"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%</w:t>
            </w:r>
          </w:p>
        </w:tc>
        <w:tc>
          <w:tcPr>
            <w:tcW w:w="1350" w:type="dxa"/>
            <w:noWrap/>
            <w:hideMark/>
          </w:tcPr>
          <w:p w14:paraId="7CF74674" w14:textId="0CDC7395" w:rsidR="00C50ABC" w:rsidRPr="00D361E1" w:rsidRDefault="00C50ABC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</w:pPr>
            <w:r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1</w:t>
            </w:r>
            <w:r w:rsidR="00E40F71"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4</w:t>
            </w:r>
            <w:r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%</w:t>
            </w:r>
          </w:p>
        </w:tc>
        <w:tc>
          <w:tcPr>
            <w:tcW w:w="1629" w:type="dxa"/>
            <w:noWrap/>
            <w:hideMark/>
          </w:tcPr>
          <w:p w14:paraId="3556D8D0" w14:textId="4F8631C2" w:rsidR="00C50ABC" w:rsidRPr="00D361E1" w:rsidRDefault="00E40F71" w:rsidP="00AF53F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</w:pPr>
            <w:r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8</w:t>
            </w:r>
            <w:r w:rsidR="00C50ABC" w:rsidRPr="00D361E1">
              <w:rPr>
                <w:rFonts w:ascii="Calibri" w:eastAsia="Times New Roman" w:hAnsi="Calibri" w:cs="Times New Roman"/>
                <w:b w:val="0"/>
                <w:sz w:val="18"/>
                <w:szCs w:val="18"/>
              </w:rPr>
              <w:t>%</w:t>
            </w:r>
          </w:p>
        </w:tc>
      </w:tr>
    </w:tbl>
    <w:p w14:paraId="129B799F" w14:textId="3DAAF2E1" w:rsidR="00C50ABC" w:rsidRDefault="00C50ABC" w:rsidP="00020BB4">
      <w:pPr>
        <w:spacing w:after="0" w:line="120" w:lineRule="auto"/>
      </w:pPr>
    </w:p>
    <w:tbl>
      <w:tblPr>
        <w:tblStyle w:val="PlainTable5"/>
        <w:tblW w:w="107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Business Comparison Indicators: 2014-2015"/>
        <w:tblDescription w:val="Table coparing business indicators between 2014 and 2015."/>
      </w:tblPr>
      <w:tblGrid>
        <w:gridCol w:w="3367"/>
        <w:gridCol w:w="665"/>
        <w:gridCol w:w="1541"/>
        <w:gridCol w:w="1172"/>
        <w:gridCol w:w="1170"/>
        <w:gridCol w:w="1260"/>
        <w:gridCol w:w="1615"/>
      </w:tblGrid>
      <w:tr w:rsidR="00020BB4" w:rsidRPr="00623BC4" w14:paraId="144EEAC0" w14:textId="77777777" w:rsidTr="00217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367" w:type="dxa"/>
            <w:tcBorders>
              <w:bottom w:val="none" w:sz="0" w:space="0" w:color="auto"/>
            </w:tcBorders>
            <w:shd w:val="clear" w:color="auto" w:fill="BDD6EE" w:themeFill="accent1" w:themeFillTint="66"/>
            <w:noWrap/>
            <w:hideMark/>
          </w:tcPr>
          <w:p w14:paraId="701FF91E" w14:textId="54C6B35D" w:rsidR="00020BB4" w:rsidRPr="000A28AD" w:rsidRDefault="00692DDC" w:rsidP="00AF53F7">
            <w:pPr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What is your outlook on the following</w:t>
            </w:r>
            <w:r w:rsidR="00020BB4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 xml:space="preserve">state economic indicators next </w:t>
            </w:r>
            <w:proofErr w:type="gramStart"/>
            <w:r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year:</w:t>
            </w:r>
            <w:proofErr w:type="gramEnd"/>
          </w:p>
        </w:tc>
        <w:tc>
          <w:tcPr>
            <w:tcW w:w="665" w:type="dxa"/>
            <w:tcBorders>
              <w:bottom w:val="none" w:sz="0" w:space="0" w:color="auto"/>
            </w:tcBorders>
            <w:shd w:val="clear" w:color="auto" w:fill="BDD6EE" w:themeFill="accent1" w:themeFillTint="66"/>
            <w:noWrap/>
            <w:hideMark/>
          </w:tcPr>
          <w:p w14:paraId="15A4F84D" w14:textId="77777777" w:rsidR="00020BB4" w:rsidRPr="000A28AD" w:rsidRDefault="00020BB4" w:rsidP="00AF53F7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Up</w:t>
            </w:r>
          </w:p>
        </w:tc>
        <w:tc>
          <w:tcPr>
            <w:tcW w:w="1541" w:type="dxa"/>
            <w:tcBorders>
              <w:bottom w:val="none" w:sz="0" w:space="0" w:color="auto"/>
            </w:tcBorders>
            <w:shd w:val="clear" w:color="auto" w:fill="BDD6EE" w:themeFill="accent1" w:themeFillTint="66"/>
            <w:noWrap/>
            <w:hideMark/>
          </w:tcPr>
          <w:p w14:paraId="74D653F2" w14:textId="77777777" w:rsidR="00020BB4" w:rsidRPr="000A28AD" w:rsidRDefault="00020BB4" w:rsidP="00AF53F7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Same</w:t>
            </w:r>
          </w:p>
        </w:tc>
        <w:tc>
          <w:tcPr>
            <w:tcW w:w="1172" w:type="dxa"/>
            <w:tcBorders>
              <w:bottom w:val="none" w:sz="0" w:space="0" w:color="auto"/>
            </w:tcBorders>
            <w:shd w:val="clear" w:color="auto" w:fill="BDD6EE" w:themeFill="accent1" w:themeFillTint="66"/>
            <w:noWrap/>
            <w:hideMark/>
          </w:tcPr>
          <w:p w14:paraId="5D5F7109" w14:textId="36479AD4" w:rsidR="00020BB4" w:rsidRPr="000A28AD" w:rsidRDefault="00020BB4" w:rsidP="00AF53F7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Down</w:t>
            </w:r>
          </w:p>
        </w:tc>
        <w:tc>
          <w:tcPr>
            <w:tcW w:w="1170" w:type="dxa"/>
            <w:tcBorders>
              <w:bottom w:val="none" w:sz="0" w:space="0" w:color="auto"/>
            </w:tcBorders>
            <w:shd w:val="clear" w:color="auto" w:fill="BDD6EE" w:themeFill="accent1" w:themeFillTint="66"/>
          </w:tcPr>
          <w:p w14:paraId="31804581" w14:textId="0A966CF5" w:rsidR="00020BB4" w:rsidRPr="00A45FA5" w:rsidRDefault="00020BB4" w:rsidP="00AF53F7">
            <w:pPr>
              <w:jc w:val="center"/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</w:pPr>
            <w:r w:rsidRPr="00A45FA5"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 xml:space="preserve">Diffusion Index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>202</w:t>
            </w:r>
            <w:r w:rsidR="0070287B"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>2</w:t>
            </w: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  <w:vertAlign w:val="superscript"/>
              </w:rPr>
              <w:t>(2</w:t>
            </w:r>
            <w:r w:rsidR="0070287B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260" w:type="dxa"/>
            <w:tcBorders>
              <w:bottom w:val="none" w:sz="0" w:space="0" w:color="auto"/>
            </w:tcBorders>
            <w:shd w:val="clear" w:color="auto" w:fill="BDD6EE" w:themeFill="accent1" w:themeFillTint="66"/>
            <w:noWrap/>
          </w:tcPr>
          <w:p w14:paraId="20F73A89" w14:textId="247B9FB7" w:rsidR="00020BB4" w:rsidRPr="000A28AD" w:rsidRDefault="0070287B" w:rsidP="00AF53F7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 w:rsidRPr="00A45FA5"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 xml:space="preserve">Diffusion Index </w:t>
            </w:r>
            <w:r>
              <w:rPr>
                <w:rFonts w:eastAsia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</w:rPr>
              <w:t>2021</w:t>
            </w: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  <w:vertAlign w:val="superscript"/>
              </w:rPr>
              <w:t>(2</w:t>
            </w:r>
            <w:r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  <w:vertAlign w:val="superscript"/>
              </w:rPr>
              <w:t>)</w:t>
            </w:r>
          </w:p>
        </w:tc>
        <w:tc>
          <w:tcPr>
            <w:tcW w:w="1615" w:type="dxa"/>
            <w:tcBorders>
              <w:bottom w:val="none" w:sz="0" w:space="0" w:color="auto"/>
            </w:tcBorders>
            <w:shd w:val="clear" w:color="auto" w:fill="BDD6EE" w:themeFill="accent1" w:themeFillTint="66"/>
            <w:noWrap/>
            <w:hideMark/>
          </w:tcPr>
          <w:p w14:paraId="478D56FC" w14:textId="63F8CABF" w:rsidR="00020BB4" w:rsidRPr="000A28AD" w:rsidRDefault="0070287B" w:rsidP="00AF53F7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</w:pP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Diffusion Index 20</w:t>
            </w:r>
            <w:r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</w:rPr>
              <w:t>20</w:t>
            </w:r>
            <w:r w:rsidRPr="000A28AD">
              <w:rPr>
                <w:rFonts w:asciiTheme="minorHAnsi" w:eastAsia="Times New Roman" w:hAnsiTheme="minorHAnsi" w:cs="Times New Roman"/>
                <w:b/>
                <w:bCs/>
                <w:i w:val="0"/>
                <w:color w:val="000000"/>
                <w:sz w:val="18"/>
                <w:szCs w:val="18"/>
                <w:vertAlign w:val="superscript"/>
              </w:rPr>
              <w:t>(2)</w:t>
            </w:r>
          </w:p>
        </w:tc>
      </w:tr>
      <w:tr w:rsidR="00D361E1" w:rsidRPr="00D361E1" w14:paraId="0B7A71D1" w14:textId="77777777" w:rsidTr="00217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367" w:type="dxa"/>
            <w:tcBorders>
              <w:bottom w:val="none" w:sz="0" w:space="0" w:color="auto"/>
            </w:tcBorders>
            <w:noWrap/>
            <w:hideMark/>
          </w:tcPr>
          <w:p w14:paraId="32907C20" w14:textId="0C291889" w:rsidR="0070287B" w:rsidRPr="00D361E1" w:rsidRDefault="0070287B" w:rsidP="0070287B">
            <w:pPr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Business investment</w:t>
            </w:r>
          </w:p>
        </w:tc>
        <w:tc>
          <w:tcPr>
            <w:tcW w:w="665" w:type="dxa"/>
            <w:tcBorders>
              <w:bottom w:val="none" w:sz="0" w:space="0" w:color="auto"/>
            </w:tcBorders>
            <w:noWrap/>
            <w:hideMark/>
          </w:tcPr>
          <w:p w14:paraId="6BF6B030" w14:textId="7B8AC244" w:rsidR="0070287B" w:rsidRPr="00D361E1" w:rsidRDefault="0070287B" w:rsidP="0070287B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21%</w:t>
            </w:r>
          </w:p>
        </w:tc>
        <w:tc>
          <w:tcPr>
            <w:tcW w:w="1541" w:type="dxa"/>
            <w:tcBorders>
              <w:bottom w:val="none" w:sz="0" w:space="0" w:color="auto"/>
            </w:tcBorders>
            <w:noWrap/>
            <w:hideMark/>
          </w:tcPr>
          <w:p w14:paraId="71D21619" w14:textId="0F75DFA9" w:rsidR="0070287B" w:rsidRPr="00D361E1" w:rsidRDefault="0070287B" w:rsidP="0070287B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46%</w:t>
            </w:r>
          </w:p>
        </w:tc>
        <w:tc>
          <w:tcPr>
            <w:tcW w:w="1172" w:type="dxa"/>
            <w:tcBorders>
              <w:bottom w:val="none" w:sz="0" w:space="0" w:color="auto"/>
            </w:tcBorders>
            <w:noWrap/>
            <w:hideMark/>
          </w:tcPr>
          <w:p w14:paraId="23A6B63E" w14:textId="64F95182" w:rsidR="0070287B" w:rsidRPr="00D361E1" w:rsidRDefault="0070287B" w:rsidP="0070287B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33%</w:t>
            </w:r>
          </w:p>
        </w:tc>
        <w:tc>
          <w:tcPr>
            <w:tcW w:w="1170" w:type="dxa"/>
            <w:tcBorders>
              <w:bottom w:val="none" w:sz="0" w:space="0" w:color="auto"/>
            </w:tcBorders>
          </w:tcPr>
          <w:p w14:paraId="4DAA376C" w14:textId="0B166B0C" w:rsidR="0070287B" w:rsidRPr="00D361E1" w:rsidRDefault="0070287B" w:rsidP="0070287B">
            <w:pPr>
              <w:jc w:val="center"/>
              <w:rPr>
                <w:rFonts w:eastAsia="Times New Roman" w:cs="Times New Roman"/>
                <w:i w:val="0"/>
                <w:iCs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44</w:t>
            </w:r>
          </w:p>
        </w:tc>
        <w:tc>
          <w:tcPr>
            <w:tcW w:w="1260" w:type="dxa"/>
            <w:tcBorders>
              <w:bottom w:val="none" w:sz="0" w:space="0" w:color="auto"/>
            </w:tcBorders>
            <w:noWrap/>
          </w:tcPr>
          <w:p w14:paraId="161D0E57" w14:textId="0C6FD0DE" w:rsidR="0070287B" w:rsidRPr="00D361E1" w:rsidRDefault="0070287B" w:rsidP="0070287B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61</w:t>
            </w:r>
          </w:p>
        </w:tc>
        <w:tc>
          <w:tcPr>
            <w:tcW w:w="1615" w:type="dxa"/>
            <w:tcBorders>
              <w:bottom w:val="none" w:sz="0" w:space="0" w:color="auto"/>
            </w:tcBorders>
            <w:noWrap/>
          </w:tcPr>
          <w:p w14:paraId="73BBECDB" w14:textId="22BFECB9" w:rsidR="0070287B" w:rsidRPr="00D361E1" w:rsidRDefault="0070287B" w:rsidP="0070287B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50</w:t>
            </w:r>
          </w:p>
        </w:tc>
      </w:tr>
      <w:tr w:rsidR="00D361E1" w:rsidRPr="00D361E1" w14:paraId="1B168122" w14:textId="77777777" w:rsidTr="00217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367" w:type="dxa"/>
            <w:tcBorders>
              <w:bottom w:val="none" w:sz="0" w:space="0" w:color="auto"/>
            </w:tcBorders>
            <w:noWrap/>
            <w:hideMark/>
          </w:tcPr>
          <w:p w14:paraId="736D13E6" w14:textId="3E8CCD22" w:rsidR="0070287B" w:rsidRPr="00D361E1" w:rsidRDefault="0070287B" w:rsidP="0070287B">
            <w:pPr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Employment</w:t>
            </w:r>
          </w:p>
        </w:tc>
        <w:tc>
          <w:tcPr>
            <w:tcW w:w="665" w:type="dxa"/>
            <w:tcBorders>
              <w:bottom w:val="none" w:sz="0" w:space="0" w:color="auto"/>
            </w:tcBorders>
            <w:noWrap/>
            <w:hideMark/>
          </w:tcPr>
          <w:p w14:paraId="3AA14881" w14:textId="5E08DA5A" w:rsidR="0070287B" w:rsidRPr="00D361E1" w:rsidRDefault="0070287B" w:rsidP="0070287B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23%</w:t>
            </w:r>
          </w:p>
        </w:tc>
        <w:tc>
          <w:tcPr>
            <w:tcW w:w="1541" w:type="dxa"/>
            <w:tcBorders>
              <w:bottom w:val="none" w:sz="0" w:space="0" w:color="auto"/>
            </w:tcBorders>
            <w:noWrap/>
            <w:hideMark/>
          </w:tcPr>
          <w:p w14:paraId="586750B5" w14:textId="2D7084F3" w:rsidR="0070287B" w:rsidRPr="00D361E1" w:rsidRDefault="0070287B" w:rsidP="0070287B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47%</w:t>
            </w:r>
          </w:p>
        </w:tc>
        <w:tc>
          <w:tcPr>
            <w:tcW w:w="1172" w:type="dxa"/>
            <w:tcBorders>
              <w:bottom w:val="none" w:sz="0" w:space="0" w:color="auto"/>
            </w:tcBorders>
            <w:noWrap/>
            <w:hideMark/>
          </w:tcPr>
          <w:p w14:paraId="0E901369" w14:textId="51FD952E" w:rsidR="0070287B" w:rsidRPr="00D361E1" w:rsidRDefault="0070287B" w:rsidP="0070287B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29%</w:t>
            </w:r>
          </w:p>
        </w:tc>
        <w:tc>
          <w:tcPr>
            <w:tcW w:w="1170" w:type="dxa"/>
            <w:tcBorders>
              <w:bottom w:val="none" w:sz="0" w:space="0" w:color="auto"/>
            </w:tcBorders>
          </w:tcPr>
          <w:p w14:paraId="48456CF3" w14:textId="240F99B4" w:rsidR="0070287B" w:rsidRPr="00D361E1" w:rsidRDefault="0070287B" w:rsidP="0070287B">
            <w:pPr>
              <w:jc w:val="center"/>
              <w:rPr>
                <w:rFonts w:eastAsia="Times New Roman" w:cs="Times New Roman"/>
                <w:i w:val="0"/>
                <w:iCs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47</w:t>
            </w:r>
          </w:p>
        </w:tc>
        <w:tc>
          <w:tcPr>
            <w:tcW w:w="1260" w:type="dxa"/>
            <w:tcBorders>
              <w:bottom w:val="none" w:sz="0" w:space="0" w:color="auto"/>
            </w:tcBorders>
            <w:noWrap/>
          </w:tcPr>
          <w:p w14:paraId="2A717CE5" w14:textId="38AC8162" w:rsidR="0070287B" w:rsidRPr="00D361E1" w:rsidRDefault="0070287B" w:rsidP="0070287B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63</w:t>
            </w:r>
          </w:p>
        </w:tc>
        <w:tc>
          <w:tcPr>
            <w:tcW w:w="1615" w:type="dxa"/>
            <w:tcBorders>
              <w:bottom w:val="none" w:sz="0" w:space="0" w:color="auto"/>
            </w:tcBorders>
            <w:noWrap/>
          </w:tcPr>
          <w:p w14:paraId="5ED13621" w14:textId="37E938DE" w:rsidR="0070287B" w:rsidRPr="00D361E1" w:rsidRDefault="0070287B" w:rsidP="0070287B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58</w:t>
            </w:r>
          </w:p>
        </w:tc>
      </w:tr>
      <w:tr w:rsidR="00D361E1" w:rsidRPr="00D361E1" w14:paraId="6FFD5DF3" w14:textId="77777777" w:rsidTr="00217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367" w:type="dxa"/>
            <w:tcBorders>
              <w:bottom w:val="none" w:sz="0" w:space="0" w:color="auto"/>
            </w:tcBorders>
            <w:noWrap/>
            <w:hideMark/>
          </w:tcPr>
          <w:p w14:paraId="4964B378" w14:textId="6C142D71" w:rsidR="0070287B" w:rsidRPr="00D361E1" w:rsidRDefault="0070287B" w:rsidP="0070287B">
            <w:pPr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Consumer spending</w:t>
            </w:r>
          </w:p>
        </w:tc>
        <w:tc>
          <w:tcPr>
            <w:tcW w:w="665" w:type="dxa"/>
            <w:tcBorders>
              <w:bottom w:val="none" w:sz="0" w:space="0" w:color="auto"/>
            </w:tcBorders>
            <w:noWrap/>
            <w:hideMark/>
          </w:tcPr>
          <w:p w14:paraId="3745CC53" w14:textId="5A517025" w:rsidR="0070287B" w:rsidRPr="00D361E1" w:rsidRDefault="0070287B" w:rsidP="0070287B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12%</w:t>
            </w:r>
          </w:p>
        </w:tc>
        <w:tc>
          <w:tcPr>
            <w:tcW w:w="1541" w:type="dxa"/>
            <w:tcBorders>
              <w:bottom w:val="none" w:sz="0" w:space="0" w:color="auto"/>
            </w:tcBorders>
            <w:noWrap/>
            <w:hideMark/>
          </w:tcPr>
          <w:p w14:paraId="0BBC5BCE" w14:textId="75525FA0" w:rsidR="0070287B" w:rsidRPr="00D361E1" w:rsidRDefault="0070287B" w:rsidP="0070287B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37%</w:t>
            </w:r>
          </w:p>
        </w:tc>
        <w:tc>
          <w:tcPr>
            <w:tcW w:w="1172" w:type="dxa"/>
            <w:tcBorders>
              <w:bottom w:val="none" w:sz="0" w:space="0" w:color="auto"/>
            </w:tcBorders>
            <w:noWrap/>
            <w:hideMark/>
          </w:tcPr>
          <w:p w14:paraId="541AA488" w14:textId="79BE047F" w:rsidR="0070287B" w:rsidRPr="00D361E1" w:rsidRDefault="0070287B" w:rsidP="0070287B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51%</w:t>
            </w:r>
          </w:p>
        </w:tc>
        <w:tc>
          <w:tcPr>
            <w:tcW w:w="1170" w:type="dxa"/>
            <w:tcBorders>
              <w:bottom w:val="none" w:sz="0" w:space="0" w:color="auto"/>
            </w:tcBorders>
          </w:tcPr>
          <w:p w14:paraId="1D26E62D" w14:textId="1137712F" w:rsidR="0070287B" w:rsidRPr="00D361E1" w:rsidRDefault="0070287B" w:rsidP="0070287B">
            <w:pPr>
              <w:jc w:val="center"/>
              <w:rPr>
                <w:rFonts w:eastAsia="Times New Roman" w:cs="Times New Roman"/>
                <w:i w:val="0"/>
                <w:iCs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31</w:t>
            </w:r>
          </w:p>
        </w:tc>
        <w:tc>
          <w:tcPr>
            <w:tcW w:w="1260" w:type="dxa"/>
            <w:tcBorders>
              <w:bottom w:val="none" w:sz="0" w:space="0" w:color="auto"/>
            </w:tcBorders>
            <w:noWrap/>
          </w:tcPr>
          <w:p w14:paraId="78590DFB" w14:textId="4CEC50F0" w:rsidR="0070287B" w:rsidRPr="00D361E1" w:rsidRDefault="0070287B" w:rsidP="0070287B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57</w:t>
            </w:r>
          </w:p>
        </w:tc>
        <w:tc>
          <w:tcPr>
            <w:tcW w:w="1615" w:type="dxa"/>
            <w:tcBorders>
              <w:bottom w:val="none" w:sz="0" w:space="0" w:color="auto"/>
            </w:tcBorders>
            <w:noWrap/>
          </w:tcPr>
          <w:p w14:paraId="0B7A5AE3" w14:textId="09377751" w:rsidR="0070287B" w:rsidRPr="00D361E1" w:rsidRDefault="0070287B" w:rsidP="0070287B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49</w:t>
            </w:r>
          </w:p>
        </w:tc>
      </w:tr>
      <w:tr w:rsidR="00D361E1" w:rsidRPr="00D361E1" w14:paraId="6DB09DA5" w14:textId="77777777" w:rsidTr="00217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367" w:type="dxa"/>
            <w:tcBorders>
              <w:bottom w:val="none" w:sz="0" w:space="0" w:color="auto"/>
            </w:tcBorders>
            <w:noWrap/>
            <w:hideMark/>
          </w:tcPr>
          <w:p w14:paraId="660A28EA" w14:textId="5DACDED2" w:rsidR="0070287B" w:rsidRPr="00D361E1" w:rsidRDefault="0070287B" w:rsidP="0070287B">
            <w:pPr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Inflation</w:t>
            </w:r>
          </w:p>
        </w:tc>
        <w:tc>
          <w:tcPr>
            <w:tcW w:w="665" w:type="dxa"/>
            <w:tcBorders>
              <w:bottom w:val="none" w:sz="0" w:space="0" w:color="auto"/>
            </w:tcBorders>
            <w:noWrap/>
            <w:hideMark/>
          </w:tcPr>
          <w:p w14:paraId="2ED079BE" w14:textId="0D8AE4D4" w:rsidR="0070287B" w:rsidRPr="00D361E1" w:rsidRDefault="0070287B" w:rsidP="0070287B">
            <w:pPr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 xml:space="preserve">  73%</w:t>
            </w:r>
          </w:p>
        </w:tc>
        <w:tc>
          <w:tcPr>
            <w:tcW w:w="1541" w:type="dxa"/>
            <w:tcBorders>
              <w:bottom w:val="none" w:sz="0" w:space="0" w:color="auto"/>
            </w:tcBorders>
            <w:noWrap/>
            <w:hideMark/>
          </w:tcPr>
          <w:p w14:paraId="0EDB349C" w14:textId="773D7C9B" w:rsidR="0070287B" w:rsidRPr="00D361E1" w:rsidRDefault="0070287B" w:rsidP="0070287B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18%</w:t>
            </w:r>
          </w:p>
        </w:tc>
        <w:tc>
          <w:tcPr>
            <w:tcW w:w="1172" w:type="dxa"/>
            <w:tcBorders>
              <w:bottom w:val="none" w:sz="0" w:space="0" w:color="auto"/>
            </w:tcBorders>
            <w:noWrap/>
            <w:hideMark/>
          </w:tcPr>
          <w:p w14:paraId="0A7DFC33" w14:textId="5FD1C019" w:rsidR="0070287B" w:rsidRPr="00D361E1" w:rsidRDefault="0070287B" w:rsidP="0070287B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9%</w:t>
            </w:r>
          </w:p>
        </w:tc>
        <w:tc>
          <w:tcPr>
            <w:tcW w:w="1170" w:type="dxa"/>
            <w:tcBorders>
              <w:bottom w:val="none" w:sz="0" w:space="0" w:color="auto"/>
            </w:tcBorders>
          </w:tcPr>
          <w:p w14:paraId="1E40D47F" w14:textId="3D56C5FC" w:rsidR="0070287B" w:rsidRPr="00D361E1" w:rsidRDefault="0070287B" w:rsidP="0070287B">
            <w:pPr>
              <w:jc w:val="center"/>
              <w:rPr>
                <w:rFonts w:eastAsia="Times New Roman" w:cs="Times New Roman"/>
                <w:i w:val="0"/>
                <w:iCs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82</w:t>
            </w:r>
          </w:p>
        </w:tc>
        <w:tc>
          <w:tcPr>
            <w:tcW w:w="1260" w:type="dxa"/>
            <w:tcBorders>
              <w:bottom w:val="none" w:sz="0" w:space="0" w:color="auto"/>
            </w:tcBorders>
            <w:noWrap/>
          </w:tcPr>
          <w:p w14:paraId="3824C6CE" w14:textId="20E9D3D7" w:rsidR="0070287B" w:rsidRPr="00D361E1" w:rsidRDefault="0070287B" w:rsidP="0070287B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95</w:t>
            </w:r>
          </w:p>
        </w:tc>
        <w:tc>
          <w:tcPr>
            <w:tcW w:w="1615" w:type="dxa"/>
            <w:tcBorders>
              <w:bottom w:val="none" w:sz="0" w:space="0" w:color="auto"/>
            </w:tcBorders>
            <w:noWrap/>
          </w:tcPr>
          <w:p w14:paraId="75EBAF4A" w14:textId="2FE909A9" w:rsidR="0070287B" w:rsidRPr="00D361E1" w:rsidRDefault="0070287B" w:rsidP="0070287B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74</w:t>
            </w:r>
          </w:p>
        </w:tc>
      </w:tr>
      <w:tr w:rsidR="00D361E1" w:rsidRPr="00D361E1" w14:paraId="7DA6B354" w14:textId="77777777" w:rsidTr="002178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  <w:jc w:val="center"/>
        </w:trPr>
        <w:tc>
          <w:tcPr>
            <w:tcW w:w="3367" w:type="dxa"/>
            <w:tcBorders>
              <w:bottom w:val="none" w:sz="0" w:space="0" w:color="auto"/>
            </w:tcBorders>
            <w:noWrap/>
            <w:hideMark/>
          </w:tcPr>
          <w:p w14:paraId="2B9CB535" w14:textId="6E8951F1" w:rsidR="0070287B" w:rsidRPr="00D361E1" w:rsidRDefault="0070287B" w:rsidP="0070287B">
            <w:pPr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Corporate profits</w:t>
            </w:r>
          </w:p>
        </w:tc>
        <w:tc>
          <w:tcPr>
            <w:tcW w:w="665" w:type="dxa"/>
            <w:tcBorders>
              <w:bottom w:val="none" w:sz="0" w:space="0" w:color="auto"/>
            </w:tcBorders>
            <w:noWrap/>
            <w:hideMark/>
          </w:tcPr>
          <w:p w14:paraId="35E08C3E" w14:textId="6003DED3" w:rsidR="0070287B" w:rsidRPr="00D361E1" w:rsidRDefault="0070287B" w:rsidP="0070287B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14%</w:t>
            </w:r>
          </w:p>
        </w:tc>
        <w:tc>
          <w:tcPr>
            <w:tcW w:w="1541" w:type="dxa"/>
            <w:tcBorders>
              <w:bottom w:val="none" w:sz="0" w:space="0" w:color="auto"/>
            </w:tcBorders>
            <w:noWrap/>
            <w:hideMark/>
          </w:tcPr>
          <w:p w14:paraId="02710623" w14:textId="75CFA4E1" w:rsidR="0070287B" w:rsidRPr="00D361E1" w:rsidRDefault="0070287B" w:rsidP="0070287B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38%</w:t>
            </w:r>
          </w:p>
        </w:tc>
        <w:tc>
          <w:tcPr>
            <w:tcW w:w="1172" w:type="dxa"/>
            <w:tcBorders>
              <w:bottom w:val="none" w:sz="0" w:space="0" w:color="auto"/>
            </w:tcBorders>
            <w:noWrap/>
            <w:hideMark/>
          </w:tcPr>
          <w:p w14:paraId="45051780" w14:textId="11E8144E" w:rsidR="0070287B" w:rsidRPr="00D361E1" w:rsidRDefault="0070287B" w:rsidP="0070287B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49%</w:t>
            </w:r>
          </w:p>
        </w:tc>
        <w:tc>
          <w:tcPr>
            <w:tcW w:w="1170" w:type="dxa"/>
            <w:tcBorders>
              <w:bottom w:val="none" w:sz="0" w:space="0" w:color="auto"/>
            </w:tcBorders>
          </w:tcPr>
          <w:p w14:paraId="6F635879" w14:textId="64641862" w:rsidR="0070287B" w:rsidRPr="00D361E1" w:rsidRDefault="0070287B" w:rsidP="0070287B">
            <w:pPr>
              <w:jc w:val="center"/>
              <w:rPr>
                <w:rFonts w:eastAsia="Times New Roman" w:cs="Times New Roman"/>
                <w:i w:val="0"/>
                <w:iCs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33</w:t>
            </w:r>
          </w:p>
        </w:tc>
        <w:tc>
          <w:tcPr>
            <w:tcW w:w="1260" w:type="dxa"/>
            <w:tcBorders>
              <w:bottom w:val="none" w:sz="0" w:space="0" w:color="auto"/>
            </w:tcBorders>
            <w:noWrap/>
          </w:tcPr>
          <w:p w14:paraId="51461C08" w14:textId="7A3DBB1B" w:rsidR="0070287B" w:rsidRPr="00D361E1" w:rsidRDefault="0070287B" w:rsidP="0070287B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43</w:t>
            </w:r>
          </w:p>
        </w:tc>
        <w:tc>
          <w:tcPr>
            <w:tcW w:w="1615" w:type="dxa"/>
            <w:tcBorders>
              <w:bottom w:val="none" w:sz="0" w:space="0" w:color="auto"/>
            </w:tcBorders>
            <w:noWrap/>
          </w:tcPr>
          <w:p w14:paraId="09AE4556" w14:textId="09E0FB9A" w:rsidR="0070287B" w:rsidRPr="00D361E1" w:rsidRDefault="0070287B" w:rsidP="0070287B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48</w:t>
            </w:r>
          </w:p>
        </w:tc>
      </w:tr>
    </w:tbl>
    <w:p w14:paraId="6D9DC6FD" w14:textId="77777777" w:rsidR="00B90819" w:rsidRDefault="00B90819" w:rsidP="00797604">
      <w:pPr>
        <w:spacing w:after="0" w:line="12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49"/>
        <w:gridCol w:w="792"/>
      </w:tblGrid>
      <w:tr w:rsidR="001E2293" w:rsidRPr="001E2293" w14:paraId="709669C8" w14:textId="77777777" w:rsidTr="002178EF">
        <w:trPr>
          <w:trHeight w:val="247"/>
        </w:trPr>
        <w:tc>
          <w:tcPr>
            <w:tcW w:w="0" w:type="auto"/>
            <w:shd w:val="clear" w:color="auto" w:fill="BDD6EE" w:themeFill="accent1" w:themeFillTint="66"/>
            <w:noWrap/>
            <w:vAlign w:val="center"/>
            <w:hideMark/>
          </w:tcPr>
          <w:p w14:paraId="057FFE7D" w14:textId="77777777" w:rsidR="001E2293" w:rsidRPr="001E2293" w:rsidRDefault="001E2293" w:rsidP="002178EF">
            <w:pPr>
              <w:spacing w:before="120" w:line="120" w:lineRule="auto"/>
              <w:rPr>
                <w:b/>
                <w:bCs/>
                <w:sz w:val="18"/>
                <w:szCs w:val="18"/>
              </w:rPr>
            </w:pPr>
            <w:r w:rsidRPr="001E2293">
              <w:rPr>
                <w:b/>
                <w:bCs/>
                <w:sz w:val="18"/>
                <w:szCs w:val="18"/>
              </w:rPr>
              <w:t>Change in credit conditions in the past year</w:t>
            </w:r>
          </w:p>
        </w:tc>
        <w:tc>
          <w:tcPr>
            <w:tcW w:w="0" w:type="auto"/>
            <w:shd w:val="clear" w:color="auto" w:fill="BDD6EE" w:themeFill="accent1" w:themeFillTint="66"/>
            <w:noWrap/>
            <w:vAlign w:val="center"/>
            <w:hideMark/>
          </w:tcPr>
          <w:p w14:paraId="1A52ABD2" w14:textId="77777777" w:rsidR="001E2293" w:rsidRPr="001E2293" w:rsidRDefault="001E2293" w:rsidP="002178EF">
            <w:pPr>
              <w:spacing w:before="120" w:line="120" w:lineRule="auto"/>
              <w:rPr>
                <w:b/>
                <w:bCs/>
                <w:sz w:val="18"/>
                <w:szCs w:val="18"/>
                <w:u w:val="single"/>
              </w:rPr>
            </w:pPr>
            <w:r w:rsidRPr="001E2293">
              <w:rPr>
                <w:b/>
                <w:bCs/>
                <w:sz w:val="18"/>
                <w:szCs w:val="18"/>
                <w:u w:val="single"/>
              </w:rPr>
              <w:t>Percent</w:t>
            </w:r>
          </w:p>
        </w:tc>
      </w:tr>
      <w:tr w:rsidR="001E2293" w:rsidRPr="001E2293" w14:paraId="187B8560" w14:textId="77777777" w:rsidTr="002178EF">
        <w:trPr>
          <w:trHeight w:val="247"/>
        </w:trPr>
        <w:tc>
          <w:tcPr>
            <w:tcW w:w="0" w:type="auto"/>
            <w:noWrap/>
            <w:vAlign w:val="center"/>
            <w:hideMark/>
          </w:tcPr>
          <w:p w14:paraId="55651D55" w14:textId="77777777" w:rsidR="001E2293" w:rsidRPr="001E2293" w:rsidRDefault="001E2293" w:rsidP="002178EF">
            <w:pPr>
              <w:spacing w:before="120" w:line="120" w:lineRule="auto"/>
              <w:rPr>
                <w:sz w:val="18"/>
                <w:szCs w:val="18"/>
              </w:rPr>
            </w:pPr>
            <w:r w:rsidRPr="001E2293">
              <w:rPr>
                <w:sz w:val="18"/>
                <w:szCs w:val="18"/>
              </w:rPr>
              <w:t>No changes</w:t>
            </w:r>
          </w:p>
        </w:tc>
        <w:tc>
          <w:tcPr>
            <w:tcW w:w="0" w:type="auto"/>
            <w:noWrap/>
            <w:vAlign w:val="center"/>
            <w:hideMark/>
          </w:tcPr>
          <w:p w14:paraId="23233380" w14:textId="77777777" w:rsidR="001E2293" w:rsidRPr="001E2293" w:rsidRDefault="001E2293" w:rsidP="00E30A4D">
            <w:pPr>
              <w:spacing w:before="120" w:line="120" w:lineRule="auto"/>
              <w:jc w:val="center"/>
              <w:rPr>
                <w:sz w:val="18"/>
                <w:szCs w:val="18"/>
              </w:rPr>
            </w:pPr>
            <w:r w:rsidRPr="001E2293">
              <w:rPr>
                <w:sz w:val="18"/>
                <w:szCs w:val="18"/>
              </w:rPr>
              <w:t>62%</w:t>
            </w:r>
          </w:p>
        </w:tc>
      </w:tr>
      <w:tr w:rsidR="001E2293" w:rsidRPr="001E2293" w14:paraId="5AA25555" w14:textId="77777777" w:rsidTr="002178EF">
        <w:trPr>
          <w:trHeight w:val="247"/>
        </w:trPr>
        <w:tc>
          <w:tcPr>
            <w:tcW w:w="0" w:type="auto"/>
            <w:noWrap/>
            <w:vAlign w:val="center"/>
            <w:hideMark/>
          </w:tcPr>
          <w:p w14:paraId="55B87F7A" w14:textId="1D395849" w:rsidR="001E2293" w:rsidRPr="001E2293" w:rsidRDefault="001E2293" w:rsidP="002178EF">
            <w:pPr>
              <w:spacing w:before="120" w:line="120" w:lineRule="auto"/>
              <w:rPr>
                <w:sz w:val="18"/>
                <w:szCs w:val="18"/>
              </w:rPr>
            </w:pPr>
            <w:r w:rsidRPr="001E2293">
              <w:rPr>
                <w:sz w:val="18"/>
                <w:szCs w:val="18"/>
              </w:rPr>
              <w:t xml:space="preserve">Experienced no difficulties </w:t>
            </w:r>
            <w:r w:rsidR="002178EF" w:rsidRPr="001E2293">
              <w:rPr>
                <w:sz w:val="18"/>
                <w:szCs w:val="18"/>
              </w:rPr>
              <w:t>accessing</w:t>
            </w:r>
            <w:r w:rsidRPr="001E2293">
              <w:rPr>
                <w:sz w:val="18"/>
                <w:szCs w:val="18"/>
              </w:rPr>
              <w:t xml:space="preserve"> credit</w:t>
            </w:r>
          </w:p>
        </w:tc>
        <w:tc>
          <w:tcPr>
            <w:tcW w:w="0" w:type="auto"/>
            <w:noWrap/>
            <w:vAlign w:val="center"/>
            <w:hideMark/>
          </w:tcPr>
          <w:p w14:paraId="21FF4FBA" w14:textId="77777777" w:rsidR="001E2293" w:rsidRPr="001E2293" w:rsidRDefault="001E2293" w:rsidP="00E30A4D">
            <w:pPr>
              <w:spacing w:before="120" w:line="120" w:lineRule="auto"/>
              <w:jc w:val="center"/>
              <w:rPr>
                <w:sz w:val="18"/>
                <w:szCs w:val="18"/>
              </w:rPr>
            </w:pPr>
            <w:r w:rsidRPr="001E2293">
              <w:rPr>
                <w:sz w:val="18"/>
                <w:szCs w:val="18"/>
              </w:rPr>
              <w:t>20%</w:t>
            </w:r>
          </w:p>
        </w:tc>
      </w:tr>
      <w:tr w:rsidR="001E2293" w:rsidRPr="001E2293" w14:paraId="4EC5E333" w14:textId="77777777" w:rsidTr="002178EF">
        <w:trPr>
          <w:trHeight w:val="247"/>
        </w:trPr>
        <w:tc>
          <w:tcPr>
            <w:tcW w:w="0" w:type="auto"/>
            <w:noWrap/>
            <w:vAlign w:val="center"/>
            <w:hideMark/>
          </w:tcPr>
          <w:p w14:paraId="20B071A7" w14:textId="77777777" w:rsidR="001E2293" w:rsidRPr="001E2293" w:rsidRDefault="001E2293" w:rsidP="002178EF">
            <w:pPr>
              <w:spacing w:before="120" w:line="120" w:lineRule="auto"/>
              <w:rPr>
                <w:sz w:val="18"/>
                <w:szCs w:val="18"/>
              </w:rPr>
            </w:pPr>
            <w:r w:rsidRPr="001E2293">
              <w:rPr>
                <w:sz w:val="18"/>
                <w:szCs w:val="18"/>
              </w:rPr>
              <w:t>Decreased capital expenditure</w:t>
            </w:r>
          </w:p>
        </w:tc>
        <w:tc>
          <w:tcPr>
            <w:tcW w:w="0" w:type="auto"/>
            <w:noWrap/>
            <w:vAlign w:val="center"/>
            <w:hideMark/>
          </w:tcPr>
          <w:p w14:paraId="2C04C9FE" w14:textId="77777777" w:rsidR="001E2293" w:rsidRPr="001E2293" w:rsidRDefault="001E2293" w:rsidP="00E30A4D">
            <w:pPr>
              <w:spacing w:before="120" w:line="120" w:lineRule="auto"/>
              <w:jc w:val="center"/>
              <w:rPr>
                <w:sz w:val="18"/>
                <w:szCs w:val="18"/>
              </w:rPr>
            </w:pPr>
            <w:r w:rsidRPr="001E2293">
              <w:rPr>
                <w:sz w:val="18"/>
                <w:szCs w:val="18"/>
              </w:rPr>
              <w:t>15%</w:t>
            </w:r>
          </w:p>
        </w:tc>
      </w:tr>
      <w:tr w:rsidR="001E2293" w:rsidRPr="001E2293" w14:paraId="675ABEED" w14:textId="77777777" w:rsidTr="002178EF">
        <w:trPr>
          <w:trHeight w:val="247"/>
        </w:trPr>
        <w:tc>
          <w:tcPr>
            <w:tcW w:w="0" w:type="auto"/>
            <w:noWrap/>
            <w:vAlign w:val="center"/>
            <w:hideMark/>
          </w:tcPr>
          <w:p w14:paraId="18A9F1C6" w14:textId="654413F2" w:rsidR="001E2293" w:rsidRPr="001E2293" w:rsidRDefault="002178EF" w:rsidP="002178EF">
            <w:pPr>
              <w:spacing w:before="120" w:line="120" w:lineRule="auto"/>
              <w:rPr>
                <w:sz w:val="18"/>
                <w:szCs w:val="18"/>
              </w:rPr>
            </w:pPr>
            <w:r w:rsidRPr="001E2293">
              <w:rPr>
                <w:sz w:val="18"/>
                <w:szCs w:val="18"/>
              </w:rPr>
              <w:t>Decreased</w:t>
            </w:r>
            <w:r w:rsidR="001E2293" w:rsidRPr="001E2293">
              <w:rPr>
                <w:sz w:val="18"/>
                <w:szCs w:val="18"/>
              </w:rPr>
              <w:t xml:space="preserve"> hiring</w:t>
            </w:r>
          </w:p>
        </w:tc>
        <w:tc>
          <w:tcPr>
            <w:tcW w:w="0" w:type="auto"/>
            <w:noWrap/>
            <w:vAlign w:val="center"/>
            <w:hideMark/>
          </w:tcPr>
          <w:p w14:paraId="4AACEF07" w14:textId="77777777" w:rsidR="001E2293" w:rsidRPr="001E2293" w:rsidRDefault="001E2293" w:rsidP="00E30A4D">
            <w:pPr>
              <w:spacing w:before="120" w:line="120" w:lineRule="auto"/>
              <w:jc w:val="center"/>
              <w:rPr>
                <w:sz w:val="18"/>
                <w:szCs w:val="18"/>
              </w:rPr>
            </w:pPr>
            <w:r w:rsidRPr="001E2293">
              <w:rPr>
                <w:sz w:val="18"/>
                <w:szCs w:val="18"/>
              </w:rPr>
              <w:t>12%</w:t>
            </w:r>
          </w:p>
        </w:tc>
      </w:tr>
      <w:tr w:rsidR="001E2293" w:rsidRPr="001E2293" w14:paraId="139C9986" w14:textId="77777777" w:rsidTr="002178EF">
        <w:trPr>
          <w:trHeight w:val="247"/>
        </w:trPr>
        <w:tc>
          <w:tcPr>
            <w:tcW w:w="0" w:type="auto"/>
            <w:noWrap/>
            <w:vAlign w:val="center"/>
            <w:hideMark/>
          </w:tcPr>
          <w:p w14:paraId="1F5B6CB5" w14:textId="77777777" w:rsidR="001E2293" w:rsidRPr="001E2293" w:rsidRDefault="001E2293" w:rsidP="002178EF">
            <w:pPr>
              <w:spacing w:before="120" w:line="120" w:lineRule="auto"/>
              <w:rPr>
                <w:sz w:val="18"/>
                <w:szCs w:val="18"/>
              </w:rPr>
            </w:pPr>
            <w:r w:rsidRPr="001E2293">
              <w:rPr>
                <w:sz w:val="18"/>
                <w:szCs w:val="18"/>
              </w:rPr>
              <w:t>Increased hiring</w:t>
            </w:r>
          </w:p>
        </w:tc>
        <w:tc>
          <w:tcPr>
            <w:tcW w:w="0" w:type="auto"/>
            <w:noWrap/>
            <w:vAlign w:val="center"/>
            <w:hideMark/>
          </w:tcPr>
          <w:p w14:paraId="116610BB" w14:textId="77777777" w:rsidR="001E2293" w:rsidRPr="001E2293" w:rsidRDefault="001E2293" w:rsidP="00E30A4D">
            <w:pPr>
              <w:spacing w:before="120" w:line="120" w:lineRule="auto"/>
              <w:jc w:val="center"/>
              <w:rPr>
                <w:sz w:val="18"/>
                <w:szCs w:val="18"/>
              </w:rPr>
            </w:pPr>
            <w:r w:rsidRPr="001E2293">
              <w:rPr>
                <w:sz w:val="18"/>
                <w:szCs w:val="18"/>
              </w:rPr>
              <w:t>11%</w:t>
            </w:r>
          </w:p>
        </w:tc>
      </w:tr>
      <w:tr w:rsidR="001E2293" w:rsidRPr="001E2293" w14:paraId="76384E3E" w14:textId="77777777" w:rsidTr="002178EF">
        <w:trPr>
          <w:trHeight w:val="247"/>
        </w:trPr>
        <w:tc>
          <w:tcPr>
            <w:tcW w:w="0" w:type="auto"/>
            <w:noWrap/>
            <w:vAlign w:val="center"/>
            <w:hideMark/>
          </w:tcPr>
          <w:p w14:paraId="79BA5702" w14:textId="77777777" w:rsidR="001E2293" w:rsidRPr="001E2293" w:rsidRDefault="001E2293" w:rsidP="002178EF">
            <w:pPr>
              <w:spacing w:before="120" w:line="120" w:lineRule="auto"/>
              <w:rPr>
                <w:sz w:val="18"/>
                <w:szCs w:val="18"/>
              </w:rPr>
            </w:pPr>
            <w:r w:rsidRPr="001E2293">
              <w:rPr>
                <w:sz w:val="18"/>
                <w:szCs w:val="18"/>
              </w:rPr>
              <w:t>Increased capital expenditure</w:t>
            </w:r>
          </w:p>
        </w:tc>
        <w:tc>
          <w:tcPr>
            <w:tcW w:w="0" w:type="auto"/>
            <w:noWrap/>
            <w:vAlign w:val="center"/>
            <w:hideMark/>
          </w:tcPr>
          <w:p w14:paraId="7CA8E3CE" w14:textId="77777777" w:rsidR="001E2293" w:rsidRPr="001E2293" w:rsidRDefault="001E2293" w:rsidP="00E30A4D">
            <w:pPr>
              <w:spacing w:before="120" w:line="120" w:lineRule="auto"/>
              <w:jc w:val="center"/>
              <w:rPr>
                <w:sz w:val="18"/>
                <w:szCs w:val="18"/>
              </w:rPr>
            </w:pPr>
            <w:r w:rsidRPr="001E2293">
              <w:rPr>
                <w:sz w:val="18"/>
                <w:szCs w:val="18"/>
              </w:rPr>
              <w:t>9%</w:t>
            </w:r>
          </w:p>
        </w:tc>
      </w:tr>
      <w:tr w:rsidR="001E2293" w:rsidRPr="001E2293" w14:paraId="22056E79" w14:textId="77777777" w:rsidTr="002178EF">
        <w:trPr>
          <w:trHeight w:val="247"/>
        </w:trPr>
        <w:tc>
          <w:tcPr>
            <w:tcW w:w="0" w:type="auto"/>
            <w:noWrap/>
            <w:vAlign w:val="center"/>
            <w:hideMark/>
          </w:tcPr>
          <w:p w14:paraId="691E9CD4" w14:textId="77777777" w:rsidR="001E2293" w:rsidRPr="001E2293" w:rsidRDefault="001E2293" w:rsidP="002178EF">
            <w:pPr>
              <w:spacing w:before="120" w:line="120" w:lineRule="auto"/>
              <w:rPr>
                <w:sz w:val="18"/>
                <w:szCs w:val="18"/>
              </w:rPr>
            </w:pPr>
            <w:r w:rsidRPr="001E2293">
              <w:rPr>
                <w:sz w:val="18"/>
                <w:szCs w:val="18"/>
              </w:rPr>
              <w:t>Experienced difficulties accessing credit</w:t>
            </w:r>
          </w:p>
        </w:tc>
        <w:tc>
          <w:tcPr>
            <w:tcW w:w="0" w:type="auto"/>
            <w:noWrap/>
            <w:vAlign w:val="center"/>
            <w:hideMark/>
          </w:tcPr>
          <w:p w14:paraId="5673580A" w14:textId="77777777" w:rsidR="001E2293" w:rsidRPr="001E2293" w:rsidRDefault="001E2293" w:rsidP="00E30A4D">
            <w:pPr>
              <w:spacing w:before="120" w:line="120" w:lineRule="auto"/>
              <w:jc w:val="center"/>
              <w:rPr>
                <w:sz w:val="18"/>
                <w:szCs w:val="18"/>
              </w:rPr>
            </w:pPr>
            <w:r w:rsidRPr="001E2293">
              <w:rPr>
                <w:sz w:val="18"/>
                <w:szCs w:val="18"/>
              </w:rPr>
              <w:t>8%</w:t>
            </w:r>
          </w:p>
        </w:tc>
      </w:tr>
    </w:tbl>
    <w:p w14:paraId="7E971350" w14:textId="5E938A4A" w:rsidR="001E2293" w:rsidRDefault="00417D5F" w:rsidP="00417D5F">
      <w:pPr>
        <w:spacing w:before="120" w:after="120" w:line="240" w:lineRule="auto"/>
        <w:rPr>
          <w:i/>
          <w:iCs/>
          <w:color w:val="2E74B5" w:themeColor="accent1" w:themeShade="BF"/>
        </w:rPr>
      </w:pPr>
      <w:r w:rsidRPr="003B5595">
        <w:rPr>
          <w:i/>
          <w:iCs/>
          <w:color w:val="2E74B5" w:themeColor="accent1" w:themeShade="BF"/>
        </w:rPr>
        <w:t xml:space="preserve">(To </w:t>
      </w:r>
      <w:proofErr w:type="gramStart"/>
      <w:r w:rsidRPr="003B5595">
        <w:rPr>
          <w:i/>
          <w:iCs/>
          <w:color w:val="2E74B5" w:themeColor="accent1" w:themeShade="BF"/>
        </w:rPr>
        <w:t>continue on</w:t>
      </w:r>
      <w:proofErr w:type="gramEnd"/>
      <w:r w:rsidRPr="003B5595">
        <w:rPr>
          <w:i/>
          <w:iCs/>
          <w:color w:val="2E74B5" w:themeColor="accent1" w:themeShade="BF"/>
        </w:rPr>
        <w:t xml:space="preserve"> page 3)</w:t>
      </w:r>
    </w:p>
    <w:p w14:paraId="5A36D1BF" w14:textId="2C1DAED4" w:rsidR="001E2293" w:rsidRPr="003B5595" w:rsidRDefault="003B5595" w:rsidP="003B5595">
      <w:pPr>
        <w:spacing w:before="120" w:after="120" w:line="240" w:lineRule="auto"/>
        <w:rPr>
          <w:i/>
          <w:iCs/>
          <w:color w:val="2E74B5" w:themeColor="accent1" w:themeShade="BF"/>
        </w:rPr>
      </w:pPr>
      <w:r>
        <w:rPr>
          <w:i/>
          <w:iCs/>
          <w:color w:val="2E74B5" w:themeColor="accent1" w:themeShade="BF"/>
        </w:rPr>
        <w:lastRenderedPageBreak/>
        <w:t>(Continuation)</w:t>
      </w:r>
    </w:p>
    <w:p w14:paraId="4BDCFF68" w14:textId="4C884D22" w:rsidR="001E2293" w:rsidRPr="00B90819" w:rsidRDefault="002178EF" w:rsidP="00B90819">
      <w:pPr>
        <w:pStyle w:val="Title"/>
        <w:rPr>
          <w:b/>
          <w:color w:val="2E74B5" w:themeColor="accent1" w:themeShade="BF"/>
          <w:sz w:val="22"/>
          <w:szCs w:val="22"/>
        </w:rPr>
      </w:pPr>
      <w:r>
        <w:rPr>
          <w:b/>
          <w:color w:val="2E74B5" w:themeColor="accent1" w:themeShade="BF"/>
          <w:sz w:val="22"/>
          <w:szCs w:val="22"/>
        </w:rPr>
        <w:t xml:space="preserve">Minnesota 2022 Manufacturing Business </w:t>
      </w:r>
      <w:r w:rsidRPr="00D60273">
        <w:rPr>
          <w:b/>
          <w:color w:val="2E74B5" w:themeColor="accent1" w:themeShade="BF"/>
          <w:sz w:val="22"/>
          <w:szCs w:val="22"/>
        </w:rPr>
        <w:t>Condition Survey Results</w:t>
      </w:r>
      <w:r w:rsidRPr="00D60273">
        <w:rPr>
          <w:b/>
          <w:color w:val="2E74B5" w:themeColor="accent1" w:themeShade="BF"/>
          <w:sz w:val="22"/>
          <w:szCs w:val="22"/>
          <w:vertAlign w:val="superscript"/>
        </w:rPr>
        <w:t>1</w:t>
      </w:r>
      <w:r>
        <w:rPr>
          <w:b/>
          <w:color w:val="2E74B5" w:themeColor="accent1" w:themeShade="BF"/>
          <w:sz w:val="22"/>
          <w:szCs w:val="22"/>
          <w:vertAlign w:val="superscript"/>
        </w:rPr>
        <w:t xml:space="preserve">   </w:t>
      </w:r>
      <w:r w:rsidRPr="00700745">
        <w:rPr>
          <w:b/>
          <w:i/>
          <w:iCs/>
          <w:color w:val="2E74B5" w:themeColor="accent1" w:themeShade="BF"/>
          <w:sz w:val="22"/>
          <w:szCs w:val="22"/>
        </w:rPr>
        <w:t>(Continuation)</w:t>
      </w:r>
    </w:p>
    <w:tbl>
      <w:tblPr>
        <w:tblStyle w:val="PlainTable5"/>
        <w:tblW w:w="7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20" w:firstRow="1" w:lastRow="0" w:firstColumn="0" w:lastColumn="0" w:noHBand="1" w:noVBand="1"/>
        <w:tblCaption w:val="Business Comparison Indicators: 2014-2015"/>
        <w:tblDescription w:val="Table coparing business indicators between 2014 and 2015."/>
      </w:tblPr>
      <w:tblGrid>
        <w:gridCol w:w="3367"/>
        <w:gridCol w:w="792"/>
        <w:gridCol w:w="1040"/>
        <w:gridCol w:w="690"/>
        <w:gridCol w:w="1126"/>
      </w:tblGrid>
      <w:tr w:rsidR="00D361E1" w:rsidRPr="00D361E1" w14:paraId="722A6215" w14:textId="43E5F3C5" w:rsidTr="005E7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</w:trPr>
        <w:tc>
          <w:tcPr>
            <w:tcW w:w="3367" w:type="dxa"/>
            <w:tcBorders>
              <w:bottom w:val="none" w:sz="0" w:space="0" w:color="auto"/>
            </w:tcBorders>
            <w:shd w:val="clear" w:color="auto" w:fill="BDD6EE" w:themeFill="accent1" w:themeFillTint="66"/>
            <w:noWrap/>
            <w:hideMark/>
          </w:tcPr>
          <w:p w14:paraId="5C7F9B26" w14:textId="40BFA5ED" w:rsidR="0070287B" w:rsidRPr="00D361E1" w:rsidRDefault="0070287B" w:rsidP="00AF53F7">
            <w:pPr>
              <w:rPr>
                <w:rFonts w:asciiTheme="minorHAnsi" w:eastAsia="Times New Roman" w:hAnsiTheme="minorHAnsi" w:cs="Times New Roman"/>
                <w:b/>
                <w:bCs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b/>
                <w:bCs/>
                <w:i w:val="0"/>
                <w:sz w:val="18"/>
                <w:szCs w:val="18"/>
              </w:rPr>
              <w:t>Supply chain issues compared to the year before</w:t>
            </w:r>
          </w:p>
        </w:tc>
        <w:tc>
          <w:tcPr>
            <w:tcW w:w="792" w:type="dxa"/>
            <w:tcBorders>
              <w:bottom w:val="none" w:sz="0" w:space="0" w:color="auto"/>
            </w:tcBorders>
            <w:shd w:val="clear" w:color="auto" w:fill="BDD6EE" w:themeFill="accent1" w:themeFillTint="66"/>
            <w:noWrap/>
            <w:hideMark/>
          </w:tcPr>
          <w:p w14:paraId="266FF1CC" w14:textId="385308E3" w:rsidR="0070287B" w:rsidRPr="00D361E1" w:rsidRDefault="0070287B" w:rsidP="00AF53F7">
            <w:pPr>
              <w:jc w:val="center"/>
              <w:rPr>
                <w:rFonts w:asciiTheme="minorHAnsi" w:eastAsia="Times New Roman" w:hAnsiTheme="minorHAnsi" w:cs="Times New Roman"/>
                <w:b/>
                <w:bCs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b/>
                <w:bCs/>
                <w:i w:val="0"/>
                <w:sz w:val="18"/>
                <w:szCs w:val="18"/>
              </w:rPr>
              <w:t>Better</w:t>
            </w:r>
          </w:p>
        </w:tc>
        <w:tc>
          <w:tcPr>
            <w:tcW w:w="1040" w:type="dxa"/>
            <w:tcBorders>
              <w:bottom w:val="none" w:sz="0" w:space="0" w:color="auto"/>
            </w:tcBorders>
            <w:shd w:val="clear" w:color="auto" w:fill="BDD6EE" w:themeFill="accent1" w:themeFillTint="66"/>
          </w:tcPr>
          <w:p w14:paraId="207DE58B" w14:textId="79610D0D" w:rsidR="0070287B" w:rsidRPr="00D361E1" w:rsidRDefault="0070287B" w:rsidP="00AF53F7">
            <w:pPr>
              <w:jc w:val="center"/>
              <w:rPr>
                <w:rFonts w:eastAsia="Times New Roman" w:cs="Times New Roman"/>
                <w:b/>
                <w:bCs/>
                <w:i w:val="0"/>
                <w:iCs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b/>
                <w:bCs/>
                <w:i w:val="0"/>
                <w:iCs w:val="0"/>
                <w:sz w:val="18"/>
                <w:szCs w:val="18"/>
              </w:rPr>
              <w:t>Unchanged</w:t>
            </w:r>
          </w:p>
        </w:tc>
        <w:tc>
          <w:tcPr>
            <w:tcW w:w="690" w:type="dxa"/>
            <w:tcBorders>
              <w:bottom w:val="none" w:sz="0" w:space="0" w:color="auto"/>
            </w:tcBorders>
            <w:shd w:val="clear" w:color="auto" w:fill="BDD6EE" w:themeFill="accent1" w:themeFillTint="66"/>
          </w:tcPr>
          <w:p w14:paraId="6F8465C0" w14:textId="43D1ACE1" w:rsidR="0070287B" w:rsidRPr="00D361E1" w:rsidRDefault="0070287B" w:rsidP="00AF53F7">
            <w:pPr>
              <w:jc w:val="center"/>
              <w:rPr>
                <w:rFonts w:eastAsia="Times New Roman" w:cs="Times New Roman"/>
                <w:b/>
                <w:bCs/>
                <w:i w:val="0"/>
                <w:iCs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b/>
                <w:bCs/>
                <w:i w:val="0"/>
                <w:iCs w:val="0"/>
                <w:sz w:val="18"/>
                <w:szCs w:val="18"/>
              </w:rPr>
              <w:t>Worse</w:t>
            </w:r>
          </w:p>
        </w:tc>
        <w:tc>
          <w:tcPr>
            <w:tcW w:w="1126" w:type="dxa"/>
            <w:tcBorders>
              <w:bottom w:val="none" w:sz="0" w:space="0" w:color="auto"/>
            </w:tcBorders>
            <w:shd w:val="clear" w:color="auto" w:fill="BDD6EE" w:themeFill="accent1" w:themeFillTint="66"/>
          </w:tcPr>
          <w:p w14:paraId="67C59F23" w14:textId="34D50E44" w:rsidR="0070287B" w:rsidRPr="00D361E1" w:rsidRDefault="0070287B" w:rsidP="00AF53F7">
            <w:pPr>
              <w:jc w:val="center"/>
              <w:rPr>
                <w:rFonts w:eastAsia="Times New Roman" w:cs="Times New Roman"/>
                <w:b/>
                <w:bCs/>
                <w:i w:val="0"/>
                <w:iCs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b/>
                <w:bCs/>
                <w:i w:val="0"/>
                <w:iCs w:val="0"/>
                <w:sz w:val="18"/>
                <w:szCs w:val="18"/>
              </w:rPr>
              <w:t>Not an issue</w:t>
            </w:r>
          </w:p>
        </w:tc>
      </w:tr>
      <w:tr w:rsidR="00D361E1" w:rsidRPr="00D361E1" w14:paraId="0F15E780" w14:textId="2376E200" w:rsidTr="005E7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</w:trPr>
        <w:tc>
          <w:tcPr>
            <w:tcW w:w="3367" w:type="dxa"/>
            <w:tcBorders>
              <w:bottom w:val="none" w:sz="0" w:space="0" w:color="auto"/>
            </w:tcBorders>
            <w:noWrap/>
          </w:tcPr>
          <w:p w14:paraId="5F01C154" w14:textId="7AE796A2" w:rsidR="0070287B" w:rsidRPr="00D361E1" w:rsidRDefault="0070287B" w:rsidP="00AF53F7">
            <w:pP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Production process issues</w:t>
            </w:r>
          </w:p>
        </w:tc>
        <w:tc>
          <w:tcPr>
            <w:tcW w:w="792" w:type="dxa"/>
            <w:tcBorders>
              <w:bottom w:val="none" w:sz="0" w:space="0" w:color="auto"/>
            </w:tcBorders>
            <w:noWrap/>
            <w:hideMark/>
          </w:tcPr>
          <w:p w14:paraId="61629D8A" w14:textId="5507C636" w:rsidR="0070287B" w:rsidRPr="00D361E1" w:rsidRDefault="0070287B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16%</w:t>
            </w:r>
          </w:p>
        </w:tc>
        <w:tc>
          <w:tcPr>
            <w:tcW w:w="1040" w:type="dxa"/>
            <w:tcBorders>
              <w:bottom w:val="none" w:sz="0" w:space="0" w:color="auto"/>
            </w:tcBorders>
          </w:tcPr>
          <w:p w14:paraId="414B2F02" w14:textId="5AF1CAA0" w:rsidR="0070287B" w:rsidRPr="00D361E1" w:rsidRDefault="0070287B" w:rsidP="00AF53F7">
            <w:pPr>
              <w:jc w:val="center"/>
              <w:rPr>
                <w:rFonts w:eastAsia="Times New Roman" w:cs="Times New Roman"/>
                <w:i w:val="0"/>
                <w:iCs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53%</w:t>
            </w:r>
          </w:p>
        </w:tc>
        <w:tc>
          <w:tcPr>
            <w:tcW w:w="690" w:type="dxa"/>
            <w:tcBorders>
              <w:bottom w:val="none" w:sz="0" w:space="0" w:color="auto"/>
            </w:tcBorders>
          </w:tcPr>
          <w:p w14:paraId="508B7527" w14:textId="68A0033A" w:rsidR="0070287B" w:rsidRPr="00D361E1" w:rsidRDefault="0070287B" w:rsidP="00AF53F7">
            <w:pPr>
              <w:jc w:val="center"/>
              <w:rPr>
                <w:rFonts w:eastAsia="Times New Roman" w:cs="Times New Roman"/>
                <w:i w:val="0"/>
                <w:iCs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24%</w:t>
            </w:r>
          </w:p>
        </w:tc>
        <w:tc>
          <w:tcPr>
            <w:tcW w:w="1126" w:type="dxa"/>
            <w:tcBorders>
              <w:bottom w:val="none" w:sz="0" w:space="0" w:color="auto"/>
            </w:tcBorders>
          </w:tcPr>
          <w:p w14:paraId="22C8DD23" w14:textId="2AAE49EE" w:rsidR="0070287B" w:rsidRPr="00D361E1" w:rsidRDefault="0070287B" w:rsidP="00AF53F7">
            <w:pPr>
              <w:jc w:val="center"/>
              <w:rPr>
                <w:rFonts w:eastAsia="Times New Roman" w:cs="Times New Roman"/>
                <w:i w:val="0"/>
                <w:iCs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7%</w:t>
            </w:r>
          </w:p>
        </w:tc>
      </w:tr>
      <w:tr w:rsidR="00D361E1" w:rsidRPr="00D361E1" w14:paraId="4A368BE9" w14:textId="0ED857F7" w:rsidTr="005E7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</w:trPr>
        <w:tc>
          <w:tcPr>
            <w:tcW w:w="3367" w:type="dxa"/>
            <w:tcBorders>
              <w:bottom w:val="none" w:sz="0" w:space="0" w:color="auto"/>
            </w:tcBorders>
            <w:noWrap/>
          </w:tcPr>
          <w:p w14:paraId="565EC243" w14:textId="72B18223" w:rsidR="0070287B" w:rsidRPr="00D361E1" w:rsidRDefault="0070287B" w:rsidP="00AF53F7">
            <w:pP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Raw materials availability</w:t>
            </w:r>
          </w:p>
        </w:tc>
        <w:tc>
          <w:tcPr>
            <w:tcW w:w="792" w:type="dxa"/>
            <w:tcBorders>
              <w:bottom w:val="none" w:sz="0" w:space="0" w:color="auto"/>
            </w:tcBorders>
            <w:noWrap/>
            <w:hideMark/>
          </w:tcPr>
          <w:p w14:paraId="0C4F56FD" w14:textId="556E545D" w:rsidR="0070287B" w:rsidRPr="00D361E1" w:rsidRDefault="0070287B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26%</w:t>
            </w:r>
          </w:p>
        </w:tc>
        <w:tc>
          <w:tcPr>
            <w:tcW w:w="1040" w:type="dxa"/>
            <w:tcBorders>
              <w:bottom w:val="none" w:sz="0" w:space="0" w:color="auto"/>
            </w:tcBorders>
          </w:tcPr>
          <w:p w14:paraId="37D851E7" w14:textId="22D16D60" w:rsidR="0070287B" w:rsidRPr="00D361E1" w:rsidRDefault="0070287B" w:rsidP="00AF53F7">
            <w:pPr>
              <w:jc w:val="center"/>
              <w:rPr>
                <w:rFonts w:eastAsia="Times New Roman" w:cs="Times New Roman"/>
                <w:i w:val="0"/>
                <w:iCs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20%</w:t>
            </w:r>
          </w:p>
        </w:tc>
        <w:tc>
          <w:tcPr>
            <w:tcW w:w="690" w:type="dxa"/>
            <w:tcBorders>
              <w:bottom w:val="none" w:sz="0" w:space="0" w:color="auto"/>
            </w:tcBorders>
          </w:tcPr>
          <w:p w14:paraId="3520C587" w14:textId="369A3CCB" w:rsidR="0070287B" w:rsidRPr="00D361E1" w:rsidRDefault="0070287B" w:rsidP="00AF53F7">
            <w:pPr>
              <w:jc w:val="center"/>
              <w:rPr>
                <w:rFonts w:eastAsia="Times New Roman" w:cs="Times New Roman"/>
                <w:i w:val="0"/>
                <w:iCs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52%</w:t>
            </w:r>
          </w:p>
        </w:tc>
        <w:tc>
          <w:tcPr>
            <w:tcW w:w="1126" w:type="dxa"/>
            <w:tcBorders>
              <w:bottom w:val="none" w:sz="0" w:space="0" w:color="auto"/>
            </w:tcBorders>
          </w:tcPr>
          <w:p w14:paraId="1CB366D0" w14:textId="6816D24F" w:rsidR="0070287B" w:rsidRPr="00D361E1" w:rsidRDefault="0070287B" w:rsidP="00AF53F7">
            <w:pPr>
              <w:jc w:val="center"/>
              <w:rPr>
                <w:rFonts w:eastAsia="Times New Roman" w:cs="Times New Roman"/>
                <w:i w:val="0"/>
                <w:iCs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2%</w:t>
            </w:r>
          </w:p>
        </w:tc>
      </w:tr>
      <w:tr w:rsidR="00D361E1" w:rsidRPr="00D361E1" w14:paraId="01AFA295" w14:textId="297C095D" w:rsidTr="005E7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</w:trPr>
        <w:tc>
          <w:tcPr>
            <w:tcW w:w="3367" w:type="dxa"/>
            <w:tcBorders>
              <w:bottom w:val="none" w:sz="0" w:space="0" w:color="auto"/>
            </w:tcBorders>
            <w:noWrap/>
          </w:tcPr>
          <w:p w14:paraId="29A24090" w14:textId="323FD708" w:rsidR="0070287B" w:rsidRPr="00D361E1" w:rsidRDefault="0070287B" w:rsidP="00AF53F7">
            <w:pP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Domestic supplier issues</w:t>
            </w:r>
          </w:p>
        </w:tc>
        <w:tc>
          <w:tcPr>
            <w:tcW w:w="792" w:type="dxa"/>
            <w:tcBorders>
              <w:bottom w:val="none" w:sz="0" w:space="0" w:color="auto"/>
            </w:tcBorders>
            <w:noWrap/>
            <w:hideMark/>
          </w:tcPr>
          <w:p w14:paraId="5093A2C3" w14:textId="228AD6AB" w:rsidR="0070287B" w:rsidRPr="00D361E1" w:rsidRDefault="0070287B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22%</w:t>
            </w:r>
          </w:p>
        </w:tc>
        <w:tc>
          <w:tcPr>
            <w:tcW w:w="1040" w:type="dxa"/>
            <w:tcBorders>
              <w:bottom w:val="none" w:sz="0" w:space="0" w:color="auto"/>
            </w:tcBorders>
          </w:tcPr>
          <w:p w14:paraId="013B4939" w14:textId="7BF24759" w:rsidR="0070287B" w:rsidRPr="00D361E1" w:rsidRDefault="0070287B" w:rsidP="00AF53F7">
            <w:pPr>
              <w:jc w:val="center"/>
              <w:rPr>
                <w:rFonts w:eastAsia="Times New Roman" w:cs="Times New Roman"/>
                <w:i w:val="0"/>
                <w:iCs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24%</w:t>
            </w:r>
          </w:p>
        </w:tc>
        <w:tc>
          <w:tcPr>
            <w:tcW w:w="690" w:type="dxa"/>
            <w:tcBorders>
              <w:bottom w:val="none" w:sz="0" w:space="0" w:color="auto"/>
            </w:tcBorders>
          </w:tcPr>
          <w:p w14:paraId="42E37A70" w14:textId="65E830DC" w:rsidR="0070287B" w:rsidRPr="00D361E1" w:rsidRDefault="0070287B" w:rsidP="00AF53F7">
            <w:pPr>
              <w:jc w:val="center"/>
              <w:rPr>
                <w:rFonts w:eastAsia="Times New Roman" w:cs="Times New Roman"/>
                <w:i w:val="0"/>
                <w:iCs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52%</w:t>
            </w:r>
          </w:p>
        </w:tc>
        <w:tc>
          <w:tcPr>
            <w:tcW w:w="1126" w:type="dxa"/>
            <w:tcBorders>
              <w:bottom w:val="none" w:sz="0" w:space="0" w:color="auto"/>
            </w:tcBorders>
          </w:tcPr>
          <w:p w14:paraId="167FF96C" w14:textId="404E072C" w:rsidR="0070287B" w:rsidRPr="00D361E1" w:rsidRDefault="00691A35" w:rsidP="00AF53F7">
            <w:pPr>
              <w:jc w:val="center"/>
              <w:rPr>
                <w:rFonts w:eastAsia="Times New Roman" w:cs="Times New Roman"/>
                <w:i w:val="0"/>
                <w:iCs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2%</w:t>
            </w:r>
          </w:p>
        </w:tc>
      </w:tr>
      <w:tr w:rsidR="00D361E1" w:rsidRPr="00D361E1" w14:paraId="5C41EA55" w14:textId="46906665" w:rsidTr="005E7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</w:trPr>
        <w:tc>
          <w:tcPr>
            <w:tcW w:w="3367" w:type="dxa"/>
            <w:tcBorders>
              <w:bottom w:val="none" w:sz="0" w:space="0" w:color="auto"/>
            </w:tcBorders>
            <w:noWrap/>
          </w:tcPr>
          <w:p w14:paraId="49FCD34B" w14:textId="184C44B7" w:rsidR="0070287B" w:rsidRPr="00D361E1" w:rsidRDefault="00691A35" w:rsidP="00AF53F7">
            <w:pP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Overseas supplier issues</w:t>
            </w:r>
          </w:p>
        </w:tc>
        <w:tc>
          <w:tcPr>
            <w:tcW w:w="792" w:type="dxa"/>
            <w:tcBorders>
              <w:bottom w:val="none" w:sz="0" w:space="0" w:color="auto"/>
            </w:tcBorders>
            <w:noWrap/>
            <w:hideMark/>
          </w:tcPr>
          <w:p w14:paraId="0342C1B0" w14:textId="06236E54" w:rsidR="0070287B" w:rsidRPr="00D361E1" w:rsidRDefault="00691A35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12</w:t>
            </w:r>
            <w:r w:rsidR="0070287B"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%</w:t>
            </w:r>
          </w:p>
        </w:tc>
        <w:tc>
          <w:tcPr>
            <w:tcW w:w="1040" w:type="dxa"/>
            <w:tcBorders>
              <w:bottom w:val="none" w:sz="0" w:space="0" w:color="auto"/>
            </w:tcBorders>
          </w:tcPr>
          <w:p w14:paraId="4D67F41F" w14:textId="57CAA856" w:rsidR="0070287B" w:rsidRPr="00D361E1" w:rsidRDefault="00691A35" w:rsidP="00AF53F7">
            <w:pPr>
              <w:jc w:val="center"/>
              <w:rPr>
                <w:rFonts w:eastAsia="Times New Roman" w:cs="Times New Roman"/>
                <w:i w:val="0"/>
                <w:iCs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19%</w:t>
            </w:r>
          </w:p>
        </w:tc>
        <w:tc>
          <w:tcPr>
            <w:tcW w:w="690" w:type="dxa"/>
            <w:tcBorders>
              <w:bottom w:val="none" w:sz="0" w:space="0" w:color="auto"/>
            </w:tcBorders>
          </w:tcPr>
          <w:p w14:paraId="550862F3" w14:textId="7054F1C7" w:rsidR="0070287B" w:rsidRPr="00D361E1" w:rsidRDefault="00691A35" w:rsidP="00AF53F7">
            <w:pPr>
              <w:jc w:val="center"/>
              <w:rPr>
                <w:rFonts w:eastAsia="Times New Roman" w:cs="Times New Roman"/>
                <w:i w:val="0"/>
                <w:iCs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50%</w:t>
            </w:r>
          </w:p>
        </w:tc>
        <w:tc>
          <w:tcPr>
            <w:tcW w:w="1126" w:type="dxa"/>
            <w:tcBorders>
              <w:bottom w:val="none" w:sz="0" w:space="0" w:color="auto"/>
            </w:tcBorders>
          </w:tcPr>
          <w:p w14:paraId="2CB51971" w14:textId="70DC9585" w:rsidR="0070287B" w:rsidRPr="00D361E1" w:rsidRDefault="00691A35" w:rsidP="00AF53F7">
            <w:pPr>
              <w:jc w:val="center"/>
              <w:rPr>
                <w:rFonts w:eastAsia="Times New Roman" w:cs="Times New Roman"/>
                <w:i w:val="0"/>
                <w:iCs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19%</w:t>
            </w:r>
          </w:p>
        </w:tc>
      </w:tr>
      <w:tr w:rsidR="00D361E1" w:rsidRPr="00D361E1" w14:paraId="147BE035" w14:textId="3A9DDB58" w:rsidTr="005E7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</w:trPr>
        <w:tc>
          <w:tcPr>
            <w:tcW w:w="3367" w:type="dxa"/>
            <w:tcBorders>
              <w:bottom w:val="none" w:sz="0" w:space="0" w:color="auto"/>
            </w:tcBorders>
            <w:noWrap/>
          </w:tcPr>
          <w:p w14:paraId="67C7B14B" w14:textId="2B2CAF1D" w:rsidR="0070287B" w:rsidRPr="00D361E1" w:rsidRDefault="00691A35" w:rsidP="00AF53F7">
            <w:pP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Labor issues at suppliers</w:t>
            </w:r>
          </w:p>
        </w:tc>
        <w:tc>
          <w:tcPr>
            <w:tcW w:w="792" w:type="dxa"/>
            <w:tcBorders>
              <w:bottom w:val="none" w:sz="0" w:space="0" w:color="auto"/>
            </w:tcBorders>
            <w:noWrap/>
            <w:hideMark/>
          </w:tcPr>
          <w:p w14:paraId="72E97218" w14:textId="6C46C838" w:rsidR="0070287B" w:rsidRPr="00D361E1" w:rsidRDefault="0070287B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8%</w:t>
            </w:r>
          </w:p>
        </w:tc>
        <w:tc>
          <w:tcPr>
            <w:tcW w:w="1040" w:type="dxa"/>
            <w:tcBorders>
              <w:bottom w:val="none" w:sz="0" w:space="0" w:color="auto"/>
            </w:tcBorders>
          </w:tcPr>
          <w:p w14:paraId="1E192AD0" w14:textId="6935FE41" w:rsidR="0070287B" w:rsidRPr="00D361E1" w:rsidRDefault="00691A35" w:rsidP="00AF53F7">
            <w:pPr>
              <w:jc w:val="center"/>
              <w:rPr>
                <w:rFonts w:eastAsia="Times New Roman" w:cs="Times New Roman"/>
                <w:i w:val="0"/>
                <w:iCs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21%</w:t>
            </w:r>
          </w:p>
        </w:tc>
        <w:tc>
          <w:tcPr>
            <w:tcW w:w="690" w:type="dxa"/>
            <w:tcBorders>
              <w:bottom w:val="none" w:sz="0" w:space="0" w:color="auto"/>
            </w:tcBorders>
          </w:tcPr>
          <w:p w14:paraId="5EC44DA5" w14:textId="125B24B2" w:rsidR="0070287B" w:rsidRPr="00D361E1" w:rsidRDefault="00691A35" w:rsidP="00AF53F7">
            <w:pPr>
              <w:jc w:val="center"/>
              <w:rPr>
                <w:rFonts w:eastAsia="Times New Roman" w:cs="Times New Roman"/>
                <w:i w:val="0"/>
                <w:iCs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64%</w:t>
            </w:r>
          </w:p>
        </w:tc>
        <w:tc>
          <w:tcPr>
            <w:tcW w:w="1126" w:type="dxa"/>
            <w:tcBorders>
              <w:bottom w:val="none" w:sz="0" w:space="0" w:color="auto"/>
            </w:tcBorders>
          </w:tcPr>
          <w:p w14:paraId="54F489E5" w14:textId="61A64506" w:rsidR="0070287B" w:rsidRPr="00D361E1" w:rsidRDefault="00691A35" w:rsidP="00AF53F7">
            <w:pPr>
              <w:jc w:val="center"/>
              <w:rPr>
                <w:rFonts w:eastAsia="Times New Roman" w:cs="Times New Roman"/>
                <w:i w:val="0"/>
                <w:iCs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7%</w:t>
            </w:r>
          </w:p>
        </w:tc>
      </w:tr>
      <w:tr w:rsidR="00D361E1" w:rsidRPr="00D361E1" w14:paraId="56B3A81E" w14:textId="445B089B" w:rsidTr="005E7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</w:trPr>
        <w:tc>
          <w:tcPr>
            <w:tcW w:w="3367" w:type="dxa"/>
            <w:tcBorders>
              <w:bottom w:val="none" w:sz="0" w:space="0" w:color="auto"/>
            </w:tcBorders>
            <w:noWrap/>
          </w:tcPr>
          <w:p w14:paraId="6F5513F0" w14:textId="6D48AFF9" w:rsidR="0070287B" w:rsidRPr="00D361E1" w:rsidRDefault="00691A35" w:rsidP="00AF53F7">
            <w:pP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Transportation/Logistic issues</w:t>
            </w:r>
          </w:p>
        </w:tc>
        <w:tc>
          <w:tcPr>
            <w:tcW w:w="792" w:type="dxa"/>
            <w:tcBorders>
              <w:bottom w:val="none" w:sz="0" w:space="0" w:color="auto"/>
            </w:tcBorders>
            <w:noWrap/>
            <w:hideMark/>
          </w:tcPr>
          <w:p w14:paraId="2DEAD15B" w14:textId="61ADA17D" w:rsidR="0070287B" w:rsidRPr="00D361E1" w:rsidRDefault="00691A35" w:rsidP="00AF53F7">
            <w:pPr>
              <w:jc w:val="center"/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10</w:t>
            </w:r>
            <w:r w:rsidR="0070287B" w:rsidRPr="00D361E1">
              <w:rPr>
                <w:rFonts w:asciiTheme="minorHAnsi" w:eastAsia="Times New Roman" w:hAnsiTheme="minorHAnsi" w:cs="Times New Roman"/>
                <w:i w:val="0"/>
                <w:sz w:val="18"/>
                <w:szCs w:val="18"/>
              </w:rPr>
              <w:t>%</w:t>
            </w:r>
          </w:p>
        </w:tc>
        <w:tc>
          <w:tcPr>
            <w:tcW w:w="1040" w:type="dxa"/>
            <w:tcBorders>
              <w:bottom w:val="none" w:sz="0" w:space="0" w:color="auto"/>
            </w:tcBorders>
          </w:tcPr>
          <w:p w14:paraId="0CAAC277" w14:textId="6812477D" w:rsidR="0070287B" w:rsidRPr="00D361E1" w:rsidRDefault="00691A35" w:rsidP="00AF53F7">
            <w:pPr>
              <w:jc w:val="center"/>
              <w:rPr>
                <w:rFonts w:eastAsia="Times New Roman" w:cs="Times New Roman"/>
                <w:i w:val="0"/>
                <w:iCs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25%</w:t>
            </w:r>
          </w:p>
        </w:tc>
        <w:tc>
          <w:tcPr>
            <w:tcW w:w="690" w:type="dxa"/>
            <w:tcBorders>
              <w:bottom w:val="none" w:sz="0" w:space="0" w:color="auto"/>
            </w:tcBorders>
          </w:tcPr>
          <w:p w14:paraId="56ECA02D" w14:textId="6EDF751C" w:rsidR="0070287B" w:rsidRPr="00D361E1" w:rsidRDefault="00691A35" w:rsidP="00AF53F7">
            <w:pPr>
              <w:jc w:val="center"/>
              <w:rPr>
                <w:rFonts w:eastAsia="Times New Roman" w:cs="Times New Roman"/>
                <w:i w:val="0"/>
                <w:iCs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60%</w:t>
            </w:r>
          </w:p>
        </w:tc>
        <w:tc>
          <w:tcPr>
            <w:tcW w:w="1126" w:type="dxa"/>
            <w:tcBorders>
              <w:bottom w:val="none" w:sz="0" w:space="0" w:color="auto"/>
            </w:tcBorders>
          </w:tcPr>
          <w:p w14:paraId="73660A28" w14:textId="076204AA" w:rsidR="0070287B" w:rsidRPr="00D361E1" w:rsidRDefault="00691A35" w:rsidP="00AF53F7">
            <w:pPr>
              <w:jc w:val="center"/>
              <w:rPr>
                <w:rFonts w:eastAsia="Times New Roman" w:cs="Times New Roman"/>
                <w:i w:val="0"/>
                <w:iCs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5%</w:t>
            </w:r>
          </w:p>
        </w:tc>
      </w:tr>
      <w:tr w:rsidR="00D361E1" w:rsidRPr="00D361E1" w14:paraId="73B3067B" w14:textId="2CA0974B" w:rsidTr="005E7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</w:trPr>
        <w:tc>
          <w:tcPr>
            <w:tcW w:w="3367" w:type="dxa"/>
            <w:tcBorders>
              <w:bottom w:val="none" w:sz="0" w:space="0" w:color="auto"/>
            </w:tcBorders>
            <w:noWrap/>
          </w:tcPr>
          <w:p w14:paraId="17E2213A" w14:textId="40D462EA" w:rsidR="0070287B" w:rsidRPr="00D361E1" w:rsidRDefault="00691A35" w:rsidP="00AF53F7">
            <w:pP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COVID-19 issues</w:t>
            </w:r>
          </w:p>
        </w:tc>
        <w:tc>
          <w:tcPr>
            <w:tcW w:w="792" w:type="dxa"/>
            <w:tcBorders>
              <w:bottom w:val="none" w:sz="0" w:space="0" w:color="auto"/>
            </w:tcBorders>
            <w:noWrap/>
          </w:tcPr>
          <w:p w14:paraId="592175DA" w14:textId="38749CA6" w:rsidR="0070287B" w:rsidRPr="00D361E1" w:rsidRDefault="00691A35" w:rsidP="00AF53F7">
            <w:pPr>
              <w:jc w:val="center"/>
              <w:rPr>
                <w:rFonts w:eastAsia="Times New Roman" w:cs="Times New Roman"/>
                <w:i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sz w:val="18"/>
                <w:szCs w:val="18"/>
              </w:rPr>
              <w:t>37</w:t>
            </w:r>
            <w:r w:rsidR="0070287B" w:rsidRPr="00D361E1">
              <w:rPr>
                <w:rFonts w:eastAsia="Times New Roman" w:cs="Times New Roman"/>
                <w:i w:val="0"/>
                <w:sz w:val="18"/>
                <w:szCs w:val="18"/>
              </w:rPr>
              <w:t>%</w:t>
            </w:r>
          </w:p>
        </w:tc>
        <w:tc>
          <w:tcPr>
            <w:tcW w:w="1040" w:type="dxa"/>
            <w:tcBorders>
              <w:bottom w:val="none" w:sz="0" w:space="0" w:color="auto"/>
            </w:tcBorders>
          </w:tcPr>
          <w:p w14:paraId="4205E589" w14:textId="790B5234" w:rsidR="0070287B" w:rsidRPr="00D361E1" w:rsidRDefault="00691A35" w:rsidP="00AF53F7">
            <w:pPr>
              <w:jc w:val="center"/>
              <w:rPr>
                <w:rFonts w:eastAsia="Times New Roman" w:cs="Times New Roman"/>
                <w:i w:val="0"/>
                <w:iCs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37%</w:t>
            </w:r>
          </w:p>
        </w:tc>
        <w:tc>
          <w:tcPr>
            <w:tcW w:w="690" w:type="dxa"/>
            <w:tcBorders>
              <w:bottom w:val="none" w:sz="0" w:space="0" w:color="auto"/>
            </w:tcBorders>
          </w:tcPr>
          <w:p w14:paraId="2D63A753" w14:textId="69379CAE" w:rsidR="0070287B" w:rsidRPr="00D361E1" w:rsidRDefault="00691A35" w:rsidP="00AF53F7">
            <w:pPr>
              <w:jc w:val="center"/>
              <w:rPr>
                <w:rFonts w:eastAsia="Times New Roman" w:cs="Times New Roman"/>
                <w:i w:val="0"/>
                <w:iCs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10%</w:t>
            </w:r>
          </w:p>
        </w:tc>
        <w:tc>
          <w:tcPr>
            <w:tcW w:w="1126" w:type="dxa"/>
            <w:tcBorders>
              <w:bottom w:val="none" w:sz="0" w:space="0" w:color="auto"/>
            </w:tcBorders>
          </w:tcPr>
          <w:p w14:paraId="27D8EE57" w14:textId="7E067D3E" w:rsidR="0070287B" w:rsidRPr="00D361E1" w:rsidRDefault="00691A35" w:rsidP="00AF53F7">
            <w:pPr>
              <w:jc w:val="center"/>
              <w:rPr>
                <w:rFonts w:eastAsia="Times New Roman" w:cs="Times New Roman"/>
                <w:i w:val="0"/>
                <w:iCs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17%</w:t>
            </w:r>
          </w:p>
        </w:tc>
      </w:tr>
      <w:tr w:rsidR="00D361E1" w:rsidRPr="00D361E1" w14:paraId="080AB8DB" w14:textId="483C4E21" w:rsidTr="005E7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</w:trPr>
        <w:tc>
          <w:tcPr>
            <w:tcW w:w="3367" w:type="dxa"/>
            <w:tcBorders>
              <w:bottom w:val="none" w:sz="0" w:space="0" w:color="auto"/>
            </w:tcBorders>
            <w:noWrap/>
          </w:tcPr>
          <w:p w14:paraId="6E9842FD" w14:textId="409BE98D" w:rsidR="0070287B" w:rsidRPr="00D361E1" w:rsidRDefault="00691A35" w:rsidP="00AF53F7">
            <w:pP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Software malfunction</w:t>
            </w:r>
          </w:p>
        </w:tc>
        <w:tc>
          <w:tcPr>
            <w:tcW w:w="792" w:type="dxa"/>
            <w:tcBorders>
              <w:bottom w:val="none" w:sz="0" w:space="0" w:color="auto"/>
            </w:tcBorders>
            <w:noWrap/>
          </w:tcPr>
          <w:p w14:paraId="624EE742" w14:textId="2E5D5462" w:rsidR="0070287B" w:rsidRPr="00D361E1" w:rsidRDefault="00691A35" w:rsidP="00AF53F7">
            <w:pPr>
              <w:jc w:val="center"/>
              <w:rPr>
                <w:rFonts w:eastAsia="Times New Roman" w:cs="Times New Roman"/>
                <w:i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sz w:val="18"/>
                <w:szCs w:val="18"/>
              </w:rPr>
              <w:t>2</w:t>
            </w:r>
            <w:r w:rsidR="0070287B" w:rsidRPr="00D361E1">
              <w:rPr>
                <w:rFonts w:eastAsia="Times New Roman" w:cs="Times New Roman"/>
                <w:i w:val="0"/>
                <w:sz w:val="18"/>
                <w:szCs w:val="18"/>
              </w:rPr>
              <w:t>%</w:t>
            </w:r>
          </w:p>
        </w:tc>
        <w:tc>
          <w:tcPr>
            <w:tcW w:w="1040" w:type="dxa"/>
            <w:tcBorders>
              <w:bottom w:val="none" w:sz="0" w:space="0" w:color="auto"/>
            </w:tcBorders>
          </w:tcPr>
          <w:p w14:paraId="73907C8B" w14:textId="299C9C9E" w:rsidR="0070287B" w:rsidRPr="00D361E1" w:rsidRDefault="00691A35" w:rsidP="00AF53F7">
            <w:pPr>
              <w:jc w:val="center"/>
              <w:rPr>
                <w:rFonts w:eastAsia="Times New Roman" w:cs="Times New Roman"/>
                <w:i w:val="0"/>
                <w:iCs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52%</w:t>
            </w:r>
          </w:p>
        </w:tc>
        <w:tc>
          <w:tcPr>
            <w:tcW w:w="690" w:type="dxa"/>
            <w:tcBorders>
              <w:bottom w:val="none" w:sz="0" w:space="0" w:color="auto"/>
            </w:tcBorders>
          </w:tcPr>
          <w:p w14:paraId="002F4391" w14:textId="1114B905" w:rsidR="0070287B" w:rsidRPr="00D361E1" w:rsidRDefault="00691A35" w:rsidP="00AF53F7">
            <w:pPr>
              <w:jc w:val="center"/>
              <w:rPr>
                <w:rFonts w:eastAsia="Times New Roman" w:cs="Times New Roman"/>
                <w:i w:val="0"/>
                <w:iCs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8%</w:t>
            </w:r>
          </w:p>
        </w:tc>
        <w:tc>
          <w:tcPr>
            <w:tcW w:w="1126" w:type="dxa"/>
            <w:tcBorders>
              <w:bottom w:val="none" w:sz="0" w:space="0" w:color="auto"/>
            </w:tcBorders>
          </w:tcPr>
          <w:p w14:paraId="4C8E2F9D" w14:textId="52DBDDDC" w:rsidR="0070287B" w:rsidRPr="00D361E1" w:rsidRDefault="00691A35" w:rsidP="00AF53F7">
            <w:pPr>
              <w:jc w:val="center"/>
              <w:rPr>
                <w:rFonts w:eastAsia="Times New Roman" w:cs="Times New Roman"/>
                <w:i w:val="0"/>
                <w:iCs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38%</w:t>
            </w:r>
          </w:p>
        </w:tc>
      </w:tr>
      <w:tr w:rsidR="00D361E1" w:rsidRPr="00D361E1" w14:paraId="7087C038" w14:textId="05C57BE5" w:rsidTr="005E71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44"/>
          <w:tblHeader/>
        </w:trPr>
        <w:tc>
          <w:tcPr>
            <w:tcW w:w="3367" w:type="dxa"/>
            <w:tcBorders>
              <w:bottom w:val="none" w:sz="0" w:space="0" w:color="auto"/>
            </w:tcBorders>
            <w:noWrap/>
          </w:tcPr>
          <w:p w14:paraId="3E38E833" w14:textId="428C2599" w:rsidR="0070287B" w:rsidRPr="00D361E1" w:rsidRDefault="00691A35" w:rsidP="00AF53F7">
            <w:pPr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</w:pPr>
            <w:r w:rsidRPr="00D361E1">
              <w:rPr>
                <w:rFonts w:asciiTheme="minorHAnsi" w:eastAsia="Times New Roman" w:hAnsiTheme="minorHAnsi" w:cstheme="minorHAnsi"/>
                <w:i w:val="0"/>
                <w:sz w:val="18"/>
                <w:szCs w:val="18"/>
              </w:rPr>
              <w:t>Other*</w:t>
            </w:r>
          </w:p>
        </w:tc>
        <w:tc>
          <w:tcPr>
            <w:tcW w:w="792" w:type="dxa"/>
            <w:tcBorders>
              <w:bottom w:val="none" w:sz="0" w:space="0" w:color="auto"/>
            </w:tcBorders>
            <w:noWrap/>
          </w:tcPr>
          <w:p w14:paraId="2830BB22" w14:textId="13C45C06" w:rsidR="0070287B" w:rsidRPr="00D361E1" w:rsidRDefault="00691A35" w:rsidP="00AF53F7">
            <w:pPr>
              <w:jc w:val="center"/>
              <w:rPr>
                <w:rFonts w:eastAsia="Times New Roman" w:cs="Times New Roman"/>
                <w:i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sz w:val="18"/>
                <w:szCs w:val="18"/>
              </w:rPr>
              <w:t>35</w:t>
            </w:r>
            <w:r w:rsidR="0070287B" w:rsidRPr="00D361E1">
              <w:rPr>
                <w:rFonts w:eastAsia="Times New Roman" w:cs="Times New Roman"/>
                <w:i w:val="0"/>
                <w:sz w:val="18"/>
                <w:szCs w:val="18"/>
              </w:rPr>
              <w:t>%</w:t>
            </w:r>
          </w:p>
        </w:tc>
        <w:tc>
          <w:tcPr>
            <w:tcW w:w="1040" w:type="dxa"/>
            <w:tcBorders>
              <w:bottom w:val="none" w:sz="0" w:space="0" w:color="auto"/>
            </w:tcBorders>
          </w:tcPr>
          <w:p w14:paraId="6665D61A" w14:textId="04F2481B" w:rsidR="0070287B" w:rsidRPr="00D361E1" w:rsidRDefault="00691A35" w:rsidP="00AF53F7">
            <w:pPr>
              <w:jc w:val="center"/>
              <w:rPr>
                <w:rFonts w:eastAsia="Times New Roman" w:cs="Times New Roman"/>
                <w:i w:val="0"/>
                <w:iCs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10%</w:t>
            </w:r>
          </w:p>
        </w:tc>
        <w:tc>
          <w:tcPr>
            <w:tcW w:w="690" w:type="dxa"/>
            <w:tcBorders>
              <w:bottom w:val="none" w:sz="0" w:space="0" w:color="auto"/>
            </w:tcBorders>
          </w:tcPr>
          <w:p w14:paraId="171CB622" w14:textId="40D35825" w:rsidR="0070287B" w:rsidRPr="00D361E1" w:rsidRDefault="00691A35" w:rsidP="00AF53F7">
            <w:pPr>
              <w:jc w:val="center"/>
              <w:rPr>
                <w:rFonts w:eastAsia="Times New Roman" w:cs="Times New Roman"/>
                <w:i w:val="0"/>
                <w:iCs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30%</w:t>
            </w:r>
          </w:p>
        </w:tc>
        <w:tc>
          <w:tcPr>
            <w:tcW w:w="1126" w:type="dxa"/>
            <w:tcBorders>
              <w:bottom w:val="none" w:sz="0" w:space="0" w:color="auto"/>
            </w:tcBorders>
          </w:tcPr>
          <w:p w14:paraId="042EBC37" w14:textId="79E55B1F" w:rsidR="0070287B" w:rsidRPr="00D361E1" w:rsidRDefault="00691A35" w:rsidP="00AF53F7">
            <w:pPr>
              <w:jc w:val="center"/>
              <w:rPr>
                <w:rFonts w:eastAsia="Times New Roman" w:cs="Times New Roman"/>
                <w:i w:val="0"/>
                <w:iCs w:val="0"/>
                <w:sz w:val="18"/>
                <w:szCs w:val="18"/>
              </w:rPr>
            </w:pPr>
            <w:r w:rsidRPr="00D361E1">
              <w:rPr>
                <w:rFonts w:eastAsia="Times New Roman" w:cs="Times New Roman"/>
                <w:i w:val="0"/>
                <w:iCs w:val="0"/>
                <w:sz w:val="18"/>
                <w:szCs w:val="18"/>
              </w:rPr>
              <w:t>25%</w:t>
            </w:r>
          </w:p>
        </w:tc>
      </w:tr>
    </w:tbl>
    <w:p w14:paraId="555059D3" w14:textId="33510FF1" w:rsidR="006F3359" w:rsidRPr="00743C82" w:rsidRDefault="00417D5F" w:rsidP="00162FEF">
      <w:pPr>
        <w:spacing w:after="0" w:line="240" w:lineRule="auto"/>
        <w:rPr>
          <w:sz w:val="14"/>
          <w:szCs w:val="14"/>
        </w:rPr>
      </w:pPr>
      <w:r w:rsidRPr="00417D5F">
        <w:rPr>
          <w:sz w:val="14"/>
          <w:szCs w:val="14"/>
        </w:rPr>
        <w:t>** Other includes chip shortages, China tariffs and over-regulation.</w:t>
      </w:r>
      <w:r>
        <w:rPr>
          <w:sz w:val="14"/>
          <w:szCs w:val="14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75"/>
        <w:gridCol w:w="881"/>
      </w:tblGrid>
      <w:tr w:rsidR="00A50BF3" w:rsidRPr="00A50BF3" w14:paraId="403E5DAD" w14:textId="77777777" w:rsidTr="00A50BF3">
        <w:tc>
          <w:tcPr>
            <w:tcW w:w="2875" w:type="dxa"/>
            <w:shd w:val="clear" w:color="auto" w:fill="BDD6EE" w:themeFill="accent1" w:themeFillTint="66"/>
          </w:tcPr>
          <w:p w14:paraId="7FA89F45" w14:textId="4DE07D4F" w:rsidR="00A50BF3" w:rsidRPr="00A50BF3" w:rsidRDefault="00A50BF3" w:rsidP="00162FEF">
            <w:pPr>
              <w:rPr>
                <w:b/>
                <w:bCs/>
                <w:sz w:val="18"/>
                <w:szCs w:val="18"/>
              </w:rPr>
            </w:pPr>
            <w:r w:rsidRPr="00A50BF3">
              <w:rPr>
                <w:b/>
                <w:bCs/>
                <w:sz w:val="18"/>
                <w:szCs w:val="18"/>
              </w:rPr>
              <w:t>Business Ownership</w:t>
            </w:r>
          </w:p>
        </w:tc>
        <w:tc>
          <w:tcPr>
            <w:tcW w:w="810" w:type="dxa"/>
            <w:shd w:val="clear" w:color="auto" w:fill="BDD6EE" w:themeFill="accent1" w:themeFillTint="66"/>
          </w:tcPr>
          <w:p w14:paraId="02F3061E" w14:textId="37270767" w:rsidR="00A50BF3" w:rsidRPr="00A50BF3" w:rsidRDefault="00A50BF3" w:rsidP="00A50BF3">
            <w:pPr>
              <w:jc w:val="center"/>
              <w:rPr>
                <w:b/>
                <w:bCs/>
                <w:sz w:val="18"/>
                <w:szCs w:val="18"/>
              </w:rPr>
            </w:pPr>
            <w:r w:rsidRPr="00A50BF3">
              <w:rPr>
                <w:b/>
                <w:bCs/>
                <w:sz w:val="18"/>
                <w:szCs w:val="18"/>
              </w:rPr>
              <w:t>Percent</w:t>
            </w:r>
            <w:r w:rsidR="00E009AD">
              <w:rPr>
                <w:b/>
                <w:bCs/>
                <w:sz w:val="18"/>
                <w:szCs w:val="18"/>
              </w:rPr>
              <w:t>*</w:t>
            </w:r>
          </w:p>
        </w:tc>
      </w:tr>
      <w:tr w:rsidR="00A50BF3" w:rsidRPr="00A50BF3" w14:paraId="4E874E79" w14:textId="77777777" w:rsidTr="00A50BF3">
        <w:tc>
          <w:tcPr>
            <w:tcW w:w="2875" w:type="dxa"/>
          </w:tcPr>
          <w:p w14:paraId="339C9935" w14:textId="53356B23" w:rsidR="00A50BF3" w:rsidRPr="00A50BF3" w:rsidRDefault="00A50BF3" w:rsidP="00162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Minority-owned </w:t>
            </w:r>
          </w:p>
        </w:tc>
        <w:tc>
          <w:tcPr>
            <w:tcW w:w="810" w:type="dxa"/>
          </w:tcPr>
          <w:p w14:paraId="19AE4B31" w14:textId="3C63409C" w:rsidR="00A50BF3" w:rsidRPr="00A50BF3" w:rsidRDefault="00A50BF3" w:rsidP="00743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2%</w:t>
            </w:r>
          </w:p>
        </w:tc>
      </w:tr>
      <w:tr w:rsidR="00A50BF3" w:rsidRPr="00A50BF3" w14:paraId="560FB257" w14:textId="77777777" w:rsidTr="00A50BF3">
        <w:tc>
          <w:tcPr>
            <w:tcW w:w="2875" w:type="dxa"/>
          </w:tcPr>
          <w:p w14:paraId="37DA5039" w14:textId="527A9C86" w:rsidR="00A50BF3" w:rsidRPr="00A50BF3" w:rsidRDefault="00A50BF3" w:rsidP="00162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Veteran-owned</w:t>
            </w:r>
          </w:p>
        </w:tc>
        <w:tc>
          <w:tcPr>
            <w:tcW w:w="810" w:type="dxa"/>
          </w:tcPr>
          <w:p w14:paraId="4D44737F" w14:textId="065720EC" w:rsidR="00A50BF3" w:rsidRPr="00A50BF3" w:rsidRDefault="00A50BF3" w:rsidP="00743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4%</w:t>
            </w:r>
          </w:p>
        </w:tc>
      </w:tr>
      <w:tr w:rsidR="00A50BF3" w:rsidRPr="00A50BF3" w14:paraId="5AD001D4" w14:textId="77777777" w:rsidTr="00A50BF3">
        <w:tc>
          <w:tcPr>
            <w:tcW w:w="2875" w:type="dxa"/>
          </w:tcPr>
          <w:p w14:paraId="3339A054" w14:textId="2476557F" w:rsidR="00A50BF3" w:rsidRPr="00A50BF3" w:rsidRDefault="00A50BF3" w:rsidP="00162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Women-owned</w:t>
            </w:r>
          </w:p>
        </w:tc>
        <w:tc>
          <w:tcPr>
            <w:tcW w:w="810" w:type="dxa"/>
          </w:tcPr>
          <w:p w14:paraId="44C87F7F" w14:textId="40249CD2" w:rsidR="00A50BF3" w:rsidRPr="00A50BF3" w:rsidRDefault="00A50BF3" w:rsidP="00743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12%</w:t>
            </w:r>
          </w:p>
        </w:tc>
      </w:tr>
      <w:tr w:rsidR="00A50BF3" w:rsidRPr="00A50BF3" w14:paraId="67A97C0A" w14:textId="77777777" w:rsidTr="00A50BF3">
        <w:tc>
          <w:tcPr>
            <w:tcW w:w="2875" w:type="dxa"/>
          </w:tcPr>
          <w:p w14:paraId="78E301EC" w14:textId="599BEC53" w:rsidR="00A50BF3" w:rsidRPr="00A50BF3" w:rsidRDefault="00A50BF3" w:rsidP="00162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Prefer not to answer</w:t>
            </w:r>
          </w:p>
        </w:tc>
        <w:tc>
          <w:tcPr>
            <w:tcW w:w="810" w:type="dxa"/>
          </w:tcPr>
          <w:p w14:paraId="37CDA7C2" w14:textId="27D98314" w:rsidR="00A50BF3" w:rsidRPr="00A50BF3" w:rsidRDefault="00743C82" w:rsidP="00743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16%</w:t>
            </w:r>
          </w:p>
        </w:tc>
      </w:tr>
      <w:tr w:rsidR="00A50BF3" w:rsidRPr="00A50BF3" w14:paraId="2DF56E74" w14:textId="77777777" w:rsidTr="00A50BF3">
        <w:tc>
          <w:tcPr>
            <w:tcW w:w="2875" w:type="dxa"/>
          </w:tcPr>
          <w:p w14:paraId="6C087F2B" w14:textId="7B97A5AC" w:rsidR="00A50BF3" w:rsidRPr="00A50BF3" w:rsidRDefault="00743C82" w:rsidP="00162FE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None of the above</w:t>
            </w:r>
          </w:p>
        </w:tc>
        <w:tc>
          <w:tcPr>
            <w:tcW w:w="810" w:type="dxa"/>
          </w:tcPr>
          <w:p w14:paraId="1D039846" w14:textId="593076F9" w:rsidR="00A50BF3" w:rsidRPr="00A50BF3" w:rsidRDefault="00743C82" w:rsidP="00743C8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68%</w:t>
            </w:r>
          </w:p>
        </w:tc>
      </w:tr>
    </w:tbl>
    <w:p w14:paraId="475AFECE" w14:textId="477F9D3D" w:rsidR="00E009AD" w:rsidRPr="00E009AD" w:rsidRDefault="00E009AD" w:rsidP="00E009AD">
      <w:pPr>
        <w:spacing w:after="0" w:line="240" w:lineRule="auto"/>
        <w:rPr>
          <w:sz w:val="14"/>
          <w:szCs w:val="14"/>
        </w:rPr>
      </w:pPr>
      <w:r>
        <w:rPr>
          <w:sz w:val="14"/>
          <w:szCs w:val="14"/>
        </w:rPr>
        <w:t>*</w:t>
      </w:r>
      <w:r w:rsidRPr="00E009AD">
        <w:rPr>
          <w:sz w:val="14"/>
          <w:szCs w:val="14"/>
        </w:rPr>
        <w:t>Total does not add to 100</w:t>
      </w:r>
      <w:r>
        <w:rPr>
          <w:sz w:val="14"/>
          <w:szCs w:val="14"/>
        </w:rPr>
        <w:t>%</w:t>
      </w:r>
      <w:r w:rsidRPr="00E009AD">
        <w:rPr>
          <w:sz w:val="14"/>
          <w:szCs w:val="14"/>
        </w:rPr>
        <w:t xml:space="preserve"> because of multiple choice</w:t>
      </w:r>
      <w:r>
        <w:rPr>
          <w:sz w:val="14"/>
          <w:szCs w:val="14"/>
        </w:rPr>
        <w:t xml:space="preserve"> responses.</w:t>
      </w:r>
    </w:p>
    <w:p w14:paraId="2AAC82EA" w14:textId="77777777" w:rsidR="00E009AD" w:rsidRDefault="00E009AD" w:rsidP="00162FEF">
      <w:pPr>
        <w:spacing w:after="0" w:line="240" w:lineRule="auto"/>
        <w:rPr>
          <w:sz w:val="14"/>
          <w:szCs w:val="14"/>
        </w:rPr>
      </w:pPr>
    </w:p>
    <w:p w14:paraId="77BF32EE" w14:textId="44A03520" w:rsidR="008917AD" w:rsidRPr="00491368" w:rsidRDefault="002727C4" w:rsidP="00162FEF">
      <w:pPr>
        <w:spacing w:after="0" w:line="240" w:lineRule="auto"/>
        <w:rPr>
          <w:color w:val="FF0000"/>
          <w:sz w:val="14"/>
          <w:szCs w:val="14"/>
        </w:rPr>
      </w:pPr>
      <w:r w:rsidRPr="00877E6A">
        <w:rPr>
          <w:sz w:val="14"/>
          <w:szCs w:val="14"/>
        </w:rPr>
        <w:t xml:space="preserve">1) </w:t>
      </w:r>
      <w:r>
        <w:rPr>
          <w:sz w:val="14"/>
          <w:szCs w:val="14"/>
        </w:rPr>
        <w:t>Based on responses from 2</w:t>
      </w:r>
      <w:r w:rsidR="00691A35">
        <w:rPr>
          <w:sz w:val="14"/>
          <w:szCs w:val="14"/>
        </w:rPr>
        <w:t>30</w:t>
      </w:r>
      <w:r w:rsidRPr="009B7A08">
        <w:rPr>
          <w:sz w:val="14"/>
          <w:szCs w:val="14"/>
        </w:rPr>
        <w:t xml:space="preserve"> </w:t>
      </w:r>
      <w:r>
        <w:rPr>
          <w:sz w:val="14"/>
          <w:szCs w:val="14"/>
        </w:rPr>
        <w:t>Minnesota manufacturing firms, for a response rate of 2</w:t>
      </w:r>
      <w:r w:rsidR="00691A35">
        <w:rPr>
          <w:sz w:val="14"/>
          <w:szCs w:val="14"/>
        </w:rPr>
        <w:t>3</w:t>
      </w:r>
      <w:r>
        <w:rPr>
          <w:sz w:val="14"/>
          <w:szCs w:val="14"/>
        </w:rPr>
        <w:t>%</w:t>
      </w:r>
      <w:r w:rsidRPr="00877E6A">
        <w:rPr>
          <w:sz w:val="14"/>
          <w:szCs w:val="14"/>
        </w:rPr>
        <w:t xml:space="preserve">. </w:t>
      </w:r>
      <w:r w:rsidRPr="00D361E1">
        <w:rPr>
          <w:sz w:val="14"/>
          <w:szCs w:val="14"/>
        </w:rPr>
        <w:t xml:space="preserve">The sampling error is plus or minus </w:t>
      </w:r>
      <w:r w:rsidR="00D361E1">
        <w:rPr>
          <w:sz w:val="14"/>
          <w:szCs w:val="14"/>
        </w:rPr>
        <w:t>5.7</w:t>
      </w:r>
      <w:r w:rsidR="00D361E1" w:rsidRPr="00D361E1">
        <w:rPr>
          <w:sz w:val="14"/>
          <w:szCs w:val="14"/>
        </w:rPr>
        <w:t>%</w:t>
      </w:r>
      <w:r w:rsidRPr="00D361E1">
        <w:rPr>
          <w:sz w:val="14"/>
          <w:szCs w:val="14"/>
        </w:rPr>
        <w:t xml:space="preserve"> at a 95% confidence level. Percentages might not add up to 100% due to rounding. </w:t>
      </w:r>
      <w:r w:rsidRPr="00D361E1">
        <w:rPr>
          <w:sz w:val="14"/>
          <w:szCs w:val="14"/>
        </w:rPr>
        <w:br/>
      </w:r>
      <w:r w:rsidRPr="00877E6A">
        <w:rPr>
          <w:sz w:val="14"/>
          <w:szCs w:val="14"/>
        </w:rPr>
        <w:t xml:space="preserve">(2) A diffusion index greater than 50 indicates expansion, lower than 50 indicates contraction. </w:t>
      </w:r>
      <w:r w:rsidRPr="00877E6A">
        <w:rPr>
          <w:sz w:val="14"/>
          <w:szCs w:val="14"/>
        </w:rPr>
        <w:br/>
      </w:r>
    </w:p>
    <w:p w14:paraId="6F3B276B" w14:textId="05B7F059" w:rsidR="00491368" w:rsidRDefault="00491368" w:rsidP="00162FEF">
      <w:pPr>
        <w:spacing w:after="0" w:line="240" w:lineRule="auto"/>
      </w:pPr>
    </w:p>
    <w:p w14:paraId="7C8C4CD6" w14:textId="420A8B2F" w:rsidR="00491368" w:rsidRDefault="00491368" w:rsidP="00162FEF">
      <w:pPr>
        <w:spacing w:after="0" w:line="240" w:lineRule="auto"/>
      </w:pPr>
      <w:r w:rsidRPr="00491368">
        <w:rPr>
          <w:b/>
          <w:bCs/>
          <w:color w:val="2E74B5" w:themeColor="accent1" w:themeShade="BF"/>
        </w:rPr>
        <w:t>Comments</w:t>
      </w:r>
      <w:r w:rsidRPr="00491368">
        <w:rPr>
          <w:b/>
          <w:bCs/>
          <w:color w:val="2E74B5" w:themeColor="accent1" w:themeShade="BF"/>
          <w:sz w:val="24"/>
          <w:szCs w:val="24"/>
        </w:rPr>
        <w:br/>
      </w:r>
      <w:r>
        <w:t xml:space="preserve">Respondents were asked to provide additional comments. Key comments are show below </w:t>
      </w:r>
      <w:r w:rsidRPr="00491368">
        <w:rPr>
          <w:i/>
          <w:iCs/>
        </w:rPr>
        <w:t>verbatim</w:t>
      </w:r>
      <w:r>
        <w:t xml:space="preserve"> by category:</w:t>
      </w:r>
      <w:r w:rsidR="008C1E38">
        <w:br/>
      </w:r>
    </w:p>
    <w:p w14:paraId="6474F606" w14:textId="760F33E5" w:rsidR="00491368" w:rsidRDefault="00491368" w:rsidP="00162FEF">
      <w:pPr>
        <w:spacing w:after="0" w:line="240" w:lineRule="auto"/>
      </w:pPr>
    </w:p>
    <w:p w14:paraId="781E3235" w14:textId="77777777" w:rsidR="0051765D" w:rsidRDefault="0051765D" w:rsidP="00162FEF">
      <w:pPr>
        <w:spacing w:after="0" w:line="240" w:lineRule="auto"/>
        <w:rPr>
          <w:b/>
          <w:bCs/>
          <w:color w:val="2E74B5" w:themeColor="accent1" w:themeShade="BF"/>
        </w:rPr>
        <w:sectPr w:rsidR="0051765D" w:rsidSect="00BE1B88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3A4402A5" w14:textId="5FD64D0F" w:rsidR="006E4CAD" w:rsidRDefault="00491368" w:rsidP="00162FEF">
      <w:pPr>
        <w:spacing w:after="0" w:line="240" w:lineRule="auto"/>
        <w:rPr>
          <w:i/>
          <w:iCs/>
        </w:rPr>
      </w:pPr>
      <w:r w:rsidRPr="00491368">
        <w:rPr>
          <w:b/>
          <w:bCs/>
          <w:color w:val="2E74B5" w:themeColor="accent1" w:themeShade="BF"/>
        </w:rPr>
        <w:t>Bottleneck issues and inflation</w:t>
      </w:r>
      <w:r>
        <w:rPr>
          <w:b/>
          <w:bCs/>
          <w:color w:val="2E74B5" w:themeColor="accent1" w:themeShade="BF"/>
        </w:rPr>
        <w:br/>
      </w:r>
      <w:r w:rsidR="006E4CAD" w:rsidRPr="006E4CAD">
        <w:rPr>
          <w:i/>
          <w:iCs/>
        </w:rPr>
        <w:t>“</w:t>
      </w:r>
      <w:r w:rsidRPr="006E4CAD">
        <w:rPr>
          <w:i/>
          <w:iCs/>
        </w:rPr>
        <w:t>Still have supply</w:t>
      </w:r>
      <w:r w:rsidR="006E4CAD" w:rsidRPr="006E4CAD">
        <w:rPr>
          <w:i/>
          <w:iCs/>
        </w:rPr>
        <w:t xml:space="preserve"> chain bottlenecks but getting better. Transportation problems have gotten slightly better, but that improvement doesn’t justify the substantial price increase.”</w:t>
      </w:r>
    </w:p>
    <w:p w14:paraId="7F88578E" w14:textId="77777777" w:rsidR="006E4CAD" w:rsidRDefault="006E4CAD" w:rsidP="00162FEF">
      <w:pPr>
        <w:spacing w:after="0" w:line="240" w:lineRule="auto"/>
        <w:rPr>
          <w:i/>
          <w:iCs/>
        </w:rPr>
      </w:pPr>
    </w:p>
    <w:p w14:paraId="03C1CBD4" w14:textId="5AEE7E64" w:rsidR="006E4CAD" w:rsidRDefault="006E4CAD" w:rsidP="00162FEF">
      <w:pPr>
        <w:spacing w:after="0" w:line="240" w:lineRule="auto"/>
        <w:rPr>
          <w:i/>
          <w:iCs/>
        </w:rPr>
      </w:pPr>
      <w:r>
        <w:rPr>
          <w:i/>
          <w:iCs/>
        </w:rPr>
        <w:t>“Inflation will be the biggest issue.”</w:t>
      </w:r>
    </w:p>
    <w:p w14:paraId="0A739CEC" w14:textId="1057AE01" w:rsidR="00734E9C" w:rsidRDefault="00734E9C" w:rsidP="00162FEF">
      <w:pPr>
        <w:spacing w:after="0" w:line="240" w:lineRule="auto"/>
        <w:rPr>
          <w:i/>
          <w:iCs/>
        </w:rPr>
      </w:pPr>
    </w:p>
    <w:p w14:paraId="0EBB0C8C" w14:textId="5CB75D98" w:rsidR="00734E9C" w:rsidRDefault="00734E9C" w:rsidP="00162FEF">
      <w:pPr>
        <w:spacing w:after="0" w:line="240" w:lineRule="auto"/>
        <w:rPr>
          <w:i/>
          <w:iCs/>
        </w:rPr>
      </w:pPr>
      <w:r>
        <w:rPr>
          <w:i/>
          <w:iCs/>
        </w:rPr>
        <w:t>“Supply chain is only improving slightly. Still major shortages and cost increases.</w:t>
      </w:r>
    </w:p>
    <w:p w14:paraId="4107DCB4" w14:textId="65AABC28" w:rsidR="006E4CAD" w:rsidRDefault="006E4CAD" w:rsidP="00162FEF">
      <w:pPr>
        <w:spacing w:after="0" w:line="240" w:lineRule="auto"/>
        <w:rPr>
          <w:i/>
          <w:iCs/>
        </w:rPr>
      </w:pPr>
    </w:p>
    <w:p w14:paraId="62013168" w14:textId="204CF393" w:rsidR="006E4CAD" w:rsidRDefault="006E4CAD" w:rsidP="00162FEF">
      <w:pPr>
        <w:spacing w:after="0" w:line="240" w:lineRule="auto"/>
        <w:rPr>
          <w:i/>
          <w:iCs/>
        </w:rPr>
      </w:pPr>
      <w:r w:rsidRPr="006E4CAD">
        <w:rPr>
          <w:b/>
          <w:bCs/>
          <w:color w:val="2E74B5" w:themeColor="accent1" w:themeShade="BF"/>
        </w:rPr>
        <w:t>Labor force shortages</w:t>
      </w:r>
      <w:r w:rsidR="0051765D">
        <w:rPr>
          <w:b/>
          <w:bCs/>
          <w:color w:val="2E74B5" w:themeColor="accent1" w:themeShade="BF"/>
        </w:rPr>
        <w:t xml:space="preserve"> and benefits cost</w:t>
      </w:r>
      <w:r>
        <w:rPr>
          <w:b/>
          <w:bCs/>
          <w:color w:val="2E74B5" w:themeColor="accent1" w:themeShade="BF"/>
        </w:rPr>
        <w:br/>
      </w:r>
      <w:r w:rsidRPr="006E4CAD">
        <w:rPr>
          <w:i/>
          <w:iCs/>
        </w:rPr>
        <w:t>“Hard to find experienced people</w:t>
      </w:r>
      <w:r>
        <w:rPr>
          <w:i/>
          <w:iCs/>
        </w:rPr>
        <w:t>…Almost impossible…Hard to increase wages, when materials are so expensive.”</w:t>
      </w:r>
    </w:p>
    <w:p w14:paraId="4329216C" w14:textId="1BF40FF7" w:rsidR="008C1E38" w:rsidRDefault="008C1E38" w:rsidP="00162FEF">
      <w:pPr>
        <w:spacing w:after="0" w:line="240" w:lineRule="auto"/>
        <w:rPr>
          <w:i/>
          <w:iCs/>
        </w:rPr>
      </w:pPr>
    </w:p>
    <w:p w14:paraId="3464F25C" w14:textId="77777777" w:rsidR="008C1E38" w:rsidRDefault="008C1E38" w:rsidP="008C1E38">
      <w:pPr>
        <w:spacing w:after="0" w:line="240" w:lineRule="auto"/>
        <w:rPr>
          <w:i/>
          <w:iCs/>
        </w:rPr>
      </w:pPr>
      <w:r>
        <w:rPr>
          <w:i/>
          <w:iCs/>
        </w:rPr>
        <w:t>“Our focus in capital expenditure will be centered on improving labor productivity and/or automation. Attracting skilled hourly labor is our biggest near-term challenge.”</w:t>
      </w:r>
    </w:p>
    <w:p w14:paraId="1FB28CD0" w14:textId="77777777" w:rsidR="008C1E38" w:rsidRDefault="008C1E38" w:rsidP="008C1E38">
      <w:pPr>
        <w:spacing w:after="0" w:line="240" w:lineRule="auto"/>
        <w:rPr>
          <w:i/>
          <w:iCs/>
        </w:rPr>
      </w:pPr>
    </w:p>
    <w:p w14:paraId="7D154780" w14:textId="29A67223" w:rsidR="008C1E38" w:rsidRDefault="008C1E38" w:rsidP="00162FEF">
      <w:pPr>
        <w:spacing w:after="0" w:line="240" w:lineRule="auto"/>
        <w:rPr>
          <w:i/>
          <w:iCs/>
        </w:rPr>
      </w:pPr>
      <w:r>
        <w:rPr>
          <w:i/>
          <w:iCs/>
        </w:rPr>
        <w:t>“It’s all about health insurance benefit/cost 2023/2024. The MN Region/System is broken. No competitive insurance underwriters 50-100 employee programs; with avg. health conditions pool/census. 3-year trend up.</w:t>
      </w:r>
    </w:p>
    <w:p w14:paraId="5319A9FF" w14:textId="1A9B6EE3" w:rsidR="00734E9C" w:rsidRDefault="00734E9C" w:rsidP="00162FEF">
      <w:pPr>
        <w:spacing w:after="0" w:line="240" w:lineRule="auto"/>
        <w:rPr>
          <w:i/>
          <w:iCs/>
        </w:rPr>
      </w:pPr>
    </w:p>
    <w:p w14:paraId="57F9B1D6" w14:textId="79BD68D4" w:rsidR="00734E9C" w:rsidRDefault="00734E9C" w:rsidP="00162FEF">
      <w:pPr>
        <w:spacing w:after="0" w:line="240" w:lineRule="auto"/>
        <w:rPr>
          <w:i/>
          <w:iCs/>
        </w:rPr>
      </w:pPr>
      <w:r w:rsidRPr="00734E9C">
        <w:rPr>
          <w:b/>
          <w:bCs/>
          <w:color w:val="2E74B5" w:themeColor="accent1" w:themeShade="BF"/>
        </w:rPr>
        <w:t>Incentives</w:t>
      </w:r>
      <w:r>
        <w:rPr>
          <w:b/>
          <w:bCs/>
          <w:color w:val="2E74B5" w:themeColor="accent1" w:themeShade="BF"/>
        </w:rPr>
        <w:br/>
      </w:r>
      <w:r w:rsidR="00291F79" w:rsidRPr="00291F79">
        <w:rPr>
          <w:i/>
          <w:iCs/>
        </w:rPr>
        <w:t>“</w:t>
      </w:r>
      <w:r w:rsidRPr="00291F79">
        <w:rPr>
          <w:i/>
          <w:iCs/>
        </w:rPr>
        <w:t>Making MN a choice for better employment &amp; productivity by giving tax incentives to businesses wo</w:t>
      </w:r>
      <w:r w:rsidR="00291F79" w:rsidRPr="00291F79">
        <w:rPr>
          <w:i/>
          <w:iCs/>
        </w:rPr>
        <w:t>uld help strengthen our economy. Manufacturing,</w:t>
      </w:r>
      <w:r w:rsidR="00291F79">
        <w:t xml:space="preserve"> </w:t>
      </w:r>
      <w:r w:rsidR="00291F79" w:rsidRPr="00291F79">
        <w:rPr>
          <w:i/>
          <w:iCs/>
        </w:rPr>
        <w:t>farming</w:t>
      </w:r>
      <w:r w:rsidR="00291F79">
        <w:t xml:space="preserve"> </w:t>
      </w:r>
      <w:r w:rsidR="00291F79" w:rsidRPr="00291F79">
        <w:rPr>
          <w:i/>
          <w:iCs/>
        </w:rPr>
        <w:t>&amp; mining create wealth. All other businesses distribute wealth.”</w:t>
      </w:r>
    </w:p>
    <w:p w14:paraId="726B8C2B" w14:textId="22ED30E7" w:rsidR="008C1E38" w:rsidRDefault="008C1E38" w:rsidP="00162FEF">
      <w:pPr>
        <w:spacing w:after="0" w:line="240" w:lineRule="auto"/>
        <w:rPr>
          <w:i/>
          <w:iCs/>
        </w:rPr>
      </w:pPr>
    </w:p>
    <w:p w14:paraId="0079DB53" w14:textId="064EB2FB" w:rsidR="008C1E38" w:rsidRPr="00734E9C" w:rsidRDefault="008C1E38" w:rsidP="00162FEF">
      <w:pPr>
        <w:spacing w:after="0" w:line="240" w:lineRule="auto"/>
      </w:pPr>
      <w:r>
        <w:rPr>
          <w:i/>
          <w:iCs/>
        </w:rPr>
        <w:t>“Need to provide incentives to promote more spending.”</w:t>
      </w:r>
    </w:p>
    <w:p w14:paraId="2609A4D8" w14:textId="5B05C6E9" w:rsidR="00607DC1" w:rsidRDefault="00607DC1" w:rsidP="00162FEF">
      <w:pPr>
        <w:spacing w:after="0" w:line="240" w:lineRule="auto"/>
        <w:rPr>
          <w:i/>
          <w:iCs/>
        </w:rPr>
      </w:pPr>
    </w:p>
    <w:p w14:paraId="07ACCDB0" w14:textId="6EF51E14" w:rsidR="00607DC1" w:rsidRDefault="00607DC1" w:rsidP="00162FEF">
      <w:pPr>
        <w:spacing w:after="0" w:line="240" w:lineRule="auto"/>
        <w:rPr>
          <w:b/>
          <w:bCs/>
          <w:color w:val="2E74B5" w:themeColor="accent1" w:themeShade="BF"/>
        </w:rPr>
      </w:pPr>
      <w:r w:rsidRPr="00607DC1">
        <w:rPr>
          <w:b/>
          <w:bCs/>
          <w:color w:val="2E74B5" w:themeColor="accent1" w:themeShade="BF"/>
        </w:rPr>
        <w:t xml:space="preserve">Issues for </w:t>
      </w:r>
      <w:r>
        <w:rPr>
          <w:b/>
          <w:bCs/>
          <w:color w:val="2E74B5" w:themeColor="accent1" w:themeShade="BF"/>
        </w:rPr>
        <w:t>m</w:t>
      </w:r>
      <w:r w:rsidRPr="00607DC1">
        <w:rPr>
          <w:b/>
          <w:bCs/>
          <w:color w:val="2E74B5" w:themeColor="accent1" w:themeShade="BF"/>
        </w:rPr>
        <w:t>inority-owned businesses</w:t>
      </w:r>
    </w:p>
    <w:p w14:paraId="4C8FE6F7" w14:textId="73C1CC14" w:rsidR="004C79A8" w:rsidRDefault="004C79A8" w:rsidP="00162FEF">
      <w:pPr>
        <w:spacing w:after="0" w:line="240" w:lineRule="auto"/>
        <w:rPr>
          <w:i/>
          <w:iCs/>
        </w:rPr>
      </w:pPr>
      <w:r w:rsidRPr="004C79A8">
        <w:rPr>
          <w:i/>
          <w:iCs/>
        </w:rPr>
        <w:t>“(…) For minority companies is yet a huge challenge to getting credit/bank financing, they find any/all e</w:t>
      </w:r>
      <w:r w:rsidR="00584FAB">
        <w:rPr>
          <w:i/>
          <w:iCs/>
        </w:rPr>
        <w:t>x</w:t>
      </w:r>
      <w:r w:rsidRPr="004C79A8">
        <w:rPr>
          <w:i/>
          <w:iCs/>
        </w:rPr>
        <w:t>cuses</w:t>
      </w:r>
      <w:r w:rsidR="00502B55">
        <w:rPr>
          <w:i/>
          <w:iCs/>
        </w:rPr>
        <w:t>.</w:t>
      </w:r>
      <w:r w:rsidRPr="004C79A8">
        <w:rPr>
          <w:i/>
          <w:iCs/>
        </w:rPr>
        <w:t>”</w:t>
      </w:r>
    </w:p>
    <w:p w14:paraId="3979026E" w14:textId="77777777" w:rsidR="0051765D" w:rsidRDefault="0051765D" w:rsidP="00162FEF">
      <w:pPr>
        <w:spacing w:after="0" w:line="240" w:lineRule="auto"/>
        <w:sectPr w:rsidR="0051765D" w:rsidSect="0051765D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4046D1BA" w14:textId="298A5EAC" w:rsidR="00491368" w:rsidRPr="00491368" w:rsidRDefault="00491368" w:rsidP="00162FEF">
      <w:pPr>
        <w:spacing w:after="0" w:line="240" w:lineRule="auto"/>
        <w:rPr>
          <w:b/>
          <w:bCs/>
        </w:rPr>
      </w:pPr>
    </w:p>
    <w:p w14:paraId="43793D5A" w14:textId="71382B21" w:rsidR="00491368" w:rsidRPr="0098094E" w:rsidRDefault="0051765D" w:rsidP="00162FEF">
      <w:pPr>
        <w:spacing w:after="0" w:line="240" w:lineRule="auto"/>
        <w:rPr>
          <w:i/>
          <w:iCs/>
          <w:color w:val="2E74B5" w:themeColor="accent1" w:themeShade="BF"/>
          <w:sz w:val="16"/>
          <w:szCs w:val="16"/>
        </w:rPr>
      </w:pPr>
      <w:r>
        <w:rPr>
          <w:color w:val="2E74B5" w:themeColor="accent1" w:themeShade="BF"/>
          <w:sz w:val="18"/>
          <w:szCs w:val="18"/>
        </w:rPr>
        <w:br/>
      </w:r>
      <w:r w:rsidR="0098094E">
        <w:rPr>
          <w:color w:val="2E74B5" w:themeColor="accent1" w:themeShade="BF"/>
          <w:sz w:val="18"/>
          <w:szCs w:val="18"/>
        </w:rPr>
        <w:br/>
      </w:r>
      <w:r>
        <w:rPr>
          <w:color w:val="2E74B5" w:themeColor="accent1" w:themeShade="BF"/>
          <w:sz w:val="18"/>
          <w:szCs w:val="18"/>
        </w:rPr>
        <w:br/>
      </w:r>
      <w:r w:rsidRPr="0098094E">
        <w:rPr>
          <w:i/>
          <w:iCs/>
          <w:color w:val="2E74B5" w:themeColor="accent1" w:themeShade="BF"/>
          <w:sz w:val="16"/>
          <w:szCs w:val="16"/>
        </w:rPr>
        <w:t>Prepared by the Economic Analysis Unit, Minnesota Department of Employment and Economic Development, January 2023.</w:t>
      </w:r>
    </w:p>
    <w:sectPr w:rsidR="00491368" w:rsidRPr="0098094E" w:rsidSect="00BE1B88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EBD57D" w14:textId="77777777" w:rsidR="00A81232" w:rsidRDefault="00A81232" w:rsidP="00722892">
      <w:pPr>
        <w:spacing w:after="0" w:line="240" w:lineRule="auto"/>
      </w:pPr>
      <w:r>
        <w:separator/>
      </w:r>
    </w:p>
  </w:endnote>
  <w:endnote w:type="continuationSeparator" w:id="0">
    <w:p w14:paraId="4D24C8EF" w14:textId="77777777" w:rsidR="00A81232" w:rsidRDefault="00A81232" w:rsidP="00722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38216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6A977B" w14:textId="3EC0ED30" w:rsidR="00417D5F" w:rsidRDefault="00417D5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33795EA" w14:textId="77777777" w:rsidR="00417D5F" w:rsidRDefault="00417D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DD354C" w14:textId="77777777" w:rsidR="00A81232" w:rsidRDefault="00A81232" w:rsidP="00722892">
      <w:pPr>
        <w:spacing w:after="0" w:line="240" w:lineRule="auto"/>
      </w:pPr>
      <w:r>
        <w:separator/>
      </w:r>
    </w:p>
  </w:footnote>
  <w:footnote w:type="continuationSeparator" w:id="0">
    <w:p w14:paraId="3FE46053" w14:textId="77777777" w:rsidR="00A81232" w:rsidRDefault="00A81232" w:rsidP="007228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9792C"/>
    <w:multiLevelType w:val="hybridMultilevel"/>
    <w:tmpl w:val="4F46C5A4"/>
    <w:lvl w:ilvl="0" w:tplc="7EC498E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54002"/>
    <w:multiLevelType w:val="hybridMultilevel"/>
    <w:tmpl w:val="90360A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D12B2C"/>
    <w:multiLevelType w:val="hybridMultilevel"/>
    <w:tmpl w:val="725470E6"/>
    <w:lvl w:ilvl="0" w:tplc="BD004B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B10DA1"/>
    <w:multiLevelType w:val="hybridMultilevel"/>
    <w:tmpl w:val="B8CE587E"/>
    <w:lvl w:ilvl="0" w:tplc="C1963424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2D4075"/>
    <w:multiLevelType w:val="hybridMultilevel"/>
    <w:tmpl w:val="77DE0E20"/>
    <w:lvl w:ilvl="0" w:tplc="FEC4432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A73C2"/>
    <w:multiLevelType w:val="hybridMultilevel"/>
    <w:tmpl w:val="C54C98A6"/>
    <w:lvl w:ilvl="0" w:tplc="710E8D2E">
      <w:start w:val="1"/>
      <w:numFmt w:val="decimal"/>
      <w:lvlText w:val="(%1)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6" w15:restartNumberingAfterBreak="0">
    <w:nsid w:val="3AAD4C75"/>
    <w:multiLevelType w:val="hybridMultilevel"/>
    <w:tmpl w:val="D97AB74E"/>
    <w:lvl w:ilvl="0" w:tplc="593A9BF6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 w15:restartNumberingAfterBreak="0">
    <w:nsid w:val="4229547C"/>
    <w:multiLevelType w:val="hybridMultilevel"/>
    <w:tmpl w:val="63AE7CF0"/>
    <w:lvl w:ilvl="0" w:tplc="16A4D164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" w15:restartNumberingAfterBreak="0">
    <w:nsid w:val="6C3162D5"/>
    <w:multiLevelType w:val="hybridMultilevel"/>
    <w:tmpl w:val="2B5E2D2E"/>
    <w:lvl w:ilvl="0" w:tplc="18A02B50">
      <w:start w:val="1"/>
      <w:numFmt w:val="decimal"/>
      <w:lvlText w:val="(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6FFF4843"/>
    <w:multiLevelType w:val="hybridMultilevel"/>
    <w:tmpl w:val="CA0CEBC6"/>
    <w:lvl w:ilvl="0" w:tplc="EC82D616">
      <w:start w:val="1"/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7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CFA"/>
    <w:rsid w:val="000017A0"/>
    <w:rsid w:val="000055EB"/>
    <w:rsid w:val="00006BCD"/>
    <w:rsid w:val="000102FA"/>
    <w:rsid w:val="0001635B"/>
    <w:rsid w:val="00020BB4"/>
    <w:rsid w:val="00023BB3"/>
    <w:rsid w:val="000251AA"/>
    <w:rsid w:val="00043367"/>
    <w:rsid w:val="0004396B"/>
    <w:rsid w:val="000530CD"/>
    <w:rsid w:val="0005336B"/>
    <w:rsid w:val="000547A3"/>
    <w:rsid w:val="00061628"/>
    <w:rsid w:val="000631E3"/>
    <w:rsid w:val="00064F89"/>
    <w:rsid w:val="000715D1"/>
    <w:rsid w:val="00085CB5"/>
    <w:rsid w:val="00085F89"/>
    <w:rsid w:val="00093843"/>
    <w:rsid w:val="00096E85"/>
    <w:rsid w:val="00097993"/>
    <w:rsid w:val="000A0BC3"/>
    <w:rsid w:val="000A28AD"/>
    <w:rsid w:val="000A65D8"/>
    <w:rsid w:val="000B4D88"/>
    <w:rsid w:val="000B68D5"/>
    <w:rsid w:val="000B7992"/>
    <w:rsid w:val="000C04EE"/>
    <w:rsid w:val="000C0B66"/>
    <w:rsid w:val="000C107F"/>
    <w:rsid w:val="000C1BCF"/>
    <w:rsid w:val="000C4230"/>
    <w:rsid w:val="000D53DE"/>
    <w:rsid w:val="000E746C"/>
    <w:rsid w:val="000F3FB7"/>
    <w:rsid w:val="000F78D5"/>
    <w:rsid w:val="00100C21"/>
    <w:rsid w:val="00101B46"/>
    <w:rsid w:val="001141C4"/>
    <w:rsid w:val="001215A7"/>
    <w:rsid w:val="00126400"/>
    <w:rsid w:val="00130B1B"/>
    <w:rsid w:val="0013508B"/>
    <w:rsid w:val="00141598"/>
    <w:rsid w:val="001429B3"/>
    <w:rsid w:val="00144626"/>
    <w:rsid w:val="0015193C"/>
    <w:rsid w:val="00157FEC"/>
    <w:rsid w:val="00162FEF"/>
    <w:rsid w:val="00170768"/>
    <w:rsid w:val="00174C4B"/>
    <w:rsid w:val="00174D79"/>
    <w:rsid w:val="00180F16"/>
    <w:rsid w:val="00181E11"/>
    <w:rsid w:val="001873F4"/>
    <w:rsid w:val="00190F03"/>
    <w:rsid w:val="00196671"/>
    <w:rsid w:val="001A1D64"/>
    <w:rsid w:val="001A70BD"/>
    <w:rsid w:val="001B733E"/>
    <w:rsid w:val="001D0139"/>
    <w:rsid w:val="001D19AD"/>
    <w:rsid w:val="001D1D2A"/>
    <w:rsid w:val="001D489B"/>
    <w:rsid w:val="001D7C7A"/>
    <w:rsid w:val="001E2293"/>
    <w:rsid w:val="001E385C"/>
    <w:rsid w:val="001E5A34"/>
    <w:rsid w:val="001E5E26"/>
    <w:rsid w:val="001F0C8E"/>
    <w:rsid w:val="001F26CC"/>
    <w:rsid w:val="001F4C74"/>
    <w:rsid w:val="001F7133"/>
    <w:rsid w:val="00200309"/>
    <w:rsid w:val="002054F5"/>
    <w:rsid w:val="002178EF"/>
    <w:rsid w:val="00225875"/>
    <w:rsid w:val="0023223B"/>
    <w:rsid w:val="00235D13"/>
    <w:rsid w:val="00236C0B"/>
    <w:rsid w:val="00243472"/>
    <w:rsid w:val="002439E6"/>
    <w:rsid w:val="0024440C"/>
    <w:rsid w:val="00244841"/>
    <w:rsid w:val="00245A31"/>
    <w:rsid w:val="0025036B"/>
    <w:rsid w:val="002557E3"/>
    <w:rsid w:val="00263477"/>
    <w:rsid w:val="00266F95"/>
    <w:rsid w:val="002727C4"/>
    <w:rsid w:val="00273A9B"/>
    <w:rsid w:val="00273DC2"/>
    <w:rsid w:val="00280798"/>
    <w:rsid w:val="00286A99"/>
    <w:rsid w:val="00291F79"/>
    <w:rsid w:val="002934A2"/>
    <w:rsid w:val="00293720"/>
    <w:rsid w:val="00294C47"/>
    <w:rsid w:val="00297604"/>
    <w:rsid w:val="002A39E0"/>
    <w:rsid w:val="002A419E"/>
    <w:rsid w:val="002A4627"/>
    <w:rsid w:val="002A54B0"/>
    <w:rsid w:val="002C0DF7"/>
    <w:rsid w:val="002C1301"/>
    <w:rsid w:val="002C48DC"/>
    <w:rsid w:val="002C5461"/>
    <w:rsid w:val="002C784F"/>
    <w:rsid w:val="002D0924"/>
    <w:rsid w:val="002D20C8"/>
    <w:rsid w:val="002D322B"/>
    <w:rsid w:val="002D6E69"/>
    <w:rsid w:val="002E0F6D"/>
    <w:rsid w:val="002E4C76"/>
    <w:rsid w:val="002E60AC"/>
    <w:rsid w:val="002F1C66"/>
    <w:rsid w:val="002F2803"/>
    <w:rsid w:val="003058BA"/>
    <w:rsid w:val="00311D39"/>
    <w:rsid w:val="00322627"/>
    <w:rsid w:val="003368D3"/>
    <w:rsid w:val="00337ABD"/>
    <w:rsid w:val="00346D0D"/>
    <w:rsid w:val="00351D1F"/>
    <w:rsid w:val="003549BF"/>
    <w:rsid w:val="00364C1F"/>
    <w:rsid w:val="00367060"/>
    <w:rsid w:val="003673A3"/>
    <w:rsid w:val="00373ED3"/>
    <w:rsid w:val="003774CD"/>
    <w:rsid w:val="003809EF"/>
    <w:rsid w:val="003844D4"/>
    <w:rsid w:val="00391C69"/>
    <w:rsid w:val="003942C0"/>
    <w:rsid w:val="00394DB6"/>
    <w:rsid w:val="003A2A40"/>
    <w:rsid w:val="003A656A"/>
    <w:rsid w:val="003B032B"/>
    <w:rsid w:val="003B28DB"/>
    <w:rsid w:val="003B2FD3"/>
    <w:rsid w:val="003B5595"/>
    <w:rsid w:val="003B59F7"/>
    <w:rsid w:val="003B5D7E"/>
    <w:rsid w:val="003C059D"/>
    <w:rsid w:val="003C1F68"/>
    <w:rsid w:val="003E0958"/>
    <w:rsid w:val="003E3664"/>
    <w:rsid w:val="003E50F2"/>
    <w:rsid w:val="003E5789"/>
    <w:rsid w:val="003F1728"/>
    <w:rsid w:val="003F33BB"/>
    <w:rsid w:val="003F5F27"/>
    <w:rsid w:val="003F62BE"/>
    <w:rsid w:val="003F67FA"/>
    <w:rsid w:val="00411327"/>
    <w:rsid w:val="00413D79"/>
    <w:rsid w:val="0041750B"/>
    <w:rsid w:val="00417D5F"/>
    <w:rsid w:val="004262DB"/>
    <w:rsid w:val="0042686B"/>
    <w:rsid w:val="00427A28"/>
    <w:rsid w:val="0043194C"/>
    <w:rsid w:val="00444F06"/>
    <w:rsid w:val="004569DA"/>
    <w:rsid w:val="00457917"/>
    <w:rsid w:val="004609C7"/>
    <w:rsid w:val="0046490E"/>
    <w:rsid w:val="004662B5"/>
    <w:rsid w:val="0047340A"/>
    <w:rsid w:val="00483587"/>
    <w:rsid w:val="00486CB2"/>
    <w:rsid w:val="00490F2E"/>
    <w:rsid w:val="00491368"/>
    <w:rsid w:val="00492659"/>
    <w:rsid w:val="0049334A"/>
    <w:rsid w:val="004A770C"/>
    <w:rsid w:val="004B002E"/>
    <w:rsid w:val="004B3D02"/>
    <w:rsid w:val="004B46A0"/>
    <w:rsid w:val="004C194A"/>
    <w:rsid w:val="004C508D"/>
    <w:rsid w:val="004C79A8"/>
    <w:rsid w:val="004D5B1E"/>
    <w:rsid w:val="004E068C"/>
    <w:rsid w:val="004E12F2"/>
    <w:rsid w:val="004E3C39"/>
    <w:rsid w:val="004F502B"/>
    <w:rsid w:val="00500E37"/>
    <w:rsid w:val="00502B55"/>
    <w:rsid w:val="00503CFE"/>
    <w:rsid w:val="0051195F"/>
    <w:rsid w:val="00514988"/>
    <w:rsid w:val="0051765D"/>
    <w:rsid w:val="005252B0"/>
    <w:rsid w:val="00531B2D"/>
    <w:rsid w:val="00550643"/>
    <w:rsid w:val="00553572"/>
    <w:rsid w:val="0055748C"/>
    <w:rsid w:val="00565C48"/>
    <w:rsid w:val="00567732"/>
    <w:rsid w:val="00584451"/>
    <w:rsid w:val="00584FAB"/>
    <w:rsid w:val="005A24D4"/>
    <w:rsid w:val="005A2834"/>
    <w:rsid w:val="005A3847"/>
    <w:rsid w:val="005A45F6"/>
    <w:rsid w:val="005B6565"/>
    <w:rsid w:val="005B6BED"/>
    <w:rsid w:val="005C5C85"/>
    <w:rsid w:val="005C75EA"/>
    <w:rsid w:val="005D05C5"/>
    <w:rsid w:val="005D072B"/>
    <w:rsid w:val="005D393F"/>
    <w:rsid w:val="005D442B"/>
    <w:rsid w:val="005E3C4C"/>
    <w:rsid w:val="005E7101"/>
    <w:rsid w:val="005F0E3F"/>
    <w:rsid w:val="005F3E68"/>
    <w:rsid w:val="00607DC1"/>
    <w:rsid w:val="006179E9"/>
    <w:rsid w:val="00626719"/>
    <w:rsid w:val="00627309"/>
    <w:rsid w:val="006301CA"/>
    <w:rsid w:val="006309E6"/>
    <w:rsid w:val="006327BB"/>
    <w:rsid w:val="00633C3B"/>
    <w:rsid w:val="0063644F"/>
    <w:rsid w:val="00644828"/>
    <w:rsid w:val="006449F7"/>
    <w:rsid w:val="00645D18"/>
    <w:rsid w:val="00646650"/>
    <w:rsid w:val="00646763"/>
    <w:rsid w:val="0065167F"/>
    <w:rsid w:val="006572AC"/>
    <w:rsid w:val="0065730A"/>
    <w:rsid w:val="00663DCC"/>
    <w:rsid w:val="006659C8"/>
    <w:rsid w:val="00667728"/>
    <w:rsid w:val="00671474"/>
    <w:rsid w:val="00671D12"/>
    <w:rsid w:val="00691A35"/>
    <w:rsid w:val="00692DDC"/>
    <w:rsid w:val="006A04E5"/>
    <w:rsid w:val="006A1085"/>
    <w:rsid w:val="006A387C"/>
    <w:rsid w:val="006A44DF"/>
    <w:rsid w:val="006A75FE"/>
    <w:rsid w:val="006B0B3E"/>
    <w:rsid w:val="006B28F7"/>
    <w:rsid w:val="006B3637"/>
    <w:rsid w:val="006B4564"/>
    <w:rsid w:val="006B6F5E"/>
    <w:rsid w:val="006C6700"/>
    <w:rsid w:val="006D3884"/>
    <w:rsid w:val="006D3B3F"/>
    <w:rsid w:val="006E2A3A"/>
    <w:rsid w:val="006E4CAD"/>
    <w:rsid w:val="006F3359"/>
    <w:rsid w:val="006F7EFC"/>
    <w:rsid w:val="00700745"/>
    <w:rsid w:val="0070287B"/>
    <w:rsid w:val="00702D96"/>
    <w:rsid w:val="0070375F"/>
    <w:rsid w:val="0070546F"/>
    <w:rsid w:val="007075DF"/>
    <w:rsid w:val="007145B2"/>
    <w:rsid w:val="007171B2"/>
    <w:rsid w:val="007178EA"/>
    <w:rsid w:val="00721A9D"/>
    <w:rsid w:val="00722892"/>
    <w:rsid w:val="007242DF"/>
    <w:rsid w:val="00726C57"/>
    <w:rsid w:val="0073212E"/>
    <w:rsid w:val="007339B7"/>
    <w:rsid w:val="00734E9C"/>
    <w:rsid w:val="00742BA0"/>
    <w:rsid w:val="00743632"/>
    <w:rsid w:val="00743C82"/>
    <w:rsid w:val="0075193C"/>
    <w:rsid w:val="00752148"/>
    <w:rsid w:val="007530EC"/>
    <w:rsid w:val="00756DD3"/>
    <w:rsid w:val="007579D5"/>
    <w:rsid w:val="00762DAF"/>
    <w:rsid w:val="00765F50"/>
    <w:rsid w:val="00771521"/>
    <w:rsid w:val="00772584"/>
    <w:rsid w:val="007850A1"/>
    <w:rsid w:val="00786854"/>
    <w:rsid w:val="007874B0"/>
    <w:rsid w:val="00795376"/>
    <w:rsid w:val="00797604"/>
    <w:rsid w:val="007B16BB"/>
    <w:rsid w:val="007C3754"/>
    <w:rsid w:val="007C629F"/>
    <w:rsid w:val="007C7D80"/>
    <w:rsid w:val="007D7CFA"/>
    <w:rsid w:val="007E2463"/>
    <w:rsid w:val="007F04CE"/>
    <w:rsid w:val="007F61A9"/>
    <w:rsid w:val="00804275"/>
    <w:rsid w:val="008051D0"/>
    <w:rsid w:val="00810157"/>
    <w:rsid w:val="00811679"/>
    <w:rsid w:val="00814ED5"/>
    <w:rsid w:val="00814F86"/>
    <w:rsid w:val="00820241"/>
    <w:rsid w:val="00825F3C"/>
    <w:rsid w:val="00830CF4"/>
    <w:rsid w:val="00831B82"/>
    <w:rsid w:val="00835E20"/>
    <w:rsid w:val="00836269"/>
    <w:rsid w:val="00836305"/>
    <w:rsid w:val="008417ED"/>
    <w:rsid w:val="0084634F"/>
    <w:rsid w:val="008505F9"/>
    <w:rsid w:val="00853F8F"/>
    <w:rsid w:val="00855892"/>
    <w:rsid w:val="00860D34"/>
    <w:rsid w:val="00866AE5"/>
    <w:rsid w:val="00872472"/>
    <w:rsid w:val="0087386F"/>
    <w:rsid w:val="00873CE5"/>
    <w:rsid w:val="00875E22"/>
    <w:rsid w:val="00877E6A"/>
    <w:rsid w:val="00881A20"/>
    <w:rsid w:val="00881C43"/>
    <w:rsid w:val="008917AD"/>
    <w:rsid w:val="0089194E"/>
    <w:rsid w:val="008959F9"/>
    <w:rsid w:val="008A3741"/>
    <w:rsid w:val="008A3B5D"/>
    <w:rsid w:val="008A7B58"/>
    <w:rsid w:val="008B00D4"/>
    <w:rsid w:val="008B2E6E"/>
    <w:rsid w:val="008B388C"/>
    <w:rsid w:val="008B5D54"/>
    <w:rsid w:val="008C0851"/>
    <w:rsid w:val="008C1810"/>
    <w:rsid w:val="008C1E38"/>
    <w:rsid w:val="008C6664"/>
    <w:rsid w:val="008C6794"/>
    <w:rsid w:val="008C7C93"/>
    <w:rsid w:val="008D3F64"/>
    <w:rsid w:val="008D6DDD"/>
    <w:rsid w:val="008E015A"/>
    <w:rsid w:val="008E7E58"/>
    <w:rsid w:val="008F3959"/>
    <w:rsid w:val="008F3AB3"/>
    <w:rsid w:val="00902FE2"/>
    <w:rsid w:val="00930B60"/>
    <w:rsid w:val="0093264D"/>
    <w:rsid w:val="0093302A"/>
    <w:rsid w:val="00933559"/>
    <w:rsid w:val="00937AC5"/>
    <w:rsid w:val="009409C2"/>
    <w:rsid w:val="00941384"/>
    <w:rsid w:val="0094164D"/>
    <w:rsid w:val="009468D5"/>
    <w:rsid w:val="00955E99"/>
    <w:rsid w:val="0095690F"/>
    <w:rsid w:val="00961887"/>
    <w:rsid w:val="00961CE3"/>
    <w:rsid w:val="00962FBB"/>
    <w:rsid w:val="00965C6D"/>
    <w:rsid w:val="009713A3"/>
    <w:rsid w:val="00972D5C"/>
    <w:rsid w:val="009768AE"/>
    <w:rsid w:val="0098094E"/>
    <w:rsid w:val="00995CB9"/>
    <w:rsid w:val="009969EB"/>
    <w:rsid w:val="009A0736"/>
    <w:rsid w:val="009A1D8F"/>
    <w:rsid w:val="009A1F63"/>
    <w:rsid w:val="009A7E27"/>
    <w:rsid w:val="009B07B0"/>
    <w:rsid w:val="009B3DF5"/>
    <w:rsid w:val="009B617F"/>
    <w:rsid w:val="009B70AB"/>
    <w:rsid w:val="009B7995"/>
    <w:rsid w:val="009B7A08"/>
    <w:rsid w:val="009C0451"/>
    <w:rsid w:val="009C245E"/>
    <w:rsid w:val="009C2E72"/>
    <w:rsid w:val="009D2102"/>
    <w:rsid w:val="009D6A9C"/>
    <w:rsid w:val="009D720D"/>
    <w:rsid w:val="009E4192"/>
    <w:rsid w:val="009E438F"/>
    <w:rsid w:val="009E5174"/>
    <w:rsid w:val="009E53CB"/>
    <w:rsid w:val="009F13ED"/>
    <w:rsid w:val="009F1D58"/>
    <w:rsid w:val="009F26AA"/>
    <w:rsid w:val="009F5499"/>
    <w:rsid w:val="009F568F"/>
    <w:rsid w:val="009F5AAB"/>
    <w:rsid w:val="009F7D57"/>
    <w:rsid w:val="00A02317"/>
    <w:rsid w:val="00A075E0"/>
    <w:rsid w:val="00A121AF"/>
    <w:rsid w:val="00A257DB"/>
    <w:rsid w:val="00A2646F"/>
    <w:rsid w:val="00A31665"/>
    <w:rsid w:val="00A32042"/>
    <w:rsid w:val="00A41AC1"/>
    <w:rsid w:val="00A43276"/>
    <w:rsid w:val="00A447BD"/>
    <w:rsid w:val="00A448E3"/>
    <w:rsid w:val="00A45FA5"/>
    <w:rsid w:val="00A47279"/>
    <w:rsid w:val="00A50BF3"/>
    <w:rsid w:val="00A516F3"/>
    <w:rsid w:val="00A5586F"/>
    <w:rsid w:val="00A561F7"/>
    <w:rsid w:val="00A60C3F"/>
    <w:rsid w:val="00A66699"/>
    <w:rsid w:val="00A66C22"/>
    <w:rsid w:val="00A67406"/>
    <w:rsid w:val="00A70BA3"/>
    <w:rsid w:val="00A71C3F"/>
    <w:rsid w:val="00A7507C"/>
    <w:rsid w:val="00A774BE"/>
    <w:rsid w:val="00A81232"/>
    <w:rsid w:val="00A908BB"/>
    <w:rsid w:val="00A94D17"/>
    <w:rsid w:val="00A979C6"/>
    <w:rsid w:val="00A97C01"/>
    <w:rsid w:val="00AA4D66"/>
    <w:rsid w:val="00AA7E23"/>
    <w:rsid w:val="00AB54BD"/>
    <w:rsid w:val="00AB5A0D"/>
    <w:rsid w:val="00AB6F70"/>
    <w:rsid w:val="00AC6BEA"/>
    <w:rsid w:val="00AD38E8"/>
    <w:rsid w:val="00AD5C32"/>
    <w:rsid w:val="00AE0EFF"/>
    <w:rsid w:val="00AE2D5B"/>
    <w:rsid w:val="00AE5AA1"/>
    <w:rsid w:val="00AF49FA"/>
    <w:rsid w:val="00B22064"/>
    <w:rsid w:val="00B22FAE"/>
    <w:rsid w:val="00B31C93"/>
    <w:rsid w:val="00B354AB"/>
    <w:rsid w:val="00B4100B"/>
    <w:rsid w:val="00B42CDA"/>
    <w:rsid w:val="00B5399B"/>
    <w:rsid w:val="00B76A86"/>
    <w:rsid w:val="00B76C4D"/>
    <w:rsid w:val="00B81B7A"/>
    <w:rsid w:val="00B84C71"/>
    <w:rsid w:val="00B86180"/>
    <w:rsid w:val="00B86E7E"/>
    <w:rsid w:val="00B87284"/>
    <w:rsid w:val="00B90819"/>
    <w:rsid w:val="00B93533"/>
    <w:rsid w:val="00BA015F"/>
    <w:rsid w:val="00BA5968"/>
    <w:rsid w:val="00BB4D26"/>
    <w:rsid w:val="00BC0C4D"/>
    <w:rsid w:val="00BC5DD8"/>
    <w:rsid w:val="00BD5061"/>
    <w:rsid w:val="00BE1B88"/>
    <w:rsid w:val="00BE474F"/>
    <w:rsid w:val="00BE7561"/>
    <w:rsid w:val="00BF2600"/>
    <w:rsid w:val="00C016FB"/>
    <w:rsid w:val="00C02858"/>
    <w:rsid w:val="00C0363D"/>
    <w:rsid w:val="00C067E2"/>
    <w:rsid w:val="00C10313"/>
    <w:rsid w:val="00C1258E"/>
    <w:rsid w:val="00C1455B"/>
    <w:rsid w:val="00C163DF"/>
    <w:rsid w:val="00C1728F"/>
    <w:rsid w:val="00C2607A"/>
    <w:rsid w:val="00C310C5"/>
    <w:rsid w:val="00C31EB6"/>
    <w:rsid w:val="00C33B94"/>
    <w:rsid w:val="00C33C45"/>
    <w:rsid w:val="00C34B1A"/>
    <w:rsid w:val="00C35CB2"/>
    <w:rsid w:val="00C37A2C"/>
    <w:rsid w:val="00C4627B"/>
    <w:rsid w:val="00C46B75"/>
    <w:rsid w:val="00C47D27"/>
    <w:rsid w:val="00C50ABC"/>
    <w:rsid w:val="00C5553E"/>
    <w:rsid w:val="00C570D5"/>
    <w:rsid w:val="00C6136E"/>
    <w:rsid w:val="00C62FD9"/>
    <w:rsid w:val="00C633BF"/>
    <w:rsid w:val="00C707A3"/>
    <w:rsid w:val="00C74624"/>
    <w:rsid w:val="00C74737"/>
    <w:rsid w:val="00C80C65"/>
    <w:rsid w:val="00C82881"/>
    <w:rsid w:val="00C90B12"/>
    <w:rsid w:val="00C927EB"/>
    <w:rsid w:val="00CA167D"/>
    <w:rsid w:val="00CA4F8E"/>
    <w:rsid w:val="00CA5832"/>
    <w:rsid w:val="00CB586B"/>
    <w:rsid w:val="00CC2FD0"/>
    <w:rsid w:val="00CD106C"/>
    <w:rsid w:val="00CE1510"/>
    <w:rsid w:val="00CE28CD"/>
    <w:rsid w:val="00CE3E64"/>
    <w:rsid w:val="00CE70D6"/>
    <w:rsid w:val="00CF0F48"/>
    <w:rsid w:val="00CF304A"/>
    <w:rsid w:val="00CF5F34"/>
    <w:rsid w:val="00D016CA"/>
    <w:rsid w:val="00D056A9"/>
    <w:rsid w:val="00D101D6"/>
    <w:rsid w:val="00D12E13"/>
    <w:rsid w:val="00D12EE2"/>
    <w:rsid w:val="00D16F71"/>
    <w:rsid w:val="00D21E21"/>
    <w:rsid w:val="00D33609"/>
    <w:rsid w:val="00D361E1"/>
    <w:rsid w:val="00D3621B"/>
    <w:rsid w:val="00D40EDB"/>
    <w:rsid w:val="00D43D4F"/>
    <w:rsid w:val="00D47417"/>
    <w:rsid w:val="00D50991"/>
    <w:rsid w:val="00D52CFB"/>
    <w:rsid w:val="00D53E18"/>
    <w:rsid w:val="00D57F6C"/>
    <w:rsid w:val="00D60273"/>
    <w:rsid w:val="00D606DD"/>
    <w:rsid w:val="00D656A2"/>
    <w:rsid w:val="00D82690"/>
    <w:rsid w:val="00D939BA"/>
    <w:rsid w:val="00DA18EA"/>
    <w:rsid w:val="00DB159E"/>
    <w:rsid w:val="00DB1BE2"/>
    <w:rsid w:val="00DC0856"/>
    <w:rsid w:val="00DD0D08"/>
    <w:rsid w:val="00DD1D04"/>
    <w:rsid w:val="00DD39EC"/>
    <w:rsid w:val="00DE60D0"/>
    <w:rsid w:val="00DE7AC6"/>
    <w:rsid w:val="00E009AD"/>
    <w:rsid w:val="00E168E6"/>
    <w:rsid w:val="00E2110F"/>
    <w:rsid w:val="00E30A4D"/>
    <w:rsid w:val="00E40F71"/>
    <w:rsid w:val="00E43901"/>
    <w:rsid w:val="00E5009B"/>
    <w:rsid w:val="00E50B04"/>
    <w:rsid w:val="00E5354B"/>
    <w:rsid w:val="00E55E81"/>
    <w:rsid w:val="00E647F4"/>
    <w:rsid w:val="00E66525"/>
    <w:rsid w:val="00E66A72"/>
    <w:rsid w:val="00E6747E"/>
    <w:rsid w:val="00E7356E"/>
    <w:rsid w:val="00E83520"/>
    <w:rsid w:val="00E841AC"/>
    <w:rsid w:val="00E8710E"/>
    <w:rsid w:val="00E91C23"/>
    <w:rsid w:val="00EA2AE1"/>
    <w:rsid w:val="00EC4760"/>
    <w:rsid w:val="00EC6FBE"/>
    <w:rsid w:val="00EE271E"/>
    <w:rsid w:val="00EE2D4D"/>
    <w:rsid w:val="00EE6084"/>
    <w:rsid w:val="00EF2617"/>
    <w:rsid w:val="00EF4AC7"/>
    <w:rsid w:val="00EF6469"/>
    <w:rsid w:val="00F0687F"/>
    <w:rsid w:val="00F069A3"/>
    <w:rsid w:val="00F10ED0"/>
    <w:rsid w:val="00F15348"/>
    <w:rsid w:val="00F267EF"/>
    <w:rsid w:val="00F332C2"/>
    <w:rsid w:val="00F573FD"/>
    <w:rsid w:val="00F60B34"/>
    <w:rsid w:val="00F61F1A"/>
    <w:rsid w:val="00F62FD1"/>
    <w:rsid w:val="00F648C0"/>
    <w:rsid w:val="00F65394"/>
    <w:rsid w:val="00F6539A"/>
    <w:rsid w:val="00F76D55"/>
    <w:rsid w:val="00F82F8E"/>
    <w:rsid w:val="00F86309"/>
    <w:rsid w:val="00F97D05"/>
    <w:rsid w:val="00FA15BD"/>
    <w:rsid w:val="00FB3065"/>
    <w:rsid w:val="00FB474B"/>
    <w:rsid w:val="00FC11C8"/>
    <w:rsid w:val="00FD40A7"/>
    <w:rsid w:val="00FD429A"/>
    <w:rsid w:val="00FD4BBE"/>
    <w:rsid w:val="00FD5052"/>
    <w:rsid w:val="00FD51F6"/>
    <w:rsid w:val="00FE0621"/>
    <w:rsid w:val="00FE2083"/>
    <w:rsid w:val="00FF5EB2"/>
    <w:rsid w:val="00FF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FD48E"/>
  <w15:chartTrackingRefBased/>
  <w15:docId w15:val="{1B52D937-C38F-41B4-9481-0129100FE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B6F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B07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14ED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A2A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B6F7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B07B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855892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814ED5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9969E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69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B79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ption">
    <w:name w:val="caption"/>
    <w:basedOn w:val="Normal"/>
    <w:next w:val="Normal"/>
    <w:uiPriority w:val="35"/>
    <w:unhideWhenUsed/>
    <w:qFormat/>
    <w:rsid w:val="007F61A9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PlainTable5">
    <w:name w:val="Plain Table 5"/>
    <w:basedOn w:val="TableNormal"/>
    <w:uiPriority w:val="45"/>
    <w:rsid w:val="00A97C01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A97C01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C80C6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228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892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2289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28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2892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DE7A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7A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7A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7A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7AC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835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17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D5F"/>
  </w:style>
  <w:style w:type="paragraph" w:styleId="Footer">
    <w:name w:val="footer"/>
    <w:basedOn w:val="Normal"/>
    <w:link w:val="FooterChar"/>
    <w:uiPriority w:val="99"/>
    <w:unhideWhenUsed/>
    <w:rsid w:val="00417D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D5F"/>
  </w:style>
  <w:style w:type="character" w:customStyle="1" w:styleId="Heading4Char">
    <w:name w:val="Heading 4 Char"/>
    <w:basedOn w:val="DefaultParagraphFont"/>
    <w:link w:val="Heading4"/>
    <w:uiPriority w:val="9"/>
    <w:rsid w:val="003A2A40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03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r>
              <a:rPr lang="en-US" sz="800" b="1" i="0" u="none" strike="noStrike" baseline="0">
                <a:effectLst/>
              </a:rPr>
              <a:t>Economic Performance for Minnesota's Manufacturing Industry --</a:t>
            </a:r>
          </a:p>
          <a:p>
            <a:pPr>
              <a:defRPr sz="900">
                <a:latin typeface="Arial" pitchFamily="34" charset="0"/>
                <a:cs typeface="Arial" pitchFamily="34" charset="0"/>
              </a:defRPr>
            </a:pPr>
            <a:r>
              <a:rPr lang="en-US" sz="800" b="1" i="0" u="none" strike="noStrike" baseline="0">
                <a:effectLst/>
              </a:rPr>
              <a:t>2022, Compared to 2021</a:t>
            </a:r>
            <a:endParaRPr lang="en-US" sz="800">
              <a:latin typeface="Arial" pitchFamily="34" charset="0"/>
              <a:cs typeface="Arial" pitchFamily="34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7771154091241477E-2"/>
          <c:y val="0.2315086040866052"/>
          <c:w val="0.8701994877758924"/>
          <c:h val="0.638701347209850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Up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invertIfNegative val="0"/>
          <c:cat>
            <c:strRef>
              <c:f>Sheet1!$A$2:$A$9</c:f>
              <c:strCache>
                <c:ptCount val="8"/>
                <c:pt idx="0">
                  <c:v>Orders</c:v>
                </c:pt>
                <c:pt idx="1">
                  <c:v>Produc- tion</c:v>
                </c:pt>
                <c:pt idx="2">
                  <c:v>Employ- ment</c:v>
                </c:pt>
                <c:pt idx="3">
                  <c:v>Invest- ment</c:v>
                </c:pt>
                <c:pt idx="4">
                  <c:v>Prices</c:v>
                </c:pt>
                <c:pt idx="5">
                  <c:v>Profits</c:v>
                </c:pt>
                <c:pt idx="6">
                  <c:v>Produc- tivity</c:v>
                </c:pt>
                <c:pt idx="7">
                  <c:v>Exports</c:v>
                </c:pt>
              </c:strCache>
            </c:strRef>
          </c:cat>
          <c:val>
            <c:numRef>
              <c:f>Sheet1!$B$2:$B$9</c:f>
              <c:numCache>
                <c:formatCode>0%</c:formatCode>
                <c:ptCount val="8"/>
                <c:pt idx="0">
                  <c:v>0.52</c:v>
                </c:pt>
                <c:pt idx="1">
                  <c:v>0.43</c:v>
                </c:pt>
                <c:pt idx="2">
                  <c:v>0.36</c:v>
                </c:pt>
                <c:pt idx="3">
                  <c:v>0.45</c:v>
                </c:pt>
                <c:pt idx="4">
                  <c:v>0.82</c:v>
                </c:pt>
                <c:pt idx="5">
                  <c:v>0.31</c:v>
                </c:pt>
                <c:pt idx="6">
                  <c:v>0.27</c:v>
                </c:pt>
                <c:pt idx="7">
                  <c:v>0.09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B68-4DAA-83DE-081A98FD6D3E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Same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chemeClr val="accent1"/>
              </a:solidFill>
            </a:ln>
          </c:spPr>
          <c:invertIfNegative val="0"/>
          <c:cat>
            <c:strRef>
              <c:f>Sheet1!$A$2:$A$9</c:f>
              <c:strCache>
                <c:ptCount val="8"/>
                <c:pt idx="0">
                  <c:v>Orders</c:v>
                </c:pt>
                <c:pt idx="1">
                  <c:v>Produc- tion</c:v>
                </c:pt>
                <c:pt idx="2">
                  <c:v>Employ- ment</c:v>
                </c:pt>
                <c:pt idx="3">
                  <c:v>Invest- ment</c:v>
                </c:pt>
                <c:pt idx="4">
                  <c:v>Prices</c:v>
                </c:pt>
                <c:pt idx="5">
                  <c:v>Profits</c:v>
                </c:pt>
                <c:pt idx="6">
                  <c:v>Produc- tivity</c:v>
                </c:pt>
                <c:pt idx="7">
                  <c:v>Exports</c:v>
                </c:pt>
              </c:strCache>
            </c:strRef>
          </c:cat>
          <c:val>
            <c:numRef>
              <c:f>Sheet1!$C$2:$C$9</c:f>
              <c:numCache>
                <c:formatCode>0%</c:formatCode>
                <c:ptCount val="8"/>
                <c:pt idx="0">
                  <c:v>0.23</c:v>
                </c:pt>
                <c:pt idx="1">
                  <c:v>0.41</c:v>
                </c:pt>
                <c:pt idx="2">
                  <c:v>0.41</c:v>
                </c:pt>
                <c:pt idx="3">
                  <c:v>0.39</c:v>
                </c:pt>
                <c:pt idx="4">
                  <c:v>0.14000000000000001</c:v>
                </c:pt>
                <c:pt idx="5">
                  <c:v>0.36</c:v>
                </c:pt>
                <c:pt idx="6">
                  <c:v>0.51</c:v>
                </c:pt>
                <c:pt idx="7">
                  <c:v>0.73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B68-4DAA-83DE-081A98FD6D3E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Down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accent1"/>
              </a:solidFill>
            </a:ln>
          </c:spPr>
          <c:invertIfNegative val="0"/>
          <c:cat>
            <c:strRef>
              <c:f>Sheet1!$A$2:$A$9</c:f>
              <c:strCache>
                <c:ptCount val="8"/>
                <c:pt idx="0">
                  <c:v>Orders</c:v>
                </c:pt>
                <c:pt idx="1">
                  <c:v>Produc- tion</c:v>
                </c:pt>
                <c:pt idx="2">
                  <c:v>Employ- ment</c:v>
                </c:pt>
                <c:pt idx="3">
                  <c:v>Invest- ment</c:v>
                </c:pt>
                <c:pt idx="4">
                  <c:v>Prices</c:v>
                </c:pt>
                <c:pt idx="5">
                  <c:v>Profits</c:v>
                </c:pt>
                <c:pt idx="6">
                  <c:v>Produc- tivity</c:v>
                </c:pt>
                <c:pt idx="7">
                  <c:v>Exports</c:v>
                </c:pt>
              </c:strCache>
            </c:strRef>
          </c:cat>
          <c:val>
            <c:numRef>
              <c:f>Sheet1!$D$2:$D$9</c:f>
              <c:numCache>
                <c:formatCode>0%</c:formatCode>
                <c:ptCount val="8"/>
                <c:pt idx="0">
                  <c:v>0.25</c:v>
                </c:pt>
                <c:pt idx="1">
                  <c:v>0.16</c:v>
                </c:pt>
                <c:pt idx="2">
                  <c:v>0.23</c:v>
                </c:pt>
                <c:pt idx="3">
                  <c:v>0.16</c:v>
                </c:pt>
                <c:pt idx="4">
                  <c:v>0.04</c:v>
                </c:pt>
                <c:pt idx="5">
                  <c:v>0.33</c:v>
                </c:pt>
                <c:pt idx="6">
                  <c:v>0.22</c:v>
                </c:pt>
                <c:pt idx="7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B68-4DAA-83DE-081A98FD6D3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75525480"/>
        <c:axId val="375525088"/>
      </c:barChart>
      <c:catAx>
        <c:axId val="37552548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550" baseline="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375525088"/>
        <c:crosses val="autoZero"/>
        <c:auto val="1"/>
        <c:lblAlgn val="ctr"/>
        <c:lblOffset val="100"/>
        <c:noMultiLvlLbl val="0"/>
      </c:catAx>
      <c:valAx>
        <c:axId val="375525088"/>
        <c:scaling>
          <c:orientation val="minMax"/>
          <c:max val="0.70000000000000007"/>
          <c:min val="0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37552548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11178684818391463"/>
          <c:y val="0.23470840835220338"/>
          <c:w val="0.40832994940156359"/>
          <c:h val="9.4023181819380047E-2"/>
        </c:manualLayout>
      </c:layout>
      <c:overlay val="0"/>
      <c:spPr>
        <a:ln>
          <a:solidFill>
            <a:schemeClr val="accent1"/>
          </a:solidFill>
        </a:ln>
      </c:spPr>
      <c:txPr>
        <a:bodyPr/>
        <a:lstStyle/>
        <a:p>
          <a:pPr>
            <a:defRPr sz="700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900">
                <a:latin typeface="Arial" pitchFamily="34" charset="0"/>
                <a:cs typeface="Arial" pitchFamily="34" charset="0"/>
              </a:defRPr>
            </a:pPr>
            <a:r>
              <a:rPr lang="en-US" sz="800" b="1" i="0" u="none" strike="noStrike" baseline="0">
                <a:effectLst/>
              </a:rPr>
              <a:t>Outlook on Economic Performance for Minnesota's Manufacturing Industry --</a:t>
            </a:r>
          </a:p>
          <a:p>
            <a:pPr>
              <a:defRPr sz="900">
                <a:latin typeface="Arial" pitchFamily="34" charset="0"/>
                <a:cs typeface="Arial" pitchFamily="34" charset="0"/>
              </a:defRPr>
            </a:pPr>
            <a:r>
              <a:rPr lang="en-US" sz="800" b="1" i="0" u="none" strike="noStrike" baseline="0">
                <a:effectLst/>
              </a:rPr>
              <a:t>2023, Compared to 2022</a:t>
            </a:r>
            <a:endParaRPr lang="en-US" sz="800">
              <a:latin typeface="Arial" pitchFamily="34" charset="0"/>
              <a:cs typeface="Arial" pitchFamily="34" charset="0"/>
            </a:endParaRP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8.7771154091241477E-2"/>
          <c:y val="0.2315086040866052"/>
          <c:w val="0.84062156768714325"/>
          <c:h val="0.6387013472098500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Up</c:v>
                </c:pt>
              </c:strCache>
            </c:strRef>
          </c:tx>
          <c:spPr>
            <a:ln>
              <a:solidFill>
                <a:schemeClr val="accent1"/>
              </a:solidFill>
            </a:ln>
          </c:spPr>
          <c:invertIfNegative val="0"/>
          <c:cat>
            <c:strRef>
              <c:f>Sheet1!$A$2:$A$9</c:f>
              <c:strCache>
                <c:ptCount val="8"/>
                <c:pt idx="0">
                  <c:v>Orders</c:v>
                </c:pt>
                <c:pt idx="1">
                  <c:v>Produc- tion</c:v>
                </c:pt>
                <c:pt idx="2">
                  <c:v>Employ- ment</c:v>
                </c:pt>
                <c:pt idx="3">
                  <c:v>Invest- ment</c:v>
                </c:pt>
                <c:pt idx="4">
                  <c:v>Prices</c:v>
                </c:pt>
                <c:pt idx="5">
                  <c:v>Profits</c:v>
                </c:pt>
                <c:pt idx="6">
                  <c:v>Produc- tivity</c:v>
                </c:pt>
                <c:pt idx="7">
                  <c:v>Exports</c:v>
                </c:pt>
              </c:strCache>
            </c:strRef>
          </c:cat>
          <c:val>
            <c:numRef>
              <c:f>Sheet1!$B$2:$B$9</c:f>
              <c:numCache>
                <c:formatCode>0%</c:formatCode>
                <c:ptCount val="8"/>
                <c:pt idx="0">
                  <c:v>0.37</c:v>
                </c:pt>
                <c:pt idx="1">
                  <c:v>0.33</c:v>
                </c:pt>
                <c:pt idx="2">
                  <c:v>0.39</c:v>
                </c:pt>
                <c:pt idx="3">
                  <c:v>0.32</c:v>
                </c:pt>
                <c:pt idx="4">
                  <c:v>0.57999999999999996</c:v>
                </c:pt>
                <c:pt idx="5">
                  <c:v>0.32</c:v>
                </c:pt>
                <c:pt idx="6">
                  <c:v>0.39</c:v>
                </c:pt>
                <c:pt idx="7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00E-4F5A-9C70-EAB220DBDCB4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Same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chemeClr val="accent1"/>
              </a:solidFill>
            </a:ln>
          </c:spPr>
          <c:invertIfNegative val="0"/>
          <c:cat>
            <c:strRef>
              <c:f>Sheet1!$A$2:$A$9</c:f>
              <c:strCache>
                <c:ptCount val="8"/>
                <c:pt idx="0">
                  <c:v>Orders</c:v>
                </c:pt>
                <c:pt idx="1">
                  <c:v>Produc- tion</c:v>
                </c:pt>
                <c:pt idx="2">
                  <c:v>Employ- ment</c:v>
                </c:pt>
                <c:pt idx="3">
                  <c:v>Invest- ment</c:v>
                </c:pt>
                <c:pt idx="4">
                  <c:v>Prices</c:v>
                </c:pt>
                <c:pt idx="5">
                  <c:v>Profits</c:v>
                </c:pt>
                <c:pt idx="6">
                  <c:v>Produc- tivity</c:v>
                </c:pt>
                <c:pt idx="7">
                  <c:v>Exports</c:v>
                </c:pt>
              </c:strCache>
            </c:strRef>
          </c:cat>
          <c:val>
            <c:numRef>
              <c:f>Sheet1!$C$2:$C$9</c:f>
              <c:numCache>
                <c:formatCode>0%</c:formatCode>
                <c:ptCount val="8"/>
                <c:pt idx="0">
                  <c:v>0.37</c:v>
                </c:pt>
                <c:pt idx="1">
                  <c:v>0.55000000000000004</c:v>
                </c:pt>
                <c:pt idx="2">
                  <c:v>0.46</c:v>
                </c:pt>
                <c:pt idx="3">
                  <c:v>0.44</c:v>
                </c:pt>
                <c:pt idx="4">
                  <c:v>0.32</c:v>
                </c:pt>
                <c:pt idx="5">
                  <c:v>0.41</c:v>
                </c:pt>
                <c:pt idx="6">
                  <c:v>0.51</c:v>
                </c:pt>
                <c:pt idx="7">
                  <c:v>0.73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00E-4F5A-9C70-EAB220DBDCB4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Down</c:v>
                </c:pt>
              </c:strCache>
            </c:strRef>
          </c:tx>
          <c:spPr>
            <a:solidFill>
              <a:srgbClr val="FFFF99"/>
            </a:solidFill>
            <a:ln>
              <a:solidFill>
                <a:schemeClr val="accent1"/>
              </a:solidFill>
            </a:ln>
          </c:spPr>
          <c:invertIfNegative val="0"/>
          <c:cat>
            <c:strRef>
              <c:f>Sheet1!$A$2:$A$9</c:f>
              <c:strCache>
                <c:ptCount val="8"/>
                <c:pt idx="0">
                  <c:v>Orders</c:v>
                </c:pt>
                <c:pt idx="1">
                  <c:v>Produc- tion</c:v>
                </c:pt>
                <c:pt idx="2">
                  <c:v>Employ- ment</c:v>
                </c:pt>
                <c:pt idx="3">
                  <c:v>Invest- ment</c:v>
                </c:pt>
                <c:pt idx="4">
                  <c:v>Prices</c:v>
                </c:pt>
                <c:pt idx="5">
                  <c:v>Profits</c:v>
                </c:pt>
                <c:pt idx="6">
                  <c:v>Produc- tivity</c:v>
                </c:pt>
                <c:pt idx="7">
                  <c:v>Exports</c:v>
                </c:pt>
              </c:strCache>
            </c:strRef>
          </c:cat>
          <c:val>
            <c:numRef>
              <c:f>Sheet1!$D$2:$D$9</c:f>
              <c:numCache>
                <c:formatCode>0%</c:formatCode>
                <c:ptCount val="8"/>
                <c:pt idx="0">
                  <c:v>0.26</c:v>
                </c:pt>
                <c:pt idx="1">
                  <c:v>0.12</c:v>
                </c:pt>
                <c:pt idx="2">
                  <c:v>0.16</c:v>
                </c:pt>
                <c:pt idx="3">
                  <c:v>0.24</c:v>
                </c:pt>
                <c:pt idx="4">
                  <c:v>0.1</c:v>
                </c:pt>
                <c:pt idx="5">
                  <c:v>0.28000000000000003</c:v>
                </c:pt>
                <c:pt idx="6">
                  <c:v>0.1</c:v>
                </c:pt>
                <c:pt idx="7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00E-4F5A-9C70-EAB220DBDC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375524304"/>
        <c:axId val="375523912"/>
      </c:barChart>
      <c:catAx>
        <c:axId val="375524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0" vert="horz"/>
          <a:lstStyle/>
          <a:p>
            <a:pPr>
              <a:defRPr sz="610" baseline="0">
                <a:latin typeface="Arial" pitchFamily="34" charset="0"/>
                <a:cs typeface="Arial" pitchFamily="34" charset="0"/>
              </a:defRPr>
            </a:pPr>
            <a:endParaRPr lang="en-US"/>
          </a:p>
        </c:txPr>
        <c:crossAx val="375523912"/>
        <c:crosses val="autoZero"/>
        <c:auto val="1"/>
        <c:lblAlgn val="ctr"/>
        <c:lblOffset val="100"/>
        <c:noMultiLvlLbl val="0"/>
      </c:catAx>
      <c:valAx>
        <c:axId val="375523912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en-US"/>
          </a:p>
        </c:txPr>
        <c:crossAx val="375524304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54413261860182782"/>
          <c:y val="0.26116071087622295"/>
          <c:w val="0.312383635419754"/>
          <c:h val="7.3936167508604378E-2"/>
        </c:manualLayout>
      </c:layout>
      <c:overlay val="0"/>
      <c:spPr>
        <a:ln>
          <a:solidFill>
            <a:schemeClr val="accent1"/>
          </a:solidFill>
        </a:ln>
      </c:spPr>
      <c:txPr>
        <a:bodyPr/>
        <a:lstStyle/>
        <a:p>
          <a:pPr>
            <a:defRPr sz="700">
              <a:latin typeface="Arial" pitchFamily="34" charset="0"/>
              <a:cs typeface="Arial" pitchFamily="34" charset="0"/>
            </a:defRPr>
          </a:pPr>
          <a:endParaRPr lang="en-US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105E1E-698F-4F45-92E1-3A91BBF65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DEED</Company>
  <LinksUpToDate>false</LinksUpToDate>
  <CharactersWithSpaces>7408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Olson</dc:creator>
  <cp:keywords/>
  <dc:description/>
  <cp:lastModifiedBy>Olson, Magda (DEED)</cp:lastModifiedBy>
  <cp:revision>3</cp:revision>
  <cp:lastPrinted>2023-01-03T19:05:00Z</cp:lastPrinted>
  <dcterms:created xsi:type="dcterms:W3CDTF">2023-01-03T20:07:00Z</dcterms:created>
  <dcterms:modified xsi:type="dcterms:W3CDTF">2023-01-10T15:49:00Z</dcterms:modified>
</cp:coreProperties>
</file>