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B902" w14:textId="49CFF640" w:rsidR="00C755F1" w:rsidRPr="00E54018" w:rsidRDefault="000A73A6">
      <w:pPr>
        <w:pStyle w:val="Heading1"/>
        <w:rPr>
          <w:rFonts w:asciiTheme="minorHAnsi" w:hAnsiTheme="minorHAnsi" w:cstheme="minorHAnsi"/>
        </w:rPr>
      </w:pPr>
      <w:r w:rsidRPr="00E54018">
        <w:rPr>
          <w:rFonts w:asciiTheme="minorHAnsi" w:hAnsiTheme="minorHAnsi" w:cstheme="minorHAnsi"/>
        </w:rPr>
        <w:t xml:space="preserve">Survey of </w:t>
      </w:r>
      <w:r w:rsidR="00C755F1" w:rsidRPr="00E54018">
        <w:rPr>
          <w:rFonts w:asciiTheme="minorHAnsi" w:hAnsiTheme="minorHAnsi" w:cstheme="minorHAnsi"/>
        </w:rPr>
        <w:t xml:space="preserve">Minnesota Business </w:t>
      </w:r>
      <w:r w:rsidRPr="00E54018">
        <w:rPr>
          <w:rFonts w:asciiTheme="minorHAnsi" w:hAnsiTheme="minorHAnsi" w:cstheme="minorHAnsi"/>
        </w:rPr>
        <w:t>Services Firms</w:t>
      </w:r>
      <w:r w:rsidR="00571085" w:rsidRPr="00E54018">
        <w:rPr>
          <w:rFonts w:asciiTheme="minorHAnsi" w:hAnsiTheme="minorHAnsi" w:cstheme="minorHAnsi"/>
        </w:rPr>
        <w:t xml:space="preserve"> – 20</w:t>
      </w:r>
      <w:r w:rsidR="00AA5DA2" w:rsidRPr="00E54018">
        <w:rPr>
          <w:rFonts w:asciiTheme="minorHAnsi" w:hAnsiTheme="minorHAnsi" w:cstheme="minorHAnsi"/>
        </w:rPr>
        <w:t>2</w:t>
      </w:r>
      <w:r w:rsidR="005E3D2E" w:rsidRPr="00E54018">
        <w:rPr>
          <w:rFonts w:asciiTheme="minorHAnsi" w:hAnsiTheme="minorHAnsi" w:cstheme="minorHAnsi"/>
        </w:rPr>
        <w:t>2</w:t>
      </w:r>
    </w:p>
    <w:p w14:paraId="3E035246" w14:textId="4478270B" w:rsidR="00E54018" w:rsidRPr="00E54018" w:rsidRDefault="00E54018" w:rsidP="00E5401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21587A">
        <w:rPr>
          <w:rFonts w:asciiTheme="minorHAnsi" w:hAnsiTheme="minorHAnsi" w:cstheme="minorHAnsi"/>
          <w:sz w:val="22"/>
          <w:szCs w:val="22"/>
        </w:rPr>
        <w:t xml:space="preserve">The </w:t>
      </w:r>
      <w:r w:rsidR="0021587A" w:rsidRPr="0021587A">
        <w:rPr>
          <w:rFonts w:asciiTheme="minorHAnsi" w:hAnsiTheme="minorHAnsi" w:cstheme="minorHAnsi"/>
          <w:sz w:val="22"/>
          <w:szCs w:val="22"/>
        </w:rPr>
        <w:t>Data Axle Reference Solutions database</w:t>
      </w:r>
      <w:r w:rsidRPr="0021587A">
        <w:rPr>
          <w:rFonts w:asciiTheme="minorHAnsi" w:hAnsiTheme="minorHAnsi" w:cstheme="minorHAnsi"/>
          <w:sz w:val="22"/>
          <w:szCs w:val="22"/>
        </w:rPr>
        <w:t xml:space="preserve"> </w:t>
      </w:r>
      <w:r w:rsidRPr="00E54018">
        <w:rPr>
          <w:rFonts w:asciiTheme="minorHAnsi" w:hAnsiTheme="minorHAnsi" w:cstheme="minorHAnsi"/>
          <w:sz w:val="22"/>
          <w:szCs w:val="22"/>
        </w:rPr>
        <w:t xml:space="preserve">served as the sampling </w:t>
      </w:r>
      <w:r w:rsidR="007E0055">
        <w:rPr>
          <w:rFonts w:asciiTheme="minorHAnsi" w:hAnsiTheme="minorHAnsi" w:cstheme="minorHAnsi"/>
          <w:sz w:val="22"/>
          <w:szCs w:val="22"/>
        </w:rPr>
        <w:t>source</w:t>
      </w:r>
      <w:r w:rsidRPr="00E54018">
        <w:rPr>
          <w:rFonts w:asciiTheme="minorHAnsi" w:hAnsiTheme="minorHAnsi" w:cstheme="minorHAnsi"/>
          <w:sz w:val="22"/>
          <w:szCs w:val="22"/>
        </w:rPr>
        <w:t>, providing a population of 10,252 service-sector firms, primarily classified under NAICS codes 541 and 561. From this population, a random sample of 1,200 businesses was selected for the survey.</w:t>
      </w:r>
    </w:p>
    <w:p w14:paraId="20781CA0" w14:textId="4B1BD981" w:rsidR="00E54018" w:rsidRPr="00E54018" w:rsidRDefault="00E54018" w:rsidP="00E5401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E54018">
        <w:rPr>
          <w:rFonts w:asciiTheme="minorHAnsi" w:hAnsiTheme="minorHAnsi" w:cstheme="minorHAnsi"/>
          <w:sz w:val="22"/>
          <w:szCs w:val="22"/>
        </w:rPr>
        <w:t xml:space="preserve">The survey was conducted via two mailings. The initial mailing was sent in mid-May, followed by a second mailing in early June to businesses that had not yet responded. The response deadline was June 13, 2022. In total, 224  surveys were returned, resulting in a response rate of 18.7%. </w:t>
      </w:r>
      <w:r w:rsidR="0082286A" w:rsidRPr="00CC689E">
        <w:rPr>
          <w:rFonts w:asciiTheme="minorHAnsi" w:hAnsiTheme="minorHAnsi" w:cstheme="minorHAnsi"/>
          <w:sz w:val="22"/>
        </w:rPr>
        <w:t>Of those, 47 indicated they did not provide business services on site.  Survey results were tabulated for firms with business services operations.</w:t>
      </w:r>
      <w:r w:rsidR="0082286A" w:rsidRPr="00CC4D8E">
        <w:rPr>
          <w:rFonts w:asciiTheme="minorHAnsi" w:hAnsiTheme="minorHAnsi" w:cstheme="minorHAnsi"/>
          <w:sz w:val="22"/>
        </w:rPr>
        <w:t xml:space="preserve"> </w:t>
      </w:r>
    </w:p>
    <w:p w14:paraId="3AEEEDC2" w14:textId="77777777" w:rsidR="00E54018" w:rsidRPr="00E54018" w:rsidRDefault="00E54018" w:rsidP="00E5401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E54018">
        <w:rPr>
          <w:rFonts w:asciiTheme="minorHAnsi" w:hAnsiTheme="minorHAnsi" w:cstheme="minorHAnsi"/>
          <w:sz w:val="22"/>
          <w:szCs w:val="22"/>
        </w:rPr>
        <w:t>The 95% confidence interval for the results is ±5.9 percentage points, accounting for sampling error. However, results may also be subject to non-sampling errors, including the effects of question wording and potential differences between respondents and non-respondents (nonresponse bias).</w:t>
      </w:r>
    </w:p>
    <w:p w14:paraId="06279CD8" w14:textId="77777777" w:rsidR="00C755F1" w:rsidRDefault="00C755F1">
      <w:pPr>
        <w:pStyle w:val="BodyText"/>
        <w:rPr>
          <w:sz w:val="22"/>
        </w:rPr>
      </w:pPr>
    </w:p>
    <w:p w14:paraId="38B8C2E4" w14:textId="77777777" w:rsidR="00C755F1" w:rsidRDefault="00C755F1">
      <w:pPr>
        <w:pStyle w:val="BodyText"/>
        <w:rPr>
          <w:sz w:val="22"/>
        </w:rPr>
      </w:pPr>
    </w:p>
    <w:sectPr w:rsidR="00C755F1">
      <w:pgSz w:w="12240" w:h="15840"/>
      <w:pgMar w:top="1440" w:right="1728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C1"/>
    <w:rsid w:val="000316D2"/>
    <w:rsid w:val="00036F84"/>
    <w:rsid w:val="00061F01"/>
    <w:rsid w:val="000706E7"/>
    <w:rsid w:val="00080C33"/>
    <w:rsid w:val="000849EF"/>
    <w:rsid w:val="000A73A6"/>
    <w:rsid w:val="0015062A"/>
    <w:rsid w:val="001A6E60"/>
    <w:rsid w:val="001F0072"/>
    <w:rsid w:val="001F5090"/>
    <w:rsid w:val="0021587A"/>
    <w:rsid w:val="00282290"/>
    <w:rsid w:val="003E2F1B"/>
    <w:rsid w:val="004152FF"/>
    <w:rsid w:val="00423B4C"/>
    <w:rsid w:val="00475A80"/>
    <w:rsid w:val="004E3A6C"/>
    <w:rsid w:val="00511F9F"/>
    <w:rsid w:val="00571085"/>
    <w:rsid w:val="005B07AF"/>
    <w:rsid w:val="005B12B3"/>
    <w:rsid w:val="005E3D2E"/>
    <w:rsid w:val="00686961"/>
    <w:rsid w:val="00711648"/>
    <w:rsid w:val="00737B6B"/>
    <w:rsid w:val="007757C1"/>
    <w:rsid w:val="00786B6D"/>
    <w:rsid w:val="007E0055"/>
    <w:rsid w:val="0082286A"/>
    <w:rsid w:val="00890412"/>
    <w:rsid w:val="008D31D0"/>
    <w:rsid w:val="0097300A"/>
    <w:rsid w:val="00976E8B"/>
    <w:rsid w:val="009A585C"/>
    <w:rsid w:val="009E1967"/>
    <w:rsid w:val="009F48CB"/>
    <w:rsid w:val="00A24880"/>
    <w:rsid w:val="00A3142A"/>
    <w:rsid w:val="00A66A58"/>
    <w:rsid w:val="00A930B0"/>
    <w:rsid w:val="00AA5DA2"/>
    <w:rsid w:val="00AE5005"/>
    <w:rsid w:val="00AE7CEE"/>
    <w:rsid w:val="00C70AFA"/>
    <w:rsid w:val="00C755F1"/>
    <w:rsid w:val="00C84D7E"/>
    <w:rsid w:val="00CB6378"/>
    <w:rsid w:val="00CC4D8E"/>
    <w:rsid w:val="00CC689E"/>
    <w:rsid w:val="00CE3CEB"/>
    <w:rsid w:val="00D02384"/>
    <w:rsid w:val="00D04AE7"/>
    <w:rsid w:val="00D336BB"/>
    <w:rsid w:val="00D64FC7"/>
    <w:rsid w:val="00DB00CC"/>
    <w:rsid w:val="00E268D2"/>
    <w:rsid w:val="00E54018"/>
    <w:rsid w:val="00E80733"/>
    <w:rsid w:val="00EA5FD4"/>
    <w:rsid w:val="00F203CC"/>
    <w:rsid w:val="00F25265"/>
    <w:rsid w:val="00F47A18"/>
    <w:rsid w:val="00F7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0AEB7"/>
  <w15:docId w15:val="{258A2367-36CA-49B1-92BA-3F4B0A7B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28BCE5-CD60-429D-9D97-F5CF7718AFB8}"/>
</file>

<file path=customXml/itemProps2.xml><?xml version="1.0" encoding="utf-8"?>
<ds:datastoreItem xmlns:ds="http://schemas.openxmlformats.org/officeDocument/2006/customXml" ds:itemID="{3AAB2D68-AF30-4FE7-95E7-93625B9E17B3}"/>
</file>

<file path=customXml/itemProps3.xml><?xml version="1.0" encoding="utf-8"?>
<ds:datastoreItem xmlns:ds="http://schemas.openxmlformats.org/officeDocument/2006/customXml" ds:itemID="{3EA6FC5F-9854-4EEC-99DA-8703CC3221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Manufacturing Business Conditions Survey Methodology</vt:lpstr>
    </vt:vector>
  </TitlesOfParts>
  <Company>DTED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Manufacturing Business Conditions Survey Methodology</dc:title>
  <dc:creator>Pat Simmons</dc:creator>
  <cp:lastModifiedBy>Olson, Magda (DEED)</cp:lastModifiedBy>
  <cp:revision>11</cp:revision>
  <cp:lastPrinted>2006-06-26T21:04:00Z</cp:lastPrinted>
  <dcterms:created xsi:type="dcterms:W3CDTF">2025-05-05T18:34:00Z</dcterms:created>
  <dcterms:modified xsi:type="dcterms:W3CDTF">2025-05-06T18:51:00Z</dcterms:modified>
</cp:coreProperties>
</file>