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3C1E53" w:rsidRPr="003C1E53" w14:paraId="0C142E9B" w14:textId="77777777" w:rsidTr="22169D18">
        <w:trPr>
          <w:tblCellSpacing w:w="0" w:type="dxa"/>
          <w:jc w:val="center"/>
        </w:trPr>
        <w:tc>
          <w:tcPr>
            <w:tcW w:w="0" w:type="auto"/>
            <w:tcMar>
              <w:top w:w="450" w:type="dxa"/>
              <w:left w:w="0" w:type="dxa"/>
              <w:bottom w:w="0" w:type="dxa"/>
              <w:right w:w="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600"/>
            </w:tblGrid>
            <w:tr w:rsidR="003C1E53" w:rsidRPr="003C1E53" w14:paraId="53386432" w14:textId="77777777" w:rsidTr="22169D18">
              <w:trPr>
                <w:tblCellSpacing w:w="0" w:type="dxa"/>
                <w:jc w:val="center"/>
              </w:trPr>
              <w:tc>
                <w:tcPr>
                  <w:tcW w:w="0" w:type="auto"/>
                  <w:vAlign w:val="center"/>
                </w:tcPr>
                <w:tbl>
                  <w:tblPr>
                    <w:tblW w:w="9585" w:type="dxa"/>
                    <w:tblCellSpacing w:w="0" w:type="dxa"/>
                    <w:tblCellMar>
                      <w:left w:w="0" w:type="dxa"/>
                      <w:right w:w="0" w:type="dxa"/>
                    </w:tblCellMar>
                    <w:tblLook w:val="04A0" w:firstRow="1" w:lastRow="0" w:firstColumn="1" w:lastColumn="0" w:noHBand="0" w:noVBand="1"/>
                  </w:tblPr>
                  <w:tblGrid>
                    <w:gridCol w:w="9585"/>
                  </w:tblGrid>
                  <w:tr w:rsidR="003C1E53" w:rsidRPr="003C1E53" w14:paraId="4562EB23" w14:textId="77777777" w:rsidTr="22169D18">
                    <w:trPr>
                      <w:trHeight w:val="675"/>
                      <w:tblCellSpacing w:w="0" w:type="dxa"/>
                    </w:trPr>
                    <w:tc>
                      <w:tcPr>
                        <w:tcW w:w="9585" w:type="dxa"/>
                        <w:vAlign w:val="center"/>
                      </w:tcPr>
                      <w:p w14:paraId="20C6C48A" w14:textId="2D9D9492" w:rsidR="16192A5C" w:rsidRDefault="16192A5C" w:rsidP="2AF46241">
                        <w:r>
                          <w:rPr>
                            <w:noProof/>
                          </w:rPr>
                          <w:drawing>
                            <wp:inline distT="0" distB="0" distL="0" distR="0" wp14:anchorId="4747FC78" wp14:editId="3AAA9082">
                              <wp:extent cx="2213040" cy="585267"/>
                              <wp:effectExtent l="0" t="0" r="0" b="0"/>
                              <wp:docPr id="13120501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50179" name="Picture 1312050179"/>
                                      <pic:cNvPicPr/>
                                    </pic:nvPicPr>
                                    <pic:blipFill>
                                      <a:blip r:embed="rId7">
                                        <a:extLst>
                                          <a:ext uri="{28A0092B-C50C-407E-A947-70E740481C1C}">
                                            <a14:useLocalDpi xmlns:a14="http://schemas.microsoft.com/office/drawing/2010/main"/>
                                          </a:ext>
                                        </a:extLst>
                                      </a:blip>
                                      <a:stretch>
                                        <a:fillRect/>
                                      </a:stretch>
                                    </pic:blipFill>
                                    <pic:spPr>
                                      <a:xfrm>
                                        <a:off x="0" y="0"/>
                                        <a:ext cx="2213040" cy="585267"/>
                                      </a:xfrm>
                                      <a:prstGeom prst="rect">
                                        <a:avLst/>
                                      </a:prstGeom>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585"/>
                        </w:tblGrid>
                        <w:tr w:rsidR="003C1E53" w:rsidRPr="003C1E53" w14:paraId="627975D1" w14:textId="77777777" w:rsidTr="22169D18">
                          <w:trPr>
                            <w:tblCellSpacing w:w="0" w:type="dxa"/>
                          </w:trPr>
                          <w:tc>
                            <w:tcPr>
                              <w:tcW w:w="0" w:type="auto"/>
                              <w:hideMark/>
                            </w:tcPr>
                            <w:p w14:paraId="1717DE0C" w14:textId="06BE012C" w:rsidR="488B0CFF" w:rsidRDefault="488B0CFF" w:rsidP="2AF46241">
                              <w:pPr>
                                <w:spacing w:before="200" w:after="200" w:line="269" w:lineRule="auto"/>
                              </w:pPr>
                              <w:r w:rsidRPr="2AF46241">
                                <w:rPr>
                                  <w:rFonts w:ascii="Calibri" w:eastAsia="Calibri" w:hAnsi="Calibri" w:cs="Calibri"/>
                                  <w:sz w:val="22"/>
                                  <w:szCs w:val="22"/>
                                </w:rPr>
                                <w:t xml:space="preserve">Date: </w:t>
                              </w:r>
                              <w:r>
                                <w:tab/>
                              </w:r>
                              <w:r w:rsidRPr="2AF46241">
                                <w:rPr>
                                  <w:rFonts w:ascii="Calibri" w:eastAsia="Calibri" w:hAnsi="Calibri" w:cs="Calibri"/>
                                  <w:sz w:val="22"/>
                                  <w:szCs w:val="22"/>
                                </w:rPr>
                                <w:t>July 2026</w:t>
                              </w:r>
                            </w:p>
                            <w:p w14:paraId="4BD634D6" w14:textId="3DBC10BC" w:rsidR="488B0CFF" w:rsidRDefault="29D1AA0F" w:rsidP="2AF46241">
                              <w:pPr>
                                <w:spacing w:before="200" w:after="200" w:line="269" w:lineRule="auto"/>
                              </w:pPr>
                              <w:r w:rsidRPr="41826083">
                                <w:rPr>
                                  <w:rFonts w:ascii="Calibri" w:eastAsia="Calibri" w:hAnsi="Calibri" w:cs="Calibri"/>
                                  <w:sz w:val="22"/>
                                  <w:szCs w:val="22"/>
                                </w:rPr>
                                <w:t xml:space="preserve">To: </w:t>
                              </w:r>
                              <w:r w:rsidR="488B0CFF">
                                <w:tab/>
                              </w:r>
                              <w:r w:rsidRPr="41826083">
                                <w:rPr>
                                  <w:rFonts w:ascii="Calibri" w:eastAsia="Calibri" w:hAnsi="Calibri" w:cs="Calibri"/>
                                  <w:sz w:val="22"/>
                                  <w:szCs w:val="22"/>
                                </w:rPr>
                                <w:t xml:space="preserve">Minnesota </w:t>
                              </w:r>
                              <w:r w:rsidR="6548D6A7" w:rsidRPr="41826083">
                                <w:rPr>
                                  <w:rFonts w:ascii="Calibri" w:eastAsia="Calibri" w:hAnsi="Calibri" w:cs="Calibri"/>
                                  <w:sz w:val="22"/>
                                  <w:szCs w:val="22"/>
                                </w:rPr>
                                <w:t>IA and BD Registrants</w:t>
                              </w:r>
                            </w:p>
                            <w:p w14:paraId="3CF39B1B" w14:textId="119DC515" w:rsidR="488B0CFF" w:rsidRDefault="488B0CFF" w:rsidP="2AF46241">
                              <w:pPr>
                                <w:spacing w:before="200" w:after="200" w:line="269" w:lineRule="auto"/>
                              </w:pPr>
                              <w:r w:rsidRPr="2AF46241">
                                <w:rPr>
                                  <w:rFonts w:ascii="Calibri" w:eastAsia="Calibri" w:hAnsi="Calibri" w:cs="Calibri"/>
                                  <w:sz w:val="22"/>
                                  <w:szCs w:val="22"/>
                                </w:rPr>
                                <w:t xml:space="preserve">From: </w:t>
                              </w:r>
                              <w:r>
                                <w:tab/>
                              </w:r>
                              <w:r w:rsidRPr="2AF46241">
                                <w:rPr>
                                  <w:rFonts w:ascii="Calibri" w:eastAsia="Calibri" w:hAnsi="Calibri" w:cs="Calibri"/>
                                  <w:sz w:val="22"/>
                                  <w:szCs w:val="22"/>
                                </w:rPr>
                                <w:t>Financial Institutions Division</w:t>
                              </w:r>
                            </w:p>
                            <w:p w14:paraId="21A983FE" w14:textId="49BF9F72" w:rsidR="488B0CFF" w:rsidRDefault="488B0CFF" w:rsidP="2AF46241">
                              <w:pPr>
                                <w:pStyle w:val="Heading2"/>
                                <w:spacing w:before="360" w:after="240" w:line="269" w:lineRule="auto"/>
                              </w:pPr>
                              <w:r w:rsidRPr="2AF46241">
                                <w:rPr>
                                  <w:rFonts w:ascii="Calibri" w:eastAsia="Calibri" w:hAnsi="Calibri" w:cs="Calibri"/>
                                  <w:color w:val="003865"/>
                                </w:rPr>
                                <w:t>RE: 2026 Minnesota Legislative Updates – Investment Advisers, Broker Dealers and Broker Dealer Agents</w:t>
                              </w:r>
                            </w:p>
                            <w:p w14:paraId="6D3B8A4E" w14:textId="27BE4BF0" w:rsidR="2AF46241" w:rsidRDefault="2AF46241"/>
                            <w:tbl>
                              <w:tblPr>
                                <w:tblW w:w="5000" w:type="pct"/>
                                <w:tblCellSpacing w:w="0" w:type="dxa"/>
                                <w:tblCellMar>
                                  <w:left w:w="0" w:type="dxa"/>
                                  <w:right w:w="0" w:type="dxa"/>
                                </w:tblCellMar>
                                <w:tblLook w:val="04A0" w:firstRow="1" w:lastRow="0" w:firstColumn="1" w:lastColumn="0" w:noHBand="0" w:noVBand="1"/>
                              </w:tblPr>
                              <w:tblGrid>
                                <w:gridCol w:w="9585"/>
                              </w:tblGrid>
                              <w:tr w:rsidR="003C1E53" w:rsidRPr="003C1E53" w14:paraId="4AA9C3E3" w14:textId="77777777" w:rsidTr="2AF46241">
                                <w:trPr>
                                  <w:tblCellSpacing w:w="0" w:type="dxa"/>
                                </w:trPr>
                                <w:tc>
                                  <w:tcPr>
                                    <w:tcW w:w="0" w:type="auto"/>
                                    <w:hideMark/>
                                  </w:tcPr>
                                  <w:p w14:paraId="1B55EE75" w14:textId="46E69C3E" w:rsidR="003C1E53" w:rsidRPr="003C1E53" w:rsidRDefault="003C1E53" w:rsidP="2AF46241">
                                    <w:pPr>
                                      <w:rPr>
                                        <w:rFonts w:eastAsia="Times New Roman"/>
                                        <w:sz w:val="22"/>
                                        <w:szCs w:val="22"/>
                                      </w:rPr>
                                    </w:pPr>
                                  </w:p>
                                </w:tc>
                              </w:tr>
                            </w:tbl>
                            <w:p w14:paraId="6DCCBCF2" w14:textId="77777777" w:rsidR="003C1E53" w:rsidRPr="003C1E53" w:rsidRDefault="003C1E53" w:rsidP="003C1E53"/>
                          </w:tc>
                        </w:tr>
                        <w:tr w:rsidR="22169D18" w14:paraId="7ABF699B" w14:textId="77777777" w:rsidTr="22169D18">
                          <w:trPr>
                            <w:trHeight w:val="300"/>
                            <w:tblCellSpacing w:w="0" w:type="dxa"/>
                          </w:trPr>
                          <w:tc>
                            <w:tcPr>
                              <w:tcW w:w="9585" w:type="dxa"/>
                              <w:hideMark/>
                            </w:tcPr>
                            <w:p w14:paraId="68EFA43D" w14:textId="6808F1F4" w:rsidR="22169D18" w:rsidRDefault="22169D18" w:rsidP="22169D18">
                              <w:pPr>
                                <w:spacing w:line="269" w:lineRule="auto"/>
                                <w:rPr>
                                  <w:rFonts w:ascii="Calibri" w:eastAsia="Calibri" w:hAnsi="Calibri" w:cs="Calibri"/>
                                  <w:sz w:val="22"/>
                                  <w:szCs w:val="22"/>
                                </w:rPr>
                              </w:pPr>
                            </w:p>
                          </w:tc>
                        </w:tr>
                      </w:tbl>
                      <w:p w14:paraId="68A9ADF6" w14:textId="77777777" w:rsidR="003C1E53" w:rsidRDefault="003C1E53" w:rsidP="003C1E53"/>
                      <w:p w14:paraId="7C3C8BBB" w14:textId="47228890" w:rsidR="000A09A0" w:rsidRPr="007C5F3B" w:rsidRDefault="1E37360E" w:rsidP="000A09A0">
                        <w:pPr>
                          <w:pStyle w:val="BodyA"/>
                          <w:jc w:val="both"/>
                          <w:rPr>
                            <w:rFonts w:eastAsia="Times New Roman"/>
                            <w:sz w:val="22"/>
                            <w:szCs w:val="22"/>
                          </w:rPr>
                        </w:pPr>
                        <w:r w:rsidRPr="41826083">
                          <w:rPr>
                            <w:rFonts w:eastAsia="Times New Roman"/>
                            <w:sz w:val="22"/>
                            <w:szCs w:val="22"/>
                          </w:rPr>
                          <w:t xml:space="preserve">As Minnesota’s regulator of financial institutions, the Minnesota Department of Commerce (Department) strives to serve as a trusted resource and impartial regulator, </w:t>
                        </w:r>
                        <w:r w:rsidR="329AF402" w:rsidRPr="41826083">
                          <w:rPr>
                            <w:rFonts w:eastAsia="Times New Roman"/>
                            <w:sz w:val="22"/>
                            <w:szCs w:val="22"/>
                          </w:rPr>
                          <w:t xml:space="preserve">to </w:t>
                        </w:r>
                        <w:r w:rsidRPr="41826083">
                          <w:rPr>
                            <w:rFonts w:eastAsia="Times New Roman"/>
                            <w:sz w:val="22"/>
                            <w:szCs w:val="22"/>
                          </w:rPr>
                          <w:t>protect Minnesota consumers and ensure a competitive market for a broad range of financial services. </w:t>
                        </w:r>
                      </w:p>
                      <w:p w14:paraId="12E1D1DB" w14:textId="77777777" w:rsidR="000A09A0" w:rsidRDefault="000A09A0" w:rsidP="003C1E53"/>
                      <w:p w14:paraId="2950716E" w14:textId="141B06FD" w:rsidR="000A09A0" w:rsidRPr="009E7874" w:rsidRDefault="73D00DE3" w:rsidP="2AF46241">
                        <w:pPr>
                          <w:spacing w:before="200" w:after="200" w:line="269" w:lineRule="auto"/>
                          <w:jc w:val="both"/>
                          <w:rPr>
                            <w:rFonts w:ascii="Calibri" w:eastAsia="Times New Roman" w:hAnsi="Calibri" w:cs="Calibri"/>
                            <w:sz w:val="22"/>
                            <w:szCs w:val="22"/>
                          </w:rPr>
                        </w:pPr>
                        <w:r w:rsidRPr="00CF6777">
                          <w:rPr>
                            <w:rFonts w:ascii="Calibri" w:eastAsia="Calibri" w:hAnsi="Calibri" w:cs="Calibri"/>
                            <w:sz w:val="22"/>
                            <w:szCs w:val="22"/>
                          </w:rPr>
                          <w:t xml:space="preserve">In the 2026 legislative session, a number of law updates were enacted related to investment advisers, broker dealers and broker dealer agents subject to the oversight of the Department of Commerce. On May 20, 2026, Governor Tim Walz signed </w:t>
                        </w:r>
                        <w:r w:rsidR="0094594D" w:rsidRPr="00CF6777">
                          <w:rPr>
                            <w:rFonts w:ascii="Calibri" w:eastAsia="Calibri" w:hAnsi="Calibri" w:cs="Calibri"/>
                            <w:sz w:val="22"/>
                            <w:szCs w:val="22"/>
                          </w:rPr>
                          <w:t xml:space="preserve">Laws of Minnesota 2026, chapter 124, article </w:t>
                        </w:r>
                        <w:r w:rsidR="00FF5714" w:rsidRPr="00CF6777">
                          <w:rPr>
                            <w:rFonts w:ascii="Calibri" w:eastAsia="Calibri" w:hAnsi="Calibri" w:cs="Calibri"/>
                            <w:sz w:val="22"/>
                            <w:szCs w:val="22"/>
                          </w:rPr>
                          <w:t>2</w:t>
                        </w:r>
                        <w:r w:rsidR="0094594D" w:rsidRPr="00CF6777">
                          <w:rPr>
                            <w:rFonts w:ascii="Calibri" w:eastAsia="Calibri" w:hAnsi="Calibri" w:cs="Calibri"/>
                            <w:sz w:val="22"/>
                            <w:szCs w:val="22"/>
                          </w:rPr>
                          <w:t>, section</w:t>
                        </w:r>
                        <w:r w:rsidR="00FF5714" w:rsidRPr="00CF6777">
                          <w:rPr>
                            <w:rFonts w:ascii="Calibri" w:eastAsia="Calibri" w:hAnsi="Calibri" w:cs="Calibri"/>
                            <w:sz w:val="22"/>
                            <w:szCs w:val="22"/>
                          </w:rPr>
                          <w:t>s</w:t>
                        </w:r>
                        <w:r w:rsidR="0094594D" w:rsidRPr="00CF6777">
                          <w:rPr>
                            <w:rFonts w:ascii="Calibri" w:eastAsia="Calibri" w:hAnsi="Calibri" w:cs="Calibri"/>
                            <w:sz w:val="22"/>
                            <w:szCs w:val="22"/>
                          </w:rPr>
                          <w:t xml:space="preserve"> </w:t>
                        </w:r>
                        <w:r w:rsidR="00FF5714" w:rsidRPr="00CF6777">
                          <w:rPr>
                            <w:rFonts w:ascii="Calibri" w:eastAsia="Calibri" w:hAnsi="Calibri" w:cs="Calibri"/>
                            <w:sz w:val="22"/>
                            <w:szCs w:val="22"/>
                          </w:rPr>
                          <w:t>1-</w:t>
                        </w:r>
                        <w:r w:rsidR="00CF6777" w:rsidRPr="00CF6777">
                          <w:rPr>
                            <w:rFonts w:ascii="Calibri" w:eastAsia="Calibri" w:hAnsi="Calibri" w:cs="Calibri"/>
                            <w:sz w:val="22"/>
                            <w:szCs w:val="22"/>
                          </w:rPr>
                          <w:t>3</w:t>
                        </w:r>
                        <w:r w:rsidR="0094594D" w:rsidRPr="00CF6777">
                          <w:rPr>
                            <w:rFonts w:ascii="Calibri" w:eastAsia="Calibri" w:hAnsi="Calibri" w:cs="Calibri"/>
                            <w:sz w:val="22"/>
                            <w:szCs w:val="22"/>
                          </w:rPr>
                          <w:t xml:space="preserve">. </w:t>
                        </w:r>
                        <w:r w:rsidRPr="00CF6777">
                          <w:rPr>
                            <w:rFonts w:ascii="Calibri" w:eastAsia="Calibri" w:hAnsi="Calibri" w:cs="Calibri"/>
                            <w:sz w:val="22"/>
                            <w:szCs w:val="22"/>
                          </w:rPr>
                          <w:t xml:space="preserve">into law. </w:t>
                        </w:r>
                        <w:r w:rsidR="08C32DE7" w:rsidRPr="00CF6777">
                          <w:rPr>
                            <w:rFonts w:ascii="Calibri" w:eastAsia="Calibri" w:hAnsi="Calibri" w:cs="Calibri"/>
                            <w:sz w:val="22"/>
                            <w:szCs w:val="22"/>
                          </w:rPr>
                          <w:t xml:space="preserve">The revised law can be found here: </w:t>
                        </w:r>
                        <w:hyperlink r:id="rId8" w:anchor="laws.2.2.0">
                          <w:r w:rsidR="08C32DE7" w:rsidRPr="00CF6777">
                            <w:rPr>
                              <w:rStyle w:val="Hyperlink"/>
                              <w:rFonts w:ascii="Calibri" w:hAnsi="Calibri" w:cs="Calibri"/>
                              <w:sz w:val="22"/>
                              <w:szCs w:val="22"/>
                            </w:rPr>
                            <w:t>Chapter 124 - MN Laws</w:t>
                          </w:r>
                        </w:hyperlink>
                        <w:r w:rsidRPr="00CF6777">
                          <w:rPr>
                            <w:rFonts w:ascii="Calibri" w:eastAsia="Calibri" w:hAnsi="Calibri" w:cs="Calibri"/>
                            <w:sz w:val="22"/>
                            <w:szCs w:val="22"/>
                          </w:rPr>
                          <w:t xml:space="preserve">. </w:t>
                        </w:r>
                        <w:r w:rsidR="6B608346" w:rsidRPr="00CF6777">
                          <w:rPr>
                            <w:rFonts w:ascii="Calibri" w:eastAsia="Calibri" w:hAnsi="Calibri" w:cs="Calibri"/>
                            <w:sz w:val="22"/>
                            <w:szCs w:val="22"/>
                          </w:rPr>
                          <w:t xml:space="preserve">These updates </w:t>
                        </w:r>
                        <w:r w:rsidRPr="00CF6777">
                          <w:rPr>
                            <w:rFonts w:ascii="Calibri" w:eastAsia="Calibri" w:hAnsi="Calibri" w:cs="Calibri"/>
                            <w:sz w:val="22"/>
                            <w:szCs w:val="22"/>
                          </w:rPr>
                          <w:t>are effective August 1, 2026</w:t>
                        </w:r>
                        <w:r w:rsidR="6C47717B" w:rsidRPr="00CF6777">
                          <w:rPr>
                            <w:rFonts w:ascii="Calibri" w:eastAsia="Calibri" w:hAnsi="Calibri" w:cs="Calibri"/>
                            <w:sz w:val="22"/>
                            <w:szCs w:val="22"/>
                          </w:rPr>
                          <w:t xml:space="preserve">. </w:t>
                        </w:r>
                        <w:r w:rsidR="60B60C47" w:rsidRPr="00CF6777">
                          <w:rPr>
                            <w:rFonts w:ascii="Calibri" w:eastAsia="Times New Roman" w:hAnsi="Calibri" w:cs="Calibri"/>
                            <w:sz w:val="22"/>
                            <w:szCs w:val="22"/>
                          </w:rPr>
                          <w:t xml:space="preserve">An outline of the updates is </w:t>
                        </w:r>
                        <w:r w:rsidR="61222AA2" w:rsidRPr="00CF6777">
                          <w:rPr>
                            <w:rFonts w:ascii="Calibri" w:eastAsia="Times New Roman" w:hAnsi="Calibri" w:cs="Calibri"/>
                            <w:sz w:val="22"/>
                            <w:szCs w:val="22"/>
                          </w:rPr>
                          <w:t xml:space="preserve">provided below. The Department strongly encourages you to familiarize yourself with all applicable </w:t>
                        </w:r>
                        <w:r w:rsidR="0B540239" w:rsidRPr="00CF6777">
                          <w:rPr>
                            <w:rFonts w:ascii="Calibri" w:eastAsia="Times New Roman" w:hAnsi="Calibri" w:cs="Calibri"/>
                            <w:sz w:val="22"/>
                            <w:szCs w:val="22"/>
                          </w:rPr>
                          <w:t>statute</w:t>
                        </w:r>
                        <w:r w:rsidR="61222AA2" w:rsidRPr="00CF6777">
                          <w:rPr>
                            <w:rFonts w:ascii="Calibri" w:eastAsia="Times New Roman" w:hAnsi="Calibri" w:cs="Calibri"/>
                            <w:sz w:val="22"/>
                            <w:szCs w:val="22"/>
                          </w:rPr>
                          <w:t xml:space="preserve"> changes promptly. </w:t>
                        </w:r>
                      </w:p>
                      <w:p w14:paraId="279AF4ED" w14:textId="77777777" w:rsidR="004D669F" w:rsidRDefault="004D669F" w:rsidP="000A09A0">
                        <w:pPr>
                          <w:pStyle w:val="BodyA"/>
                          <w:jc w:val="both"/>
                          <w:rPr>
                            <w:rFonts w:eastAsia="Times New Roman"/>
                            <w:sz w:val="22"/>
                            <w:szCs w:val="22"/>
                          </w:rPr>
                        </w:pPr>
                      </w:p>
                      <w:p w14:paraId="40571C8E" w14:textId="77777777" w:rsidR="00E175C3" w:rsidRDefault="004D669F" w:rsidP="00E175C3">
                        <w:pPr>
                          <w:pStyle w:val="BodyA"/>
                          <w:jc w:val="both"/>
                          <w:rPr>
                            <w:rFonts w:eastAsia="Times New Roman"/>
                            <w:b/>
                            <w:bCs/>
                            <w:sz w:val="22"/>
                            <w:szCs w:val="22"/>
                          </w:rPr>
                        </w:pPr>
                        <w:r w:rsidRPr="004D669F">
                          <w:rPr>
                            <w:rFonts w:eastAsia="Times New Roman"/>
                            <w:b/>
                            <w:bCs/>
                            <w:sz w:val="22"/>
                            <w:szCs w:val="22"/>
                          </w:rPr>
                          <w:t>Investment Adviser Updates:</w:t>
                        </w:r>
                      </w:p>
                      <w:p w14:paraId="236E396C" w14:textId="593F3BE2" w:rsidR="004D669F" w:rsidRPr="00E175C3" w:rsidRDefault="00CF6777" w:rsidP="2AF46241">
                        <w:pPr>
                          <w:pStyle w:val="BodyA"/>
                          <w:tabs>
                            <w:tab w:val="num" w:pos="1440"/>
                          </w:tabs>
                          <w:spacing w:before="0"/>
                          <w:jc w:val="both"/>
                          <w:rPr>
                            <w:rFonts w:eastAsia="Times New Roman"/>
                            <w:sz w:val="22"/>
                            <w:szCs w:val="22"/>
                          </w:rPr>
                        </w:pPr>
                        <w:r w:rsidRPr="22169D18">
                          <w:rPr>
                            <w:rFonts w:eastAsia="Times New Roman"/>
                            <w:sz w:val="22"/>
                            <w:szCs w:val="22"/>
                          </w:rPr>
                          <w:t>Minn. Stat. §</w:t>
                        </w:r>
                        <w:r w:rsidR="5728833A" w:rsidRPr="22169D18">
                          <w:rPr>
                            <w:rFonts w:eastAsia="Times New Roman"/>
                            <w:sz w:val="22"/>
                            <w:szCs w:val="22"/>
                          </w:rPr>
                          <w:t xml:space="preserve">80A.66 </w:t>
                        </w:r>
                        <w:r w:rsidR="007E20E3" w:rsidRPr="22169D18">
                          <w:rPr>
                            <w:rFonts w:eastAsia="Times New Roman"/>
                            <w:sz w:val="22"/>
                            <w:szCs w:val="22"/>
                          </w:rPr>
                          <w:t>has been amended</w:t>
                        </w:r>
                        <w:r w:rsidR="7ABCEE0C" w:rsidRPr="22169D18">
                          <w:rPr>
                            <w:rFonts w:eastAsia="Times New Roman"/>
                            <w:sz w:val="22"/>
                            <w:szCs w:val="22"/>
                          </w:rPr>
                          <w:t xml:space="preserve"> </w:t>
                        </w:r>
                        <w:r w:rsidR="5728833A" w:rsidRPr="22169D18">
                          <w:rPr>
                            <w:rFonts w:eastAsia="Times New Roman"/>
                            <w:sz w:val="22"/>
                            <w:szCs w:val="22"/>
                          </w:rPr>
                          <w:t>to incorporate NASAA’s Model Rules related to cybersecurity and business continuity planning requirements. Investment Advisers are now required to establish, maintain and enforce written procedures pertaining to business continuity and success</w:t>
                        </w:r>
                        <w:r w:rsidR="0B0B69DF" w:rsidRPr="22169D18">
                          <w:rPr>
                            <w:rFonts w:eastAsia="Times New Roman"/>
                            <w:sz w:val="22"/>
                            <w:szCs w:val="22"/>
                          </w:rPr>
                          <w:t>ion</w:t>
                        </w:r>
                        <w:r w:rsidR="5728833A" w:rsidRPr="22169D18">
                          <w:rPr>
                            <w:rFonts w:eastAsia="Times New Roman"/>
                            <w:sz w:val="22"/>
                            <w:szCs w:val="22"/>
                          </w:rPr>
                          <w:t xml:space="preserve"> planning. An Investment Adviser is also required to establish, implement, update and enforce written physical security and cybersecurity </w:t>
                        </w:r>
                        <w:r w:rsidR="5604974D" w:rsidRPr="22169D18">
                          <w:rPr>
                            <w:rFonts w:eastAsia="Times New Roman"/>
                            <w:sz w:val="22"/>
                            <w:szCs w:val="22"/>
                          </w:rPr>
                          <w:t>policies</w:t>
                        </w:r>
                        <w:r w:rsidR="5728833A" w:rsidRPr="22169D18">
                          <w:rPr>
                            <w:rFonts w:eastAsia="Times New Roman"/>
                            <w:sz w:val="22"/>
                            <w:szCs w:val="22"/>
                          </w:rPr>
                          <w:t xml:space="preserve"> and procedures.  </w:t>
                        </w:r>
                      </w:p>
                      <w:p w14:paraId="553F2B54" w14:textId="563A264F" w:rsidR="004D669F" w:rsidRPr="00E175C3" w:rsidRDefault="004D669F" w:rsidP="2AF46241">
                        <w:pPr>
                          <w:pStyle w:val="BodyA"/>
                          <w:jc w:val="both"/>
                          <w:rPr>
                            <w:rFonts w:eastAsia="Times New Roman"/>
                            <w:sz w:val="22"/>
                            <w:szCs w:val="22"/>
                          </w:rPr>
                        </w:pPr>
                      </w:p>
                      <w:p w14:paraId="3B088BFD" w14:textId="77777777" w:rsidR="00706C03" w:rsidRDefault="00706C03" w:rsidP="000A09A0">
                        <w:pPr>
                          <w:pStyle w:val="BodyA"/>
                          <w:jc w:val="both"/>
                          <w:rPr>
                            <w:rFonts w:eastAsia="Times New Roman"/>
                            <w:sz w:val="22"/>
                            <w:szCs w:val="22"/>
                          </w:rPr>
                        </w:pPr>
                      </w:p>
                      <w:p w14:paraId="649E1D60" w14:textId="5662AED7" w:rsidR="00706C03" w:rsidRPr="004D669F" w:rsidRDefault="60B60C47" w:rsidP="000A09A0">
                        <w:pPr>
                          <w:pStyle w:val="BodyA"/>
                          <w:jc w:val="both"/>
                          <w:rPr>
                            <w:rFonts w:eastAsia="Times New Roman"/>
                            <w:b/>
                            <w:bCs/>
                            <w:sz w:val="22"/>
                            <w:szCs w:val="22"/>
                          </w:rPr>
                        </w:pPr>
                        <w:r w:rsidRPr="41826083">
                          <w:rPr>
                            <w:rFonts w:eastAsia="Times New Roman"/>
                            <w:b/>
                            <w:bCs/>
                            <w:sz w:val="22"/>
                            <w:szCs w:val="22"/>
                          </w:rPr>
                          <w:t>Broker Deal</w:t>
                        </w:r>
                        <w:r w:rsidR="2E962538" w:rsidRPr="41826083">
                          <w:rPr>
                            <w:rFonts w:eastAsia="Times New Roman"/>
                            <w:b/>
                            <w:bCs/>
                            <w:sz w:val="22"/>
                            <w:szCs w:val="22"/>
                          </w:rPr>
                          <w:t>er</w:t>
                        </w:r>
                        <w:r w:rsidRPr="41826083">
                          <w:rPr>
                            <w:rFonts w:eastAsia="Times New Roman"/>
                            <w:b/>
                            <w:bCs/>
                            <w:sz w:val="22"/>
                            <w:szCs w:val="22"/>
                          </w:rPr>
                          <w:t xml:space="preserve"> Updates:</w:t>
                        </w:r>
                      </w:p>
                      <w:p w14:paraId="1C9486E1" w14:textId="5E21D4B1" w:rsidR="004D5304" w:rsidRDefault="00365DF4" w:rsidP="2AF46241">
                        <w:pPr>
                          <w:pStyle w:val="BodyA"/>
                          <w:tabs>
                            <w:tab w:val="num" w:pos="1440"/>
                          </w:tabs>
                          <w:spacing w:before="0"/>
                          <w:jc w:val="both"/>
                          <w:rPr>
                            <w:rFonts w:eastAsia="Times New Roman"/>
                            <w:sz w:val="22"/>
                            <w:szCs w:val="22"/>
                          </w:rPr>
                        </w:pPr>
                        <w:r w:rsidRPr="22169D18">
                          <w:rPr>
                            <w:rFonts w:eastAsia="Times New Roman"/>
                            <w:sz w:val="22"/>
                            <w:szCs w:val="22"/>
                          </w:rPr>
                          <w:t>Minn. Stat. §</w:t>
                        </w:r>
                        <w:r w:rsidR="004D5304" w:rsidRPr="22169D18">
                          <w:rPr>
                            <w:rFonts w:eastAsia="Times New Roman"/>
                            <w:sz w:val="22"/>
                            <w:szCs w:val="22"/>
                          </w:rPr>
                          <w:t xml:space="preserve">80A.66 </w:t>
                        </w:r>
                        <w:r w:rsidR="0076604B" w:rsidRPr="22169D18">
                          <w:rPr>
                            <w:rFonts w:eastAsia="Times New Roman"/>
                            <w:sz w:val="22"/>
                            <w:szCs w:val="22"/>
                          </w:rPr>
                          <w:t xml:space="preserve">has been </w:t>
                        </w:r>
                        <w:r w:rsidR="004D5304" w:rsidRPr="22169D18">
                          <w:rPr>
                            <w:rFonts w:eastAsia="Times New Roman"/>
                            <w:sz w:val="22"/>
                            <w:szCs w:val="22"/>
                          </w:rPr>
                          <w:t>amended to include a requirement that a Broker Dealer;</w:t>
                        </w:r>
                        <w:r w:rsidR="5E533F77" w:rsidRPr="22169D18">
                          <w:rPr>
                            <w:rFonts w:eastAsia="Times New Roman"/>
                            <w:sz w:val="22"/>
                            <w:szCs w:val="22"/>
                          </w:rPr>
                          <w:t xml:space="preserve"> </w:t>
                        </w:r>
                      </w:p>
                      <w:p w14:paraId="25E72340" w14:textId="517B2331" w:rsidR="004D5304" w:rsidRDefault="004D5304" w:rsidP="004D5304">
                        <w:pPr>
                          <w:pStyle w:val="BodyA"/>
                          <w:tabs>
                            <w:tab w:val="num" w:pos="1440"/>
                          </w:tabs>
                          <w:spacing w:before="0"/>
                          <w:jc w:val="both"/>
                          <w:rPr>
                            <w:rFonts w:eastAsia="Times New Roman"/>
                            <w:sz w:val="22"/>
                            <w:szCs w:val="22"/>
                          </w:rPr>
                        </w:pPr>
                      </w:p>
                      <w:p w14:paraId="1927971C" w14:textId="56A2F136" w:rsidR="000A09A0" w:rsidRPr="00E20BA4" w:rsidRDefault="60B60C47" w:rsidP="000F21F6">
                        <w:pPr>
                          <w:pStyle w:val="BodyA"/>
                          <w:numPr>
                            <w:ilvl w:val="0"/>
                            <w:numId w:val="6"/>
                          </w:numPr>
                          <w:tabs>
                            <w:tab w:val="num" w:pos="1440"/>
                          </w:tabs>
                          <w:spacing w:before="0"/>
                          <w:jc w:val="both"/>
                          <w:rPr>
                            <w:rFonts w:eastAsia="Times New Roman"/>
                            <w:sz w:val="22"/>
                            <w:szCs w:val="22"/>
                          </w:rPr>
                        </w:pPr>
                        <w:r w:rsidRPr="00E20BA4">
                          <w:rPr>
                            <w:rFonts w:eastAsia="Times New Roman"/>
                            <w:sz w:val="22"/>
                            <w:szCs w:val="22"/>
                          </w:rPr>
                          <w:t>whose principal office is located in Minnesota, must have at least one registered person employed on a full-time basis a</w:t>
                        </w:r>
                        <w:r w:rsidR="5604974D" w:rsidRPr="00E20BA4">
                          <w:rPr>
                            <w:rFonts w:eastAsia="Times New Roman"/>
                            <w:sz w:val="22"/>
                            <w:szCs w:val="22"/>
                          </w:rPr>
                          <w:t>t</w:t>
                        </w:r>
                        <w:r w:rsidRPr="00E20BA4">
                          <w:rPr>
                            <w:rFonts w:eastAsia="Times New Roman"/>
                            <w:sz w:val="22"/>
                            <w:szCs w:val="22"/>
                          </w:rPr>
                          <w:t xml:space="preserve"> the principal office located in Minnesota</w:t>
                        </w:r>
                        <w:r w:rsidR="00AC6B36">
                          <w:rPr>
                            <w:rStyle w:val="FootnoteReference"/>
                            <w:rFonts w:eastAsia="Times New Roman"/>
                            <w:sz w:val="22"/>
                            <w:szCs w:val="22"/>
                          </w:rPr>
                          <w:footnoteReference w:id="1"/>
                        </w:r>
                        <w:r w:rsidRPr="00E20BA4">
                          <w:rPr>
                            <w:rFonts w:eastAsia="Times New Roman"/>
                            <w:sz w:val="22"/>
                            <w:szCs w:val="22"/>
                          </w:rPr>
                          <w:t xml:space="preserve"> </w:t>
                        </w:r>
                      </w:p>
                      <w:p w14:paraId="6785EED6" w14:textId="6F338174" w:rsidR="00B21E6F" w:rsidRPr="009E7874" w:rsidRDefault="7BADEAF3" w:rsidP="004D5304">
                        <w:pPr>
                          <w:pStyle w:val="ListParagraph"/>
                          <w:numPr>
                            <w:ilvl w:val="0"/>
                            <w:numId w:val="6"/>
                          </w:numPr>
                          <w:rPr>
                            <w:rFonts w:ascii="Calibri" w:hAnsi="Calibri" w:cs="Calibri"/>
                            <w:sz w:val="22"/>
                            <w:szCs w:val="22"/>
                          </w:rPr>
                        </w:pPr>
                        <w:r w:rsidRPr="22169D18">
                          <w:rPr>
                            <w:rFonts w:ascii="Calibri" w:hAnsi="Calibri" w:cs="Calibri"/>
                            <w:sz w:val="22"/>
                            <w:szCs w:val="22"/>
                          </w:rPr>
                          <w:t xml:space="preserve">establish and </w:t>
                        </w:r>
                        <w:r w:rsidR="60B60C47" w:rsidRPr="22169D18">
                          <w:rPr>
                            <w:rFonts w:ascii="Calibri" w:hAnsi="Calibri" w:cs="Calibri"/>
                            <w:sz w:val="22"/>
                            <w:szCs w:val="22"/>
                          </w:rPr>
                          <w:t>maintain</w:t>
                        </w:r>
                        <w:r w:rsidRPr="22169D18">
                          <w:rPr>
                            <w:rFonts w:ascii="Calibri" w:hAnsi="Calibri" w:cs="Calibri"/>
                            <w:sz w:val="22"/>
                            <w:szCs w:val="22"/>
                          </w:rPr>
                          <w:t xml:space="preserve"> written supervisory procedures and a system for applying such procedures</w:t>
                        </w:r>
                      </w:p>
                      <w:p w14:paraId="577CDE7B" w14:textId="7FBCC827" w:rsidR="00706C03" w:rsidRPr="009E7874" w:rsidRDefault="60B60C47" w:rsidP="41826083">
                        <w:pPr>
                          <w:pStyle w:val="ListParagraph"/>
                          <w:numPr>
                            <w:ilvl w:val="0"/>
                            <w:numId w:val="6"/>
                          </w:numPr>
                          <w:rPr>
                            <w:rFonts w:ascii="Calibri" w:eastAsia="Times New Roman" w:hAnsi="Calibri" w:cs="Calibri"/>
                            <w:sz w:val="22"/>
                            <w:szCs w:val="22"/>
                          </w:rPr>
                        </w:pPr>
                        <w:r w:rsidRPr="22169D18">
                          <w:rPr>
                            <w:rFonts w:ascii="Calibri" w:eastAsia="Times New Roman" w:hAnsi="Calibri" w:cs="Calibri"/>
                            <w:sz w:val="22"/>
                            <w:szCs w:val="22"/>
                          </w:rPr>
                          <w:t>promptly provide to the customer a written confirmation at or before completing a transaction in accordance with FINRA Rule 2232</w:t>
                        </w:r>
                      </w:p>
                      <w:p w14:paraId="23DA1F7F" w14:textId="51F9DA4F" w:rsidR="00706C03" w:rsidRPr="009E7874" w:rsidRDefault="2AEB62EE" w:rsidP="004D5304">
                        <w:pPr>
                          <w:pStyle w:val="ListParagraph"/>
                          <w:numPr>
                            <w:ilvl w:val="0"/>
                            <w:numId w:val="6"/>
                          </w:numPr>
                          <w:rPr>
                            <w:rFonts w:ascii="Calibri" w:hAnsi="Calibri" w:cs="Calibri"/>
                            <w:sz w:val="22"/>
                            <w:szCs w:val="22"/>
                          </w:rPr>
                        </w:pPr>
                        <w:r w:rsidRPr="22169D18">
                          <w:rPr>
                            <w:rFonts w:ascii="Calibri" w:hAnsi="Calibri" w:cs="Calibri"/>
                            <w:sz w:val="22"/>
                            <w:szCs w:val="22"/>
                          </w:rPr>
                          <w:t>is prohibited</w:t>
                        </w:r>
                        <w:r w:rsidR="60B60C47" w:rsidRPr="22169D18">
                          <w:rPr>
                            <w:rFonts w:ascii="Calibri" w:hAnsi="Calibri" w:cs="Calibri"/>
                            <w:sz w:val="22"/>
                            <w:szCs w:val="22"/>
                          </w:rPr>
                          <w:t xml:space="preserve"> from entering into a contract with a customer if the contract contains a condition, stipulation or provision that binds the customer to waive rights under Chapter</w:t>
                        </w:r>
                        <w:r w:rsidR="00240107" w:rsidRPr="22169D18">
                          <w:rPr>
                            <w:rFonts w:ascii="Calibri" w:hAnsi="Calibri" w:cs="Calibri"/>
                            <w:sz w:val="22"/>
                            <w:szCs w:val="22"/>
                          </w:rPr>
                          <w:t xml:space="preserve"> </w:t>
                        </w:r>
                        <w:r w:rsidR="60B60C47" w:rsidRPr="22169D18">
                          <w:rPr>
                            <w:rFonts w:ascii="Calibri" w:hAnsi="Calibri" w:cs="Calibri"/>
                            <w:sz w:val="22"/>
                            <w:szCs w:val="22"/>
                          </w:rPr>
                          <w:t>80A; Minnesota Rules, chapter 2876; or an order issued by the Commissioner</w:t>
                        </w:r>
                      </w:p>
                      <w:p w14:paraId="6CFF787A" w14:textId="220D025D" w:rsidR="004D669F" w:rsidRPr="009E7874" w:rsidRDefault="5728833A" w:rsidP="2AF46241">
                        <w:pPr>
                          <w:ind w:left="360"/>
                          <w:rPr>
                            <w:rFonts w:ascii="Calibri" w:hAnsi="Calibri" w:cs="Calibri"/>
                            <w:sz w:val="22"/>
                            <w:szCs w:val="22"/>
                          </w:rPr>
                        </w:pPr>
                        <w:r w:rsidRPr="22169D18">
                          <w:rPr>
                            <w:rFonts w:ascii="Calibri" w:eastAsiaTheme="minorEastAsia" w:hAnsi="Calibri" w:cs="Calibri"/>
                            <w:sz w:val="22"/>
                            <w:szCs w:val="22"/>
                          </w:rPr>
                          <w:t xml:space="preserve">80A.691 was added </w:t>
                        </w:r>
                        <w:r w:rsidR="7F5E4E9F" w:rsidRPr="22169D18">
                          <w:rPr>
                            <w:rFonts w:ascii="Calibri" w:eastAsiaTheme="minorEastAsia" w:hAnsi="Calibri" w:cs="Calibri"/>
                            <w:sz w:val="22"/>
                            <w:szCs w:val="22"/>
                          </w:rPr>
                          <w:t>under</w:t>
                        </w:r>
                        <w:r w:rsidR="7F5E4E9F" w:rsidRPr="00E20BA4">
                          <w:rPr>
                            <w:rFonts w:ascii="Calibri" w:hAnsi="Calibri" w:cs="Calibri"/>
                            <w:sz w:val="22"/>
                            <w:szCs w:val="22"/>
                          </w:rPr>
                          <w:t xml:space="preserve"> </w:t>
                        </w:r>
                        <w:hyperlink r:id="rId9" w:anchor="laws.2.3.0">
                          <w:r w:rsidR="7F5E4E9F" w:rsidRPr="00E20BA4">
                            <w:rPr>
                              <w:rStyle w:val="Hyperlink"/>
                              <w:rFonts w:ascii="Calibri" w:hAnsi="Calibri" w:cs="Calibri"/>
                              <w:sz w:val="22"/>
                              <w:szCs w:val="22"/>
                            </w:rPr>
                            <w:t>Chapter 124, Article 2, Section 3</w:t>
                          </w:r>
                        </w:hyperlink>
                        <w:r w:rsidR="7F5E4E9F" w:rsidRPr="00E20BA4">
                          <w:rPr>
                            <w:rFonts w:ascii="Calibri" w:hAnsi="Calibri" w:cs="Calibri"/>
                            <w:sz w:val="22"/>
                            <w:szCs w:val="22"/>
                          </w:rPr>
                          <w:t xml:space="preserve"> </w:t>
                        </w:r>
                        <w:r w:rsidRPr="00E20BA4">
                          <w:rPr>
                            <w:rFonts w:ascii="Calibri" w:hAnsi="Calibri" w:cs="Calibri"/>
                            <w:sz w:val="22"/>
                            <w:szCs w:val="22"/>
                          </w:rPr>
                          <w:t>to outline dishonest or unethical business practices of Broker Dealers and Broker Dealer Agents</w:t>
                        </w:r>
                        <w:r w:rsidR="101C3443" w:rsidRPr="00E20BA4">
                          <w:rPr>
                            <w:rFonts w:ascii="Calibri" w:hAnsi="Calibri" w:cs="Calibri"/>
                            <w:sz w:val="22"/>
                            <w:szCs w:val="22"/>
                          </w:rPr>
                          <w:t>.</w:t>
                        </w:r>
                      </w:p>
                      <w:p w14:paraId="1EDCDE9F" w14:textId="77777777" w:rsidR="000A09A0" w:rsidRPr="007C5F3B" w:rsidRDefault="000A09A0" w:rsidP="000A09A0">
                        <w:pPr>
                          <w:pStyle w:val="BodyA"/>
                          <w:jc w:val="both"/>
                          <w:rPr>
                            <w:rFonts w:eastAsia="Times New Roman"/>
                            <w:sz w:val="22"/>
                            <w:szCs w:val="22"/>
                          </w:rPr>
                        </w:pPr>
                        <w:r w:rsidRPr="007C5F3B">
                          <w:rPr>
                            <w:rFonts w:eastAsia="Times New Roman"/>
                            <w:sz w:val="22"/>
                            <w:szCs w:val="22"/>
                          </w:rPr>
                          <w:t> </w:t>
                        </w:r>
                      </w:p>
                      <w:p w14:paraId="1A553E40" w14:textId="3B94DD8E" w:rsidR="000A09A0" w:rsidRPr="00DA76FB" w:rsidRDefault="000A09A0" w:rsidP="000A09A0">
                        <w:pPr>
                          <w:pStyle w:val="BodyA"/>
                          <w:jc w:val="both"/>
                          <w:rPr>
                            <w:rFonts w:eastAsia="Times New Roman"/>
                            <w:color w:val="auto"/>
                            <w:sz w:val="22"/>
                            <w:szCs w:val="22"/>
                          </w:rPr>
                        </w:pPr>
                        <w:r w:rsidRPr="2AF46241">
                          <w:rPr>
                            <w:rFonts w:eastAsia="Times New Roman"/>
                            <w:color w:val="auto"/>
                            <w:sz w:val="22"/>
                            <w:szCs w:val="22"/>
                          </w:rPr>
                          <w:t>These updates align Minnesota with other applicable state</w:t>
                        </w:r>
                        <w:r w:rsidR="00D068FA" w:rsidRPr="2AF46241">
                          <w:rPr>
                            <w:rFonts w:eastAsia="Times New Roman"/>
                            <w:color w:val="auto"/>
                            <w:sz w:val="22"/>
                            <w:szCs w:val="22"/>
                          </w:rPr>
                          <w:t xml:space="preserve"> and federal </w:t>
                        </w:r>
                        <w:r w:rsidR="00A23BBF" w:rsidRPr="2AF46241">
                          <w:rPr>
                            <w:rFonts w:eastAsia="Times New Roman"/>
                            <w:color w:val="auto"/>
                            <w:sz w:val="22"/>
                            <w:szCs w:val="22"/>
                          </w:rPr>
                          <w:t xml:space="preserve">regulations </w:t>
                        </w:r>
                        <w:r w:rsidRPr="2AF46241">
                          <w:rPr>
                            <w:rFonts w:eastAsia="Times New Roman"/>
                            <w:color w:val="auto"/>
                            <w:sz w:val="22"/>
                            <w:szCs w:val="22"/>
                          </w:rPr>
                          <w:t xml:space="preserve">as well as allow the Department to strengthen and enhance its Investment Adviser and Broker Dealer </w:t>
                        </w:r>
                        <w:r w:rsidR="31ABCED2" w:rsidRPr="2AF46241">
                          <w:rPr>
                            <w:rFonts w:eastAsia="Times New Roman"/>
                            <w:color w:val="auto"/>
                            <w:sz w:val="22"/>
                            <w:szCs w:val="22"/>
                          </w:rPr>
                          <w:t xml:space="preserve">registration and </w:t>
                        </w:r>
                        <w:r w:rsidRPr="2AF46241">
                          <w:rPr>
                            <w:rFonts w:eastAsia="Times New Roman"/>
                            <w:color w:val="auto"/>
                            <w:sz w:val="22"/>
                            <w:szCs w:val="22"/>
                          </w:rPr>
                          <w:t>examination programs</w:t>
                        </w:r>
                        <w:r w:rsidR="63197C3F" w:rsidRPr="2AF46241">
                          <w:rPr>
                            <w:rFonts w:eastAsia="Times New Roman"/>
                            <w:color w:val="auto"/>
                            <w:sz w:val="22"/>
                            <w:szCs w:val="22"/>
                          </w:rPr>
                          <w:t xml:space="preserve">. </w:t>
                        </w:r>
                        <w:r w:rsidRPr="2AF46241">
                          <w:rPr>
                            <w:rFonts w:eastAsia="Times New Roman"/>
                            <w:color w:val="auto"/>
                            <w:sz w:val="22"/>
                            <w:szCs w:val="22"/>
                          </w:rPr>
                          <w:t> </w:t>
                        </w:r>
                      </w:p>
                      <w:p w14:paraId="127FA7E2" w14:textId="5DA6ABD1" w:rsidR="2AF46241" w:rsidRDefault="2AF46241" w:rsidP="2AF46241">
                        <w:pPr>
                          <w:pStyle w:val="BodyA"/>
                          <w:jc w:val="both"/>
                          <w:rPr>
                            <w:rFonts w:eastAsia="Times New Roman"/>
                            <w:color w:val="auto"/>
                            <w:sz w:val="22"/>
                            <w:szCs w:val="22"/>
                          </w:rPr>
                        </w:pPr>
                      </w:p>
                      <w:p w14:paraId="414745FA" w14:textId="6B66D44A" w:rsidR="4714DDBB" w:rsidRDefault="4714DDBB" w:rsidP="2AF46241">
                        <w:pPr>
                          <w:spacing w:before="200" w:after="200" w:line="269" w:lineRule="auto"/>
                          <w:jc w:val="both"/>
                        </w:pPr>
                        <w:r w:rsidRPr="2AF46241">
                          <w:rPr>
                            <w:rFonts w:ascii="Calibri" w:eastAsia="Calibri" w:hAnsi="Calibri" w:cs="Calibri"/>
                            <w:b/>
                            <w:bCs/>
                            <w:sz w:val="22"/>
                            <w:szCs w:val="22"/>
                            <w:u w:val="single"/>
                          </w:rPr>
                          <w:t>How will the Financial Institutions Division implement these requirements?</w:t>
                        </w:r>
                      </w:p>
                      <w:p w14:paraId="75C38956" w14:textId="08879F45" w:rsidR="3EE05EB0" w:rsidRDefault="524F277C" w:rsidP="41826083">
                        <w:pPr>
                          <w:pStyle w:val="ListParagraph"/>
                          <w:numPr>
                            <w:ilvl w:val="0"/>
                            <w:numId w:val="1"/>
                          </w:numPr>
                          <w:spacing w:after="0" w:line="269" w:lineRule="auto"/>
                          <w:ind w:left="360"/>
                          <w:jc w:val="both"/>
                          <w:rPr>
                            <w:rFonts w:ascii="Calibri" w:eastAsia="Calibri" w:hAnsi="Calibri" w:cs="Calibri"/>
                            <w:sz w:val="22"/>
                            <w:szCs w:val="22"/>
                          </w:rPr>
                        </w:pPr>
                        <w:r w:rsidRPr="41826083">
                          <w:rPr>
                            <w:rFonts w:ascii="Calibri" w:eastAsia="Calibri" w:hAnsi="Calibri" w:cs="Calibri"/>
                            <w:b/>
                            <w:bCs/>
                            <w:sz w:val="22"/>
                            <w:szCs w:val="22"/>
                          </w:rPr>
                          <w:t>Registrations</w:t>
                        </w:r>
                        <w:r w:rsidR="76F98466" w:rsidRPr="41826083">
                          <w:rPr>
                            <w:rFonts w:ascii="Calibri" w:eastAsia="Calibri" w:hAnsi="Calibri" w:cs="Calibri"/>
                            <w:b/>
                            <w:bCs/>
                            <w:sz w:val="22"/>
                            <w:szCs w:val="22"/>
                          </w:rPr>
                          <w:t xml:space="preserve"> – </w:t>
                        </w:r>
                        <w:r w:rsidR="6CC3C126" w:rsidRPr="41826083">
                          <w:rPr>
                            <w:rFonts w:ascii="Calibri" w:eastAsia="Calibri" w:hAnsi="Calibri" w:cs="Calibri"/>
                            <w:sz w:val="22"/>
                            <w:szCs w:val="22"/>
                          </w:rPr>
                          <w:t xml:space="preserve">The </w:t>
                        </w:r>
                        <w:r w:rsidR="077E8B52" w:rsidRPr="41826083">
                          <w:rPr>
                            <w:rFonts w:ascii="Calibri" w:eastAsia="Calibri" w:hAnsi="Calibri" w:cs="Calibri"/>
                            <w:sz w:val="22"/>
                            <w:szCs w:val="22"/>
                          </w:rPr>
                          <w:t>registration team</w:t>
                        </w:r>
                        <w:r w:rsidR="6CC3C126" w:rsidRPr="41826083">
                          <w:rPr>
                            <w:rFonts w:ascii="Calibri" w:eastAsia="Calibri" w:hAnsi="Calibri" w:cs="Calibri"/>
                            <w:sz w:val="22"/>
                            <w:szCs w:val="22"/>
                          </w:rPr>
                          <w:t xml:space="preserve"> </w:t>
                        </w:r>
                        <w:r w:rsidR="56E04A0D" w:rsidRPr="41826083">
                          <w:rPr>
                            <w:rFonts w:ascii="Calibri" w:eastAsia="Calibri" w:hAnsi="Calibri" w:cs="Calibri"/>
                            <w:sz w:val="22"/>
                            <w:szCs w:val="22"/>
                          </w:rPr>
                          <w:t>will update</w:t>
                        </w:r>
                        <w:r w:rsidR="6CC3C126" w:rsidRPr="41826083">
                          <w:rPr>
                            <w:rFonts w:ascii="Calibri" w:eastAsia="Calibri" w:hAnsi="Calibri" w:cs="Calibri"/>
                            <w:sz w:val="22"/>
                            <w:szCs w:val="22"/>
                          </w:rPr>
                          <w:t xml:space="preserve"> the application checklists accordingly</w:t>
                        </w:r>
                        <w:r w:rsidR="2FD577AE" w:rsidRPr="41826083">
                          <w:rPr>
                            <w:rFonts w:ascii="Calibri" w:eastAsia="Calibri" w:hAnsi="Calibri" w:cs="Calibri"/>
                            <w:sz w:val="22"/>
                            <w:szCs w:val="22"/>
                          </w:rPr>
                          <w:t xml:space="preserve"> and check for compliance with the updated provisions</w:t>
                        </w:r>
                        <w:r w:rsidR="6CC3C126" w:rsidRPr="41826083">
                          <w:rPr>
                            <w:rFonts w:ascii="Calibri" w:eastAsia="Calibri" w:hAnsi="Calibri" w:cs="Calibri"/>
                            <w:sz w:val="22"/>
                            <w:szCs w:val="22"/>
                          </w:rPr>
                          <w:t>.</w:t>
                        </w:r>
                      </w:p>
                      <w:p w14:paraId="3ACAB934" w14:textId="2D7371D0" w:rsidR="3EE05EB0" w:rsidRDefault="76F98466" w:rsidP="41826083">
                        <w:pPr>
                          <w:pStyle w:val="ListParagraph"/>
                          <w:numPr>
                            <w:ilvl w:val="0"/>
                            <w:numId w:val="1"/>
                          </w:numPr>
                          <w:spacing w:after="0" w:line="269" w:lineRule="auto"/>
                          <w:ind w:left="360"/>
                          <w:jc w:val="both"/>
                          <w:rPr>
                            <w:rFonts w:ascii="Calibri" w:eastAsia="Calibri" w:hAnsi="Calibri" w:cs="Calibri"/>
                            <w:sz w:val="22"/>
                            <w:szCs w:val="22"/>
                          </w:rPr>
                        </w:pPr>
                        <w:r w:rsidRPr="41826083">
                          <w:rPr>
                            <w:rFonts w:ascii="Calibri" w:eastAsia="Calibri" w:hAnsi="Calibri" w:cs="Calibri"/>
                            <w:b/>
                            <w:bCs/>
                            <w:sz w:val="22"/>
                            <w:szCs w:val="22"/>
                          </w:rPr>
                          <w:t>Examinations –</w:t>
                        </w:r>
                        <w:r w:rsidRPr="41826083">
                          <w:rPr>
                            <w:rFonts w:ascii="Calibri" w:eastAsia="Calibri" w:hAnsi="Calibri" w:cs="Calibri"/>
                            <w:sz w:val="22"/>
                            <w:szCs w:val="22"/>
                          </w:rPr>
                          <w:t xml:space="preserve"> </w:t>
                        </w:r>
                        <w:r w:rsidR="2B92732D" w:rsidRPr="41826083">
                          <w:rPr>
                            <w:rFonts w:ascii="Calibri" w:eastAsia="Calibri" w:hAnsi="Calibri" w:cs="Calibri"/>
                            <w:sz w:val="22"/>
                            <w:szCs w:val="22"/>
                          </w:rPr>
                          <w:t>The e</w:t>
                        </w:r>
                        <w:r w:rsidRPr="41826083">
                          <w:rPr>
                            <w:rFonts w:ascii="Calibri" w:eastAsia="Calibri" w:hAnsi="Calibri" w:cs="Calibri"/>
                            <w:sz w:val="22"/>
                            <w:szCs w:val="22"/>
                          </w:rPr>
                          <w:t>xamination team will examin</w:t>
                        </w:r>
                        <w:r w:rsidR="196FCE77" w:rsidRPr="41826083">
                          <w:rPr>
                            <w:rFonts w:ascii="Calibri" w:eastAsia="Calibri" w:hAnsi="Calibri" w:cs="Calibri"/>
                            <w:sz w:val="22"/>
                            <w:szCs w:val="22"/>
                          </w:rPr>
                          <w:t>e</w:t>
                        </w:r>
                        <w:r w:rsidRPr="41826083">
                          <w:rPr>
                            <w:rFonts w:ascii="Calibri" w:eastAsia="Calibri" w:hAnsi="Calibri" w:cs="Calibri"/>
                            <w:sz w:val="22"/>
                            <w:szCs w:val="22"/>
                          </w:rPr>
                          <w:t xml:space="preserve"> for compliance with the changes</w:t>
                        </w:r>
                        <w:r w:rsidR="60722145" w:rsidRPr="41826083">
                          <w:rPr>
                            <w:rFonts w:ascii="Calibri" w:eastAsia="Calibri" w:hAnsi="Calibri" w:cs="Calibri"/>
                            <w:sz w:val="22"/>
                            <w:szCs w:val="22"/>
                          </w:rPr>
                          <w:t xml:space="preserve"> begin</w:t>
                        </w:r>
                        <w:r w:rsidR="30D2C2BC" w:rsidRPr="41826083">
                          <w:rPr>
                            <w:rFonts w:ascii="Calibri" w:eastAsia="Calibri" w:hAnsi="Calibri" w:cs="Calibri"/>
                            <w:sz w:val="22"/>
                            <w:szCs w:val="22"/>
                          </w:rPr>
                          <w:t>n</w:t>
                        </w:r>
                        <w:r w:rsidR="60722145" w:rsidRPr="41826083">
                          <w:rPr>
                            <w:rFonts w:ascii="Calibri" w:eastAsia="Calibri" w:hAnsi="Calibri" w:cs="Calibri"/>
                            <w:sz w:val="22"/>
                            <w:szCs w:val="22"/>
                          </w:rPr>
                          <w:t xml:space="preserve">ing </w:t>
                        </w:r>
                        <w:r w:rsidRPr="41826083">
                          <w:rPr>
                            <w:rFonts w:ascii="Calibri" w:eastAsia="Calibri" w:hAnsi="Calibri" w:cs="Calibri"/>
                            <w:sz w:val="22"/>
                            <w:szCs w:val="22"/>
                          </w:rPr>
                          <w:t>August 1</w:t>
                        </w:r>
                        <w:r w:rsidRPr="41826083">
                          <w:rPr>
                            <w:rFonts w:ascii="Calibri" w:eastAsia="Calibri" w:hAnsi="Calibri" w:cs="Calibri"/>
                            <w:sz w:val="22"/>
                            <w:szCs w:val="22"/>
                            <w:vertAlign w:val="superscript"/>
                          </w:rPr>
                          <w:t>st</w:t>
                        </w:r>
                        <w:r w:rsidR="40CA4B83" w:rsidRPr="41826083">
                          <w:rPr>
                            <w:rFonts w:ascii="Calibri" w:eastAsia="Calibri" w:hAnsi="Calibri" w:cs="Calibri"/>
                            <w:sz w:val="22"/>
                            <w:szCs w:val="22"/>
                          </w:rPr>
                          <w:t xml:space="preserve">, </w:t>
                        </w:r>
                        <w:r w:rsidRPr="41826083">
                          <w:rPr>
                            <w:rFonts w:ascii="Calibri" w:eastAsia="Calibri" w:hAnsi="Calibri" w:cs="Calibri"/>
                            <w:sz w:val="22"/>
                            <w:szCs w:val="22"/>
                          </w:rPr>
                          <w:t>2026</w:t>
                        </w:r>
                        <w:r w:rsidR="5199DEF6" w:rsidRPr="41826083">
                          <w:rPr>
                            <w:rFonts w:ascii="Calibri" w:eastAsia="Calibri" w:hAnsi="Calibri" w:cs="Calibri"/>
                            <w:sz w:val="22"/>
                            <w:szCs w:val="22"/>
                          </w:rPr>
                          <w:t xml:space="preserve">. </w:t>
                        </w:r>
                        <w:r w:rsidR="31636F37" w:rsidRPr="41826083">
                          <w:rPr>
                            <w:rFonts w:ascii="Calibri" w:eastAsia="Calibri" w:hAnsi="Calibri" w:cs="Calibri"/>
                            <w:sz w:val="22"/>
                            <w:szCs w:val="22"/>
                          </w:rPr>
                          <w:t xml:space="preserve"> </w:t>
                        </w:r>
                      </w:p>
                      <w:p w14:paraId="5341D179" w14:textId="77777777" w:rsidR="000A09A0" w:rsidRPr="007C5F3B" w:rsidRDefault="000A09A0" w:rsidP="000A09A0">
                        <w:pPr>
                          <w:pStyle w:val="BodyA"/>
                          <w:jc w:val="both"/>
                          <w:rPr>
                            <w:rFonts w:eastAsia="Times New Roman"/>
                            <w:sz w:val="22"/>
                            <w:szCs w:val="22"/>
                          </w:rPr>
                        </w:pPr>
                        <w:r w:rsidRPr="007C5F3B">
                          <w:rPr>
                            <w:rFonts w:eastAsia="Times New Roman"/>
                            <w:sz w:val="22"/>
                            <w:szCs w:val="22"/>
                          </w:rPr>
                          <w:t> </w:t>
                        </w:r>
                      </w:p>
                      <w:p w14:paraId="5749CDA4" w14:textId="170E60A6" w:rsidR="003C1E53" w:rsidRPr="003C1E53" w:rsidRDefault="1E37360E" w:rsidP="41826083">
                        <w:pPr>
                          <w:pStyle w:val="BodyA"/>
                          <w:rPr>
                            <w:rFonts w:eastAsia="Times New Roman"/>
                            <w:sz w:val="22"/>
                            <w:szCs w:val="22"/>
                          </w:rPr>
                        </w:pPr>
                        <w:r w:rsidRPr="41826083">
                          <w:rPr>
                            <w:rFonts w:eastAsia="Times New Roman"/>
                            <w:sz w:val="22"/>
                            <w:szCs w:val="22"/>
                          </w:rPr>
                          <w:t xml:space="preserve">Thank you for your continued partnership in supporting Minnesota’s economy and providing needed financial services. Please do not hesitate to contact the Department at </w:t>
                        </w:r>
                        <w:hyperlink r:id="rId10">
                          <w:r w:rsidRPr="41826083">
                            <w:rPr>
                              <w:rStyle w:val="Hyperlink"/>
                              <w:rFonts w:eastAsia="Times New Roman"/>
                              <w:sz w:val="22"/>
                              <w:szCs w:val="22"/>
                            </w:rPr>
                            <w:t>Securities.IA-BD.Registration.Commerce@state.mn.us</w:t>
                          </w:r>
                        </w:hyperlink>
                        <w:r w:rsidRPr="41826083">
                          <w:rPr>
                            <w:rFonts w:eastAsia="Times New Roman"/>
                            <w:sz w:val="22"/>
                            <w:szCs w:val="22"/>
                          </w:rPr>
                          <w:t xml:space="preserve"> if you have questions regarding the updated</w:t>
                        </w:r>
                        <w:r w:rsidR="278397BC" w:rsidRPr="41826083">
                          <w:rPr>
                            <w:rFonts w:eastAsia="Times New Roman"/>
                            <w:sz w:val="22"/>
                            <w:szCs w:val="22"/>
                          </w:rPr>
                          <w:t xml:space="preserve"> laws</w:t>
                        </w:r>
                        <w:r w:rsidRPr="41826083">
                          <w:rPr>
                            <w:rFonts w:eastAsia="Times New Roman"/>
                            <w:sz w:val="22"/>
                            <w:szCs w:val="22"/>
                          </w:rPr>
                          <w:t>.   </w:t>
                        </w:r>
                      </w:p>
                    </w:tc>
                  </w:tr>
                  <w:tr w:rsidR="00B21E6F" w:rsidRPr="003C1E53" w14:paraId="5B822B7B" w14:textId="77777777" w:rsidTr="22169D18">
                    <w:trPr>
                      <w:tblCellSpacing w:w="0" w:type="dxa"/>
                    </w:trPr>
                    <w:tc>
                      <w:tcPr>
                        <w:tcW w:w="9585" w:type="dxa"/>
                        <w:vAlign w:val="center"/>
                      </w:tcPr>
                      <w:p w14:paraId="173EB3BE" w14:textId="77777777" w:rsidR="00B21E6F" w:rsidRPr="007C5F3B" w:rsidRDefault="00B21E6F" w:rsidP="000A09A0">
                        <w:pPr>
                          <w:pStyle w:val="BodyA"/>
                          <w:jc w:val="both"/>
                          <w:rPr>
                            <w:rFonts w:eastAsia="Times New Roman"/>
                            <w:b/>
                            <w:bCs/>
                            <w:sz w:val="22"/>
                            <w:szCs w:val="22"/>
                          </w:rPr>
                        </w:pPr>
                      </w:p>
                    </w:tc>
                  </w:tr>
                </w:tbl>
                <w:p w14:paraId="16A28BE1" w14:textId="77777777" w:rsidR="00D05660" w:rsidRDefault="00D05660" w:rsidP="00D05660">
                  <w:pPr>
                    <w:pStyle w:val="ListParagraph"/>
                    <w:rPr>
                      <w:rFonts w:ascii="Calibri" w:hAnsi="Calibri" w:cs="Calibri"/>
                    </w:rPr>
                  </w:pPr>
                </w:p>
                <w:p w14:paraId="7EE38064" w14:textId="77777777" w:rsidR="003C1E53" w:rsidRPr="003C1E53" w:rsidRDefault="003C1E53" w:rsidP="003C1E53"/>
                <w:tbl>
                  <w:tblPr>
                    <w:tblW w:w="5000" w:type="pct"/>
                    <w:tblCellSpacing w:w="0" w:type="dxa"/>
                    <w:tblCellMar>
                      <w:left w:w="0" w:type="dxa"/>
                      <w:right w:w="0" w:type="dxa"/>
                    </w:tblCellMar>
                    <w:tblLook w:val="04A0" w:firstRow="1" w:lastRow="0" w:firstColumn="1" w:lastColumn="0" w:noHBand="0" w:noVBand="1"/>
                  </w:tblPr>
                  <w:tblGrid>
                    <w:gridCol w:w="9600"/>
                  </w:tblGrid>
                  <w:tr w:rsidR="003C1E53" w:rsidRPr="003C1E53" w14:paraId="3163D4BE" w14:textId="77777777" w:rsidTr="22169D18">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9600"/>
                        </w:tblGrid>
                        <w:tr w:rsidR="003C1E53" w:rsidRPr="003C1E53" w14:paraId="19585A5A" w14:textId="77777777" w:rsidTr="22169D18">
                          <w:trPr>
                            <w:tblCellSpacing w:w="0" w:type="dxa"/>
                          </w:trPr>
                          <w:tc>
                            <w:tcPr>
                              <w:tcW w:w="0" w:type="auto"/>
                              <w:tcMar>
                                <w:top w:w="0" w:type="dxa"/>
                                <w:left w:w="75" w:type="dxa"/>
                                <w:bottom w:w="450" w:type="dxa"/>
                                <w:right w:w="75" w:type="dxa"/>
                              </w:tcMar>
                              <w:hideMark/>
                            </w:tcPr>
                            <w:p w14:paraId="66DC9ECA" w14:textId="337B4E51" w:rsidR="00D068FA" w:rsidRDefault="00D068FA" w:rsidP="41826083"/>
                            <w:p w14:paraId="44857A46" w14:textId="57FDC51A" w:rsidR="41826083" w:rsidRDefault="41826083" w:rsidP="41826083"/>
                            <w:p w14:paraId="64CFF78A" w14:textId="77777777" w:rsidR="003C1E53" w:rsidRPr="003C1E53" w:rsidRDefault="003C1E53" w:rsidP="003C1E53"/>
                          </w:tc>
                        </w:tr>
                      </w:tbl>
                      <w:p w14:paraId="6D8EF3C7" w14:textId="77777777" w:rsidR="003C1E53" w:rsidRPr="003C1E53" w:rsidRDefault="003C1E53" w:rsidP="003C1E53">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3C1E53" w:rsidRPr="003C1E53" w14:paraId="2D75D1CE" w14:textId="77777777">
                          <w:trPr>
                            <w:tblCellSpacing w:w="0" w:type="dxa"/>
                            <w:hidden/>
                          </w:trPr>
                          <w:tc>
                            <w:tcPr>
                              <w:tcW w:w="0" w:type="auto"/>
                              <w:tcMar>
                                <w:top w:w="0" w:type="dxa"/>
                                <w:left w:w="0" w:type="dxa"/>
                                <w:bottom w:w="150" w:type="dxa"/>
                                <w:right w:w="0" w:type="dxa"/>
                              </w:tcMar>
                              <w:vAlign w:val="center"/>
                              <w:hideMark/>
                            </w:tcPr>
                            <w:p w14:paraId="202B0544" w14:textId="77777777" w:rsidR="003C1E53" w:rsidRPr="003C1E53" w:rsidRDefault="003C1E53" w:rsidP="003C1E53">
                              <w:pPr>
                                <w:rPr>
                                  <w:vanish/>
                                </w:rPr>
                              </w:pPr>
                            </w:p>
                          </w:tc>
                        </w:tr>
                        <w:tr w:rsidR="003C1E53" w:rsidRPr="003C1E53" w14:paraId="0A141A36" w14:textId="77777777">
                          <w:trPr>
                            <w:tblCellSpacing w:w="0" w:type="dxa"/>
                          </w:trPr>
                          <w:tc>
                            <w:tcPr>
                              <w:tcW w:w="0" w:type="auto"/>
                              <w:tcMar>
                                <w:top w:w="0" w:type="dxa"/>
                                <w:left w:w="150" w:type="dxa"/>
                                <w:bottom w:w="150" w:type="dxa"/>
                                <w:right w:w="150" w:type="dxa"/>
                              </w:tcMar>
                              <w:hideMark/>
                            </w:tcPr>
                            <w:tbl>
                              <w:tblPr>
                                <w:tblW w:w="5000" w:type="pct"/>
                                <w:tblCellSpacing w:w="0" w:type="dxa"/>
                                <w:tblCellMar>
                                  <w:left w:w="0" w:type="dxa"/>
                                  <w:right w:w="0" w:type="dxa"/>
                                </w:tblCellMar>
                                <w:tblLook w:val="04A0" w:firstRow="1" w:lastRow="0" w:firstColumn="1" w:lastColumn="0" w:noHBand="0" w:noVBand="1"/>
                              </w:tblPr>
                              <w:tblGrid>
                                <w:gridCol w:w="9300"/>
                              </w:tblGrid>
                              <w:tr w:rsidR="003C1E53" w:rsidRPr="003C1E53" w14:paraId="0E66C63A" w14:textId="77777777">
                                <w:trPr>
                                  <w:tblCellSpacing w:w="0" w:type="dxa"/>
                                </w:trPr>
                                <w:tc>
                                  <w:tcPr>
                                    <w:tcW w:w="0" w:type="auto"/>
                                    <w:vAlign w:val="center"/>
                                    <w:hideMark/>
                                  </w:tcPr>
                                  <w:p w14:paraId="1BFE85FC" w14:textId="7E7F468B" w:rsidR="003C1E53" w:rsidRPr="003C1E53" w:rsidRDefault="003C1E53" w:rsidP="003C1E53">
                                    <w:r w:rsidRPr="003C1E53">
                                      <w:rPr>
                                        <w:noProof/>
                                      </w:rPr>
                                      <w:drawing>
                                        <wp:inline distT="0" distB="0" distL="0" distR="0" wp14:anchorId="398CB4F7" wp14:editId="0CB7B3F4">
                                          <wp:extent cx="7620" cy="7620"/>
                                          <wp:effectExtent l="0" t="0" r="0" b="0"/>
                                          <wp:docPr id="1600830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17CF62F5" w14:textId="77777777" w:rsidR="003C1E53" w:rsidRPr="003C1E53" w:rsidRDefault="003C1E53" w:rsidP="003C1E53"/>
                          </w:tc>
                        </w:tr>
                      </w:tbl>
                      <w:p w14:paraId="403E4EDA" w14:textId="77777777" w:rsidR="003C1E53" w:rsidRPr="003C1E53" w:rsidRDefault="003C1E53" w:rsidP="003C1E53"/>
                    </w:tc>
                  </w:tr>
                </w:tbl>
                <w:p w14:paraId="5DE544CE" w14:textId="77777777" w:rsidR="003C1E53" w:rsidRPr="003C1E53" w:rsidRDefault="003C1E53" w:rsidP="003C1E53">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3C1E53" w:rsidRPr="003C1E53" w14:paraId="2FA039BF" w14:textId="77777777">
                    <w:trPr>
                      <w:tblCellSpacing w:w="0" w:type="dxa"/>
                    </w:trPr>
                    <w:tc>
                      <w:tcPr>
                        <w:tcW w:w="0" w:type="auto"/>
                        <w:vAlign w:val="center"/>
                        <w:hideMark/>
                      </w:tcPr>
                      <w:p w14:paraId="3F8D6D20" w14:textId="77777777" w:rsidR="003C1E53" w:rsidRPr="003C1E53" w:rsidRDefault="003C1E53" w:rsidP="003C1E53"/>
                    </w:tc>
                  </w:tr>
                </w:tbl>
                <w:p w14:paraId="30D4150D" w14:textId="77777777" w:rsidR="003C1E53" w:rsidRPr="003C1E53" w:rsidRDefault="003C1E53" w:rsidP="003C1E53"/>
              </w:tc>
            </w:tr>
          </w:tbl>
          <w:p w14:paraId="3568AF27" w14:textId="77777777" w:rsidR="003C1E53" w:rsidRPr="003C1E53" w:rsidRDefault="003C1E53" w:rsidP="003C1E53"/>
        </w:tc>
      </w:tr>
    </w:tbl>
    <w:p w14:paraId="7CD79B7E" w14:textId="77777777" w:rsidR="007C0E91" w:rsidRDefault="007C0E91"/>
    <w:sectPr w:rsidR="007C0E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0668" w14:textId="77777777" w:rsidR="00AC6B36" w:rsidRDefault="00AC6B36" w:rsidP="00AC6B36">
      <w:pPr>
        <w:spacing w:after="0" w:line="240" w:lineRule="auto"/>
      </w:pPr>
      <w:r>
        <w:separator/>
      </w:r>
    </w:p>
  </w:endnote>
  <w:endnote w:type="continuationSeparator" w:id="0">
    <w:p w14:paraId="4138E435" w14:textId="77777777" w:rsidR="00AC6B36" w:rsidRDefault="00AC6B36" w:rsidP="00AC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AF72" w14:textId="77777777" w:rsidR="00AC6B36" w:rsidRDefault="00AC6B36" w:rsidP="00AC6B36">
      <w:pPr>
        <w:spacing w:after="0" w:line="240" w:lineRule="auto"/>
      </w:pPr>
      <w:r>
        <w:separator/>
      </w:r>
    </w:p>
  </w:footnote>
  <w:footnote w:type="continuationSeparator" w:id="0">
    <w:p w14:paraId="1B8A0FBD" w14:textId="77777777" w:rsidR="00AC6B36" w:rsidRDefault="00AC6B36" w:rsidP="00AC6B36">
      <w:pPr>
        <w:spacing w:after="0" w:line="240" w:lineRule="auto"/>
      </w:pPr>
      <w:r>
        <w:continuationSeparator/>
      </w:r>
    </w:p>
  </w:footnote>
  <w:footnote w:id="1">
    <w:p w14:paraId="440C9B01" w14:textId="286E946A" w:rsidR="00AC6B36" w:rsidRPr="009E7874" w:rsidRDefault="00AC6B36">
      <w:pPr>
        <w:pStyle w:val="FootnoteText"/>
        <w:rPr>
          <w:rFonts w:ascii="Calibri" w:hAnsi="Calibri" w:cs="Calibri"/>
        </w:rPr>
      </w:pPr>
      <w:r w:rsidRPr="009E7874">
        <w:rPr>
          <w:rStyle w:val="FootnoteReference"/>
          <w:rFonts w:ascii="Calibri" w:hAnsi="Calibri" w:cs="Calibri"/>
        </w:rPr>
        <w:footnoteRef/>
      </w:r>
      <w:r w:rsidR="22169D18" w:rsidRPr="00236F9C">
        <w:rPr>
          <w:rFonts w:ascii="Calibri" w:hAnsi="Calibri" w:cs="Calibri"/>
        </w:rPr>
        <w:t xml:space="preserve"> This </w:t>
      </w:r>
      <w:r w:rsidR="22169D18" w:rsidRPr="00236F9C">
        <w:rPr>
          <w:rFonts w:ascii="Calibri" w:hAnsi="Calibri" w:cs="Calibri"/>
        </w:rPr>
        <w:t xml:space="preserve">does not apply to a broker-dealer engaged solely in offering and selling: (1) interests in a direct participation program; or (2) securities issued by open-end investment companies, face amount certificate companies, or unit investment trusts registered under the Investment Company Act of 1940, United States Code, title 15, sections 80a-1 to 80a-64.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03E9"/>
    <w:multiLevelType w:val="multilevel"/>
    <w:tmpl w:val="585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2330AA"/>
    <w:multiLevelType w:val="hybridMultilevel"/>
    <w:tmpl w:val="50182D36"/>
    <w:lvl w:ilvl="0" w:tplc="124EA95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903649"/>
    <w:multiLevelType w:val="hybridMultilevel"/>
    <w:tmpl w:val="F1E0C556"/>
    <w:lvl w:ilvl="0" w:tplc="30C44758">
      <w:start w:val="1"/>
      <w:numFmt w:val="bullet"/>
      <w:lvlText w:val="·"/>
      <w:lvlJc w:val="left"/>
      <w:pPr>
        <w:ind w:left="720" w:hanging="360"/>
      </w:pPr>
      <w:rPr>
        <w:rFonts w:ascii="Symbol" w:hAnsi="Symbol" w:hint="default"/>
      </w:rPr>
    </w:lvl>
    <w:lvl w:ilvl="1" w:tplc="896EBD00">
      <w:start w:val="1"/>
      <w:numFmt w:val="bullet"/>
      <w:lvlText w:val="o"/>
      <w:lvlJc w:val="left"/>
      <w:pPr>
        <w:ind w:left="1440" w:hanging="360"/>
      </w:pPr>
      <w:rPr>
        <w:rFonts w:ascii="Courier New" w:hAnsi="Courier New" w:hint="default"/>
      </w:rPr>
    </w:lvl>
    <w:lvl w:ilvl="2" w:tplc="417CC17C">
      <w:start w:val="1"/>
      <w:numFmt w:val="bullet"/>
      <w:lvlText w:val=""/>
      <w:lvlJc w:val="left"/>
      <w:pPr>
        <w:ind w:left="2160" w:hanging="360"/>
      </w:pPr>
      <w:rPr>
        <w:rFonts w:ascii="Wingdings" w:hAnsi="Wingdings" w:hint="default"/>
      </w:rPr>
    </w:lvl>
    <w:lvl w:ilvl="3" w:tplc="3FEC9DB8">
      <w:start w:val="1"/>
      <w:numFmt w:val="bullet"/>
      <w:lvlText w:val=""/>
      <w:lvlJc w:val="left"/>
      <w:pPr>
        <w:ind w:left="2880" w:hanging="360"/>
      </w:pPr>
      <w:rPr>
        <w:rFonts w:ascii="Symbol" w:hAnsi="Symbol" w:hint="default"/>
      </w:rPr>
    </w:lvl>
    <w:lvl w:ilvl="4" w:tplc="195ACFAE">
      <w:start w:val="1"/>
      <w:numFmt w:val="bullet"/>
      <w:lvlText w:val="o"/>
      <w:lvlJc w:val="left"/>
      <w:pPr>
        <w:ind w:left="3600" w:hanging="360"/>
      </w:pPr>
      <w:rPr>
        <w:rFonts w:ascii="Courier New" w:hAnsi="Courier New" w:hint="default"/>
      </w:rPr>
    </w:lvl>
    <w:lvl w:ilvl="5" w:tplc="E2FA0BE4">
      <w:start w:val="1"/>
      <w:numFmt w:val="bullet"/>
      <w:lvlText w:val=""/>
      <w:lvlJc w:val="left"/>
      <w:pPr>
        <w:ind w:left="4320" w:hanging="360"/>
      </w:pPr>
      <w:rPr>
        <w:rFonts w:ascii="Wingdings" w:hAnsi="Wingdings" w:hint="default"/>
      </w:rPr>
    </w:lvl>
    <w:lvl w:ilvl="6" w:tplc="AD2AD9FC">
      <w:start w:val="1"/>
      <w:numFmt w:val="bullet"/>
      <w:lvlText w:val=""/>
      <w:lvlJc w:val="left"/>
      <w:pPr>
        <w:ind w:left="5040" w:hanging="360"/>
      </w:pPr>
      <w:rPr>
        <w:rFonts w:ascii="Symbol" w:hAnsi="Symbol" w:hint="default"/>
      </w:rPr>
    </w:lvl>
    <w:lvl w:ilvl="7" w:tplc="45B80FA2">
      <w:start w:val="1"/>
      <w:numFmt w:val="bullet"/>
      <w:lvlText w:val="o"/>
      <w:lvlJc w:val="left"/>
      <w:pPr>
        <w:ind w:left="5760" w:hanging="360"/>
      </w:pPr>
      <w:rPr>
        <w:rFonts w:ascii="Courier New" w:hAnsi="Courier New" w:hint="default"/>
      </w:rPr>
    </w:lvl>
    <w:lvl w:ilvl="8" w:tplc="03F64714">
      <w:start w:val="1"/>
      <w:numFmt w:val="bullet"/>
      <w:lvlText w:val=""/>
      <w:lvlJc w:val="left"/>
      <w:pPr>
        <w:ind w:left="6480" w:hanging="360"/>
      </w:pPr>
      <w:rPr>
        <w:rFonts w:ascii="Wingdings" w:hAnsi="Wingdings" w:hint="default"/>
      </w:rPr>
    </w:lvl>
  </w:abstractNum>
  <w:abstractNum w:abstractNumId="3" w15:restartNumberingAfterBreak="0">
    <w:nsid w:val="5A8D2D92"/>
    <w:multiLevelType w:val="hybridMultilevel"/>
    <w:tmpl w:val="B9C2D6B0"/>
    <w:lvl w:ilvl="0" w:tplc="3B7A1194">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6EE5E86"/>
    <w:multiLevelType w:val="hybridMultilevel"/>
    <w:tmpl w:val="92C4F35A"/>
    <w:lvl w:ilvl="0" w:tplc="124EA95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77001A"/>
    <w:multiLevelType w:val="multilevel"/>
    <w:tmpl w:val="4384994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1293175279">
    <w:abstractNumId w:val="2"/>
  </w:num>
  <w:num w:numId="2" w16cid:durableId="1757629362">
    <w:abstractNumId w:val="3"/>
  </w:num>
  <w:num w:numId="3" w16cid:durableId="1925727741">
    <w:abstractNumId w:val="0"/>
  </w:num>
  <w:num w:numId="4" w16cid:durableId="216552958">
    <w:abstractNumId w:val="5"/>
  </w:num>
  <w:num w:numId="5" w16cid:durableId="856578070">
    <w:abstractNumId w:val="4"/>
  </w:num>
  <w:num w:numId="6" w16cid:durableId="115149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53"/>
    <w:rsid w:val="00086368"/>
    <w:rsid w:val="000A09A0"/>
    <w:rsid w:val="000F21F6"/>
    <w:rsid w:val="001019B9"/>
    <w:rsid w:val="00106FAE"/>
    <w:rsid w:val="00236F9C"/>
    <w:rsid w:val="00240107"/>
    <w:rsid w:val="002D2E39"/>
    <w:rsid w:val="00301116"/>
    <w:rsid w:val="00365DF4"/>
    <w:rsid w:val="003C1E53"/>
    <w:rsid w:val="003C3F07"/>
    <w:rsid w:val="004D5304"/>
    <w:rsid w:val="004D669F"/>
    <w:rsid w:val="005A7A8E"/>
    <w:rsid w:val="005B6FE0"/>
    <w:rsid w:val="006C43B4"/>
    <w:rsid w:val="00706C03"/>
    <w:rsid w:val="0071556F"/>
    <w:rsid w:val="0076604B"/>
    <w:rsid w:val="007C0E91"/>
    <w:rsid w:val="007E20E3"/>
    <w:rsid w:val="008173BB"/>
    <w:rsid w:val="0094594D"/>
    <w:rsid w:val="009E7874"/>
    <w:rsid w:val="00A23BBF"/>
    <w:rsid w:val="00AA794A"/>
    <w:rsid w:val="00AC6B36"/>
    <w:rsid w:val="00B05EEF"/>
    <w:rsid w:val="00B21E6F"/>
    <w:rsid w:val="00B86D93"/>
    <w:rsid w:val="00CF6777"/>
    <w:rsid w:val="00D05660"/>
    <w:rsid w:val="00D068FA"/>
    <w:rsid w:val="00D57110"/>
    <w:rsid w:val="00DA56DA"/>
    <w:rsid w:val="00DA76FB"/>
    <w:rsid w:val="00DB1FAA"/>
    <w:rsid w:val="00DE082D"/>
    <w:rsid w:val="00E175C3"/>
    <w:rsid w:val="00E20BA4"/>
    <w:rsid w:val="00E83A3B"/>
    <w:rsid w:val="00E90357"/>
    <w:rsid w:val="00F33A52"/>
    <w:rsid w:val="00FF5714"/>
    <w:rsid w:val="01D98531"/>
    <w:rsid w:val="02B6CF78"/>
    <w:rsid w:val="04DAF455"/>
    <w:rsid w:val="06220BE4"/>
    <w:rsid w:val="062D606E"/>
    <w:rsid w:val="06A18629"/>
    <w:rsid w:val="077E8B52"/>
    <w:rsid w:val="07AAD630"/>
    <w:rsid w:val="082BA620"/>
    <w:rsid w:val="0847C1BE"/>
    <w:rsid w:val="08C32DE7"/>
    <w:rsid w:val="08C6684B"/>
    <w:rsid w:val="0A108991"/>
    <w:rsid w:val="0B0B69DF"/>
    <w:rsid w:val="0B540239"/>
    <w:rsid w:val="0B7AB8AD"/>
    <w:rsid w:val="0D5D0623"/>
    <w:rsid w:val="0D84E490"/>
    <w:rsid w:val="0E2C8B40"/>
    <w:rsid w:val="0E7A758C"/>
    <w:rsid w:val="0E838CE1"/>
    <w:rsid w:val="0E875FC4"/>
    <w:rsid w:val="0EBBB413"/>
    <w:rsid w:val="0EDEC5AE"/>
    <w:rsid w:val="0F58555F"/>
    <w:rsid w:val="101C3443"/>
    <w:rsid w:val="102ABE45"/>
    <w:rsid w:val="112281D8"/>
    <w:rsid w:val="11777581"/>
    <w:rsid w:val="11B90710"/>
    <w:rsid w:val="127FD126"/>
    <w:rsid w:val="1280CE3D"/>
    <w:rsid w:val="1284C7E7"/>
    <w:rsid w:val="12B27547"/>
    <w:rsid w:val="1347F1A2"/>
    <w:rsid w:val="14970388"/>
    <w:rsid w:val="152C4EB5"/>
    <w:rsid w:val="15AD599D"/>
    <w:rsid w:val="16192A5C"/>
    <w:rsid w:val="1680533E"/>
    <w:rsid w:val="181CAB96"/>
    <w:rsid w:val="18B9BA3B"/>
    <w:rsid w:val="18E9851A"/>
    <w:rsid w:val="196FCE77"/>
    <w:rsid w:val="1A0FC80D"/>
    <w:rsid w:val="1A8FC6E9"/>
    <w:rsid w:val="1B0C0750"/>
    <w:rsid w:val="1BA28D50"/>
    <w:rsid w:val="1BFF71F3"/>
    <w:rsid w:val="1D0A414D"/>
    <w:rsid w:val="1DC15E35"/>
    <w:rsid w:val="1E219BD6"/>
    <w:rsid w:val="1E37360E"/>
    <w:rsid w:val="1E380505"/>
    <w:rsid w:val="1EE4A53A"/>
    <w:rsid w:val="212ECDDC"/>
    <w:rsid w:val="21D46BC2"/>
    <w:rsid w:val="22169D18"/>
    <w:rsid w:val="23AB4A3B"/>
    <w:rsid w:val="23F84D79"/>
    <w:rsid w:val="267FB4C1"/>
    <w:rsid w:val="2684AAB9"/>
    <w:rsid w:val="272398B8"/>
    <w:rsid w:val="278397BC"/>
    <w:rsid w:val="282EF8E2"/>
    <w:rsid w:val="2869C2C7"/>
    <w:rsid w:val="29D1AA0F"/>
    <w:rsid w:val="2A7D58B8"/>
    <w:rsid w:val="2AEB62EE"/>
    <w:rsid w:val="2AF46241"/>
    <w:rsid w:val="2B0132CA"/>
    <w:rsid w:val="2B7B7FD5"/>
    <w:rsid w:val="2B92732D"/>
    <w:rsid w:val="2C849724"/>
    <w:rsid w:val="2CCC2931"/>
    <w:rsid w:val="2CDF659A"/>
    <w:rsid w:val="2D415D5F"/>
    <w:rsid w:val="2E962538"/>
    <w:rsid w:val="2EBE153A"/>
    <w:rsid w:val="2ED24327"/>
    <w:rsid w:val="2EEC69EF"/>
    <w:rsid w:val="2F02A652"/>
    <w:rsid w:val="2F083161"/>
    <w:rsid w:val="2F2112A4"/>
    <w:rsid w:val="2F332CDA"/>
    <w:rsid w:val="2FD577AE"/>
    <w:rsid w:val="2FF86B0D"/>
    <w:rsid w:val="30D2C2BC"/>
    <w:rsid w:val="31636F37"/>
    <w:rsid w:val="31ABCED2"/>
    <w:rsid w:val="320C0752"/>
    <w:rsid w:val="329AF402"/>
    <w:rsid w:val="340D5999"/>
    <w:rsid w:val="354CC8B8"/>
    <w:rsid w:val="36D35D4A"/>
    <w:rsid w:val="37F5EE02"/>
    <w:rsid w:val="38035362"/>
    <w:rsid w:val="395D1A9F"/>
    <w:rsid w:val="39B81360"/>
    <w:rsid w:val="39CB8347"/>
    <w:rsid w:val="3A2CB45B"/>
    <w:rsid w:val="3C3580A3"/>
    <w:rsid w:val="3C93CCB4"/>
    <w:rsid w:val="3D411A03"/>
    <w:rsid w:val="3DAECEF2"/>
    <w:rsid w:val="3DFB8B92"/>
    <w:rsid w:val="3EE05EB0"/>
    <w:rsid w:val="3F30891B"/>
    <w:rsid w:val="3FB86324"/>
    <w:rsid w:val="40CA4B83"/>
    <w:rsid w:val="41826083"/>
    <w:rsid w:val="426CCC96"/>
    <w:rsid w:val="432FBAD8"/>
    <w:rsid w:val="44532058"/>
    <w:rsid w:val="44DDD8DA"/>
    <w:rsid w:val="450B87BE"/>
    <w:rsid w:val="45150A5C"/>
    <w:rsid w:val="46C2B642"/>
    <w:rsid w:val="4714DDBB"/>
    <w:rsid w:val="488B0CFF"/>
    <w:rsid w:val="4B1C3ECC"/>
    <w:rsid w:val="4DCCEA8C"/>
    <w:rsid w:val="4E834C42"/>
    <w:rsid w:val="4F9190CD"/>
    <w:rsid w:val="50546A75"/>
    <w:rsid w:val="51639389"/>
    <w:rsid w:val="5199DEF6"/>
    <w:rsid w:val="5228952B"/>
    <w:rsid w:val="524F277C"/>
    <w:rsid w:val="52BC3189"/>
    <w:rsid w:val="542AAD92"/>
    <w:rsid w:val="5604974D"/>
    <w:rsid w:val="56335A35"/>
    <w:rsid w:val="56A8BC04"/>
    <w:rsid w:val="56C9F49D"/>
    <w:rsid w:val="56E04A0D"/>
    <w:rsid w:val="56E11F24"/>
    <w:rsid w:val="5728833A"/>
    <w:rsid w:val="585DF7EB"/>
    <w:rsid w:val="5AE99E69"/>
    <w:rsid w:val="5B38E227"/>
    <w:rsid w:val="5BEF3D94"/>
    <w:rsid w:val="5CB1CD2D"/>
    <w:rsid w:val="5CC78F73"/>
    <w:rsid w:val="5D071DE9"/>
    <w:rsid w:val="5DD6509D"/>
    <w:rsid w:val="5E028B08"/>
    <w:rsid w:val="5E533F77"/>
    <w:rsid w:val="60722145"/>
    <w:rsid w:val="60B60C47"/>
    <w:rsid w:val="61222AA2"/>
    <w:rsid w:val="6129FF1E"/>
    <w:rsid w:val="62478940"/>
    <w:rsid w:val="6295F18F"/>
    <w:rsid w:val="63066D1B"/>
    <w:rsid w:val="63197C3F"/>
    <w:rsid w:val="650C702E"/>
    <w:rsid w:val="6548D6A7"/>
    <w:rsid w:val="654B2402"/>
    <w:rsid w:val="65E0A323"/>
    <w:rsid w:val="6700BF3C"/>
    <w:rsid w:val="6958C7C2"/>
    <w:rsid w:val="6B13667F"/>
    <w:rsid w:val="6B1A4F86"/>
    <w:rsid w:val="6B608346"/>
    <w:rsid w:val="6C47717B"/>
    <w:rsid w:val="6C72C866"/>
    <w:rsid w:val="6CC3C126"/>
    <w:rsid w:val="6CD2D5EA"/>
    <w:rsid w:val="6CD3709F"/>
    <w:rsid w:val="6D3827BC"/>
    <w:rsid w:val="6E17828D"/>
    <w:rsid w:val="6E3C9E2C"/>
    <w:rsid w:val="6E54ED70"/>
    <w:rsid w:val="6ECC4381"/>
    <w:rsid w:val="6F2FE19B"/>
    <w:rsid w:val="6F7C3E14"/>
    <w:rsid w:val="7024BA0D"/>
    <w:rsid w:val="70834B31"/>
    <w:rsid w:val="721E8B40"/>
    <w:rsid w:val="73D00DE3"/>
    <w:rsid w:val="742D7BA6"/>
    <w:rsid w:val="76F98466"/>
    <w:rsid w:val="770A4996"/>
    <w:rsid w:val="77A6D70B"/>
    <w:rsid w:val="77C36F5A"/>
    <w:rsid w:val="77DAEE2F"/>
    <w:rsid w:val="7ABCEE0C"/>
    <w:rsid w:val="7AC9A216"/>
    <w:rsid w:val="7BADEAF3"/>
    <w:rsid w:val="7C3454BB"/>
    <w:rsid w:val="7E2BE18B"/>
    <w:rsid w:val="7E75D128"/>
    <w:rsid w:val="7F5E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080C"/>
  <w15:chartTrackingRefBased/>
  <w15:docId w15:val="{6E37FF27-F796-481C-8B53-49BA71C5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E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E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E53"/>
    <w:rPr>
      <w:rFonts w:eastAsiaTheme="majorEastAsia" w:cstheme="majorBidi"/>
      <w:color w:val="272727" w:themeColor="text1" w:themeTint="D8"/>
    </w:rPr>
  </w:style>
  <w:style w:type="paragraph" w:styleId="Title">
    <w:name w:val="Title"/>
    <w:basedOn w:val="Normal"/>
    <w:next w:val="Normal"/>
    <w:link w:val="TitleChar"/>
    <w:uiPriority w:val="10"/>
    <w:qFormat/>
    <w:rsid w:val="003C1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E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E53"/>
    <w:pPr>
      <w:spacing w:before="160"/>
      <w:jc w:val="center"/>
    </w:pPr>
    <w:rPr>
      <w:i/>
      <w:iCs/>
      <w:color w:val="404040" w:themeColor="text1" w:themeTint="BF"/>
    </w:rPr>
  </w:style>
  <w:style w:type="character" w:customStyle="1" w:styleId="QuoteChar">
    <w:name w:val="Quote Char"/>
    <w:basedOn w:val="DefaultParagraphFont"/>
    <w:link w:val="Quote"/>
    <w:uiPriority w:val="29"/>
    <w:rsid w:val="003C1E53"/>
    <w:rPr>
      <w:i/>
      <w:iCs/>
      <w:color w:val="404040" w:themeColor="text1" w:themeTint="BF"/>
    </w:rPr>
  </w:style>
  <w:style w:type="paragraph" w:styleId="ListParagraph">
    <w:name w:val="List Paragraph"/>
    <w:basedOn w:val="Normal"/>
    <w:uiPriority w:val="34"/>
    <w:qFormat/>
    <w:rsid w:val="003C1E53"/>
    <w:pPr>
      <w:ind w:left="720"/>
      <w:contextualSpacing/>
    </w:pPr>
  </w:style>
  <w:style w:type="character" w:styleId="IntenseEmphasis">
    <w:name w:val="Intense Emphasis"/>
    <w:basedOn w:val="DefaultParagraphFont"/>
    <w:uiPriority w:val="21"/>
    <w:qFormat/>
    <w:rsid w:val="003C1E53"/>
    <w:rPr>
      <w:i/>
      <w:iCs/>
      <w:color w:val="0F4761" w:themeColor="accent1" w:themeShade="BF"/>
    </w:rPr>
  </w:style>
  <w:style w:type="paragraph" w:styleId="IntenseQuote">
    <w:name w:val="Intense Quote"/>
    <w:basedOn w:val="Normal"/>
    <w:next w:val="Normal"/>
    <w:link w:val="IntenseQuoteChar"/>
    <w:uiPriority w:val="30"/>
    <w:qFormat/>
    <w:rsid w:val="003C1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E53"/>
    <w:rPr>
      <w:i/>
      <w:iCs/>
      <w:color w:val="0F4761" w:themeColor="accent1" w:themeShade="BF"/>
    </w:rPr>
  </w:style>
  <w:style w:type="character" w:styleId="IntenseReference">
    <w:name w:val="Intense Reference"/>
    <w:basedOn w:val="DefaultParagraphFont"/>
    <w:uiPriority w:val="32"/>
    <w:qFormat/>
    <w:rsid w:val="003C1E53"/>
    <w:rPr>
      <w:b/>
      <w:bCs/>
      <w:smallCaps/>
      <w:color w:val="0F4761" w:themeColor="accent1" w:themeShade="BF"/>
      <w:spacing w:val="5"/>
    </w:rPr>
  </w:style>
  <w:style w:type="character" w:styleId="Hyperlink">
    <w:name w:val="Hyperlink"/>
    <w:basedOn w:val="DefaultParagraphFont"/>
    <w:uiPriority w:val="99"/>
    <w:unhideWhenUsed/>
    <w:rsid w:val="003C1E53"/>
    <w:rPr>
      <w:color w:val="467886" w:themeColor="hyperlink"/>
      <w:u w:val="single"/>
    </w:rPr>
  </w:style>
  <w:style w:type="character" w:styleId="UnresolvedMention">
    <w:name w:val="Unresolved Mention"/>
    <w:basedOn w:val="DefaultParagraphFont"/>
    <w:uiPriority w:val="99"/>
    <w:semiHidden/>
    <w:unhideWhenUsed/>
    <w:rsid w:val="003C1E53"/>
    <w:rPr>
      <w:color w:val="605E5C"/>
      <w:shd w:val="clear" w:color="auto" w:fill="E1DFDD"/>
    </w:rPr>
  </w:style>
  <w:style w:type="paragraph" w:customStyle="1" w:styleId="BodyA">
    <w:name w:val="Body A"/>
    <w:rsid w:val="000A09A0"/>
    <w:pPr>
      <w:pBdr>
        <w:top w:val="nil"/>
        <w:left w:val="nil"/>
        <w:bottom w:val="nil"/>
        <w:right w:val="nil"/>
        <w:between w:val="nil"/>
        <w:bar w:val="nil"/>
      </w:pBdr>
      <w:spacing w:before="120" w:after="0" w:line="271" w:lineRule="auto"/>
    </w:pPr>
    <w:rPr>
      <w:rFonts w:ascii="Calibri" w:eastAsia="Calibri" w:hAnsi="Calibri" w:cs="Calibri"/>
      <w:color w:val="000000"/>
      <w:kern w:val="0"/>
      <w:u w:color="000000"/>
      <w:bdr w:val="nil"/>
      <w14:ligatures w14:val="none"/>
    </w:rPr>
  </w:style>
  <w:style w:type="character" w:styleId="CommentReference">
    <w:name w:val="annotation reference"/>
    <w:basedOn w:val="DefaultParagraphFont"/>
    <w:uiPriority w:val="99"/>
    <w:semiHidden/>
    <w:unhideWhenUsed/>
    <w:rsid w:val="004D5304"/>
    <w:rPr>
      <w:sz w:val="16"/>
      <w:szCs w:val="16"/>
    </w:rPr>
  </w:style>
  <w:style w:type="paragraph" w:styleId="CommentText">
    <w:name w:val="annotation text"/>
    <w:basedOn w:val="Normal"/>
    <w:link w:val="CommentTextChar"/>
    <w:uiPriority w:val="99"/>
    <w:unhideWhenUsed/>
    <w:rsid w:val="004D5304"/>
    <w:pPr>
      <w:spacing w:line="240" w:lineRule="auto"/>
    </w:pPr>
    <w:rPr>
      <w:sz w:val="20"/>
      <w:szCs w:val="20"/>
    </w:rPr>
  </w:style>
  <w:style w:type="character" w:customStyle="1" w:styleId="CommentTextChar">
    <w:name w:val="Comment Text Char"/>
    <w:basedOn w:val="DefaultParagraphFont"/>
    <w:link w:val="CommentText"/>
    <w:uiPriority w:val="99"/>
    <w:rsid w:val="004D5304"/>
    <w:rPr>
      <w:sz w:val="20"/>
      <w:szCs w:val="20"/>
    </w:rPr>
  </w:style>
  <w:style w:type="paragraph" w:styleId="CommentSubject">
    <w:name w:val="annotation subject"/>
    <w:basedOn w:val="CommentText"/>
    <w:next w:val="CommentText"/>
    <w:link w:val="CommentSubjectChar"/>
    <w:uiPriority w:val="99"/>
    <w:semiHidden/>
    <w:unhideWhenUsed/>
    <w:rsid w:val="004D5304"/>
    <w:rPr>
      <w:b/>
      <w:bCs/>
    </w:rPr>
  </w:style>
  <w:style w:type="character" w:customStyle="1" w:styleId="CommentSubjectChar">
    <w:name w:val="Comment Subject Char"/>
    <w:basedOn w:val="CommentTextChar"/>
    <w:link w:val="CommentSubject"/>
    <w:uiPriority w:val="99"/>
    <w:semiHidden/>
    <w:rsid w:val="004D5304"/>
    <w:rPr>
      <w:b/>
      <w:bCs/>
      <w:sz w:val="20"/>
      <w:szCs w:val="20"/>
    </w:rPr>
  </w:style>
  <w:style w:type="paragraph" w:styleId="Revision">
    <w:name w:val="Revision"/>
    <w:hidden/>
    <w:uiPriority w:val="99"/>
    <w:semiHidden/>
    <w:rsid w:val="00B05EEF"/>
    <w:pPr>
      <w:spacing w:after="0" w:line="240" w:lineRule="auto"/>
    </w:pPr>
  </w:style>
  <w:style w:type="character" w:styleId="FollowedHyperlink">
    <w:name w:val="FollowedHyperlink"/>
    <w:basedOn w:val="DefaultParagraphFont"/>
    <w:uiPriority w:val="99"/>
    <w:semiHidden/>
    <w:unhideWhenUsed/>
    <w:rsid w:val="0094594D"/>
    <w:rPr>
      <w:color w:val="96607D" w:themeColor="followedHyperlink"/>
      <w:u w:val="single"/>
    </w:rPr>
  </w:style>
  <w:style w:type="paragraph" w:styleId="FootnoteText">
    <w:name w:val="footnote text"/>
    <w:basedOn w:val="Normal"/>
    <w:link w:val="FootnoteTextChar"/>
    <w:uiPriority w:val="99"/>
    <w:semiHidden/>
    <w:unhideWhenUsed/>
    <w:rsid w:val="00AC6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6B36"/>
    <w:rPr>
      <w:sz w:val="20"/>
      <w:szCs w:val="20"/>
    </w:rPr>
  </w:style>
  <w:style w:type="character" w:styleId="FootnoteReference">
    <w:name w:val="footnote reference"/>
    <w:basedOn w:val="DefaultParagraphFont"/>
    <w:uiPriority w:val="99"/>
    <w:semiHidden/>
    <w:unhideWhenUsed/>
    <w:rsid w:val="00AC6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88831">
      <w:bodyDiv w:val="1"/>
      <w:marLeft w:val="0"/>
      <w:marRight w:val="0"/>
      <w:marTop w:val="0"/>
      <w:marBottom w:val="0"/>
      <w:divBdr>
        <w:top w:val="none" w:sz="0" w:space="0" w:color="auto"/>
        <w:left w:val="none" w:sz="0" w:space="0" w:color="auto"/>
        <w:bottom w:val="none" w:sz="0" w:space="0" w:color="auto"/>
        <w:right w:val="none" w:sz="0" w:space="0" w:color="auto"/>
      </w:divBdr>
    </w:div>
    <w:div w:id="11667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or.mn.gov/laws/2026/0/124/laws.2.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Securities.IA-BD.Registration.Commerce@state.mn.us" TargetMode="External"/><Relationship Id="rId4" Type="http://schemas.openxmlformats.org/officeDocument/2006/relationships/webSettings" Target="webSettings.xml"/><Relationship Id="rId9" Type="http://schemas.openxmlformats.org/officeDocument/2006/relationships/hyperlink" Target="https://www.revisor.mn.gov/laws/2026/0/124/laws.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Kelting, Amanda (COMM)</dc:creator>
  <cp:keywords/>
  <dc:description/>
  <cp:lastModifiedBy>Kelting, Amanda (COMM)</cp:lastModifiedBy>
  <cp:revision>5</cp:revision>
  <dcterms:created xsi:type="dcterms:W3CDTF">2026-06-30T11:47:00Z</dcterms:created>
  <dcterms:modified xsi:type="dcterms:W3CDTF">2026-06-30T11:54:00Z</dcterms:modified>
</cp:coreProperties>
</file>