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23DA" w14:textId="77777777" w:rsidR="00271024" w:rsidRPr="006045E3" w:rsidRDefault="00271024">
      <w:pPr>
        <w:jc w:val="center"/>
      </w:pPr>
      <w:r w:rsidRPr="006045E3">
        <w:t xml:space="preserve">STATE OF </w:t>
      </w:r>
      <w:smartTag w:uri="urn:schemas-microsoft-com:office:smarttags" w:element="place">
        <w:smartTag w:uri="urn:schemas-microsoft-com:office:smarttags" w:element="State">
          <w:r w:rsidRPr="006045E3">
            <w:t>MINNESOTA</w:t>
          </w:r>
        </w:smartTag>
      </w:smartTag>
    </w:p>
    <w:p w14:paraId="23EC51D7" w14:textId="52B8DF91" w:rsidR="00271024" w:rsidRPr="006045E3" w:rsidRDefault="004D2037">
      <w:pPr>
        <w:jc w:val="center"/>
      </w:pPr>
      <w:bookmarkStart w:id="0" w:name="_Hlk5789444"/>
      <w:r>
        <w:t>COURT</w:t>
      </w:r>
      <w:r w:rsidR="00271024" w:rsidRPr="006045E3">
        <w:t xml:space="preserve"> OF ADMINISTRATIVE HEARINGS</w:t>
      </w:r>
    </w:p>
    <w:p w14:paraId="3C0C714F" w14:textId="77777777" w:rsidR="00271024" w:rsidRPr="006045E3" w:rsidRDefault="00271024">
      <w:pPr>
        <w:jc w:val="center"/>
      </w:pPr>
      <w:smartTag w:uri="urn:schemas-microsoft-com:office:smarttags" w:element="address">
        <w:smartTag w:uri="urn:schemas-microsoft-com:office:smarttags" w:element="Street">
          <w:r w:rsidRPr="006045E3">
            <w:t>PO Box</w:t>
          </w:r>
        </w:smartTag>
        <w:r w:rsidRPr="006045E3">
          <w:t xml:space="preserve"> 64620</w:t>
        </w:r>
      </w:smartTag>
    </w:p>
    <w:p w14:paraId="4463B320" w14:textId="77777777" w:rsidR="00271024" w:rsidRDefault="00271024" w:rsidP="004F4082">
      <w:pPr>
        <w:spacing w:after="360"/>
        <w:jc w:val="center"/>
      </w:pPr>
      <w:smartTag w:uri="urn:schemas-microsoft-com:office:smarttags" w:element="City">
        <w:r w:rsidRPr="006045E3">
          <w:t>St. Paul</w:t>
        </w:r>
      </w:smartTag>
      <w:r w:rsidRPr="006045E3">
        <w:t xml:space="preserve">, </w:t>
      </w:r>
      <w:smartTag w:uri="urn:schemas-microsoft-com:office:smarttags" w:element="State">
        <w:r w:rsidRPr="006045E3">
          <w:t>MN</w:t>
        </w:r>
      </w:smartTag>
      <w:r w:rsidRPr="006045E3">
        <w:t xml:space="preserve">  55164-0620</w:t>
      </w:r>
    </w:p>
    <w:bookmarkEnd w:id="0"/>
    <w:p w14:paraId="3FDB9AC8" w14:textId="77777777" w:rsidR="00B11327" w:rsidRDefault="00B11327" w:rsidP="00B11327">
      <w:pPr>
        <w:pStyle w:val="BodyText2"/>
      </w:pPr>
      <w:r w:rsidRPr="006045E3">
        <w:t xml:space="preserve">COMPLAINT FORM </w:t>
      </w:r>
    </w:p>
    <w:p w14:paraId="66CDC16C" w14:textId="77777777" w:rsidR="00B11327" w:rsidRPr="004F4082" w:rsidRDefault="00B11327" w:rsidP="00B11327">
      <w:pPr>
        <w:pStyle w:val="BodyText2"/>
        <w:rPr>
          <w:szCs w:val="24"/>
        </w:rPr>
      </w:pPr>
      <w:r w:rsidRPr="004F4082">
        <w:rPr>
          <w:szCs w:val="24"/>
        </w:rPr>
        <w:t xml:space="preserve">for Violations of the </w:t>
      </w:r>
    </w:p>
    <w:p w14:paraId="7E82331C" w14:textId="77777777" w:rsidR="00B11327" w:rsidRPr="006045E3" w:rsidRDefault="00B11327" w:rsidP="00B11327">
      <w:pPr>
        <w:pStyle w:val="BodyText2"/>
      </w:pPr>
      <w:r w:rsidRPr="006045E3">
        <w:t>FAIR CAMPAIGN PRACTICE</w:t>
      </w:r>
      <w:r w:rsidR="009D75DF">
        <w:t>S</w:t>
      </w:r>
      <w:r>
        <w:t xml:space="preserve"> ACT </w:t>
      </w:r>
      <w:r w:rsidRPr="004F4082">
        <w:rPr>
          <w:szCs w:val="24"/>
        </w:rPr>
        <w:t>or</w:t>
      </w:r>
      <w:r w:rsidRPr="004F4082">
        <w:rPr>
          <w:sz w:val="40"/>
        </w:rPr>
        <w:t xml:space="preserve"> </w:t>
      </w:r>
    </w:p>
    <w:p w14:paraId="63EFA212" w14:textId="77777777" w:rsidR="00271024" w:rsidRPr="006045E3" w:rsidRDefault="00B11327" w:rsidP="00833C98">
      <w:pPr>
        <w:spacing w:after="480"/>
        <w:jc w:val="center"/>
      </w:pPr>
      <w:r w:rsidRPr="006045E3">
        <w:rPr>
          <w:b/>
          <w:bCs/>
          <w:sz w:val="32"/>
          <w:szCs w:val="32"/>
        </w:rPr>
        <w:t>CAMPAIGN FINANCE ACT</w:t>
      </w:r>
    </w:p>
    <w:p w14:paraId="7B2971C4" w14:textId="77777777" w:rsidR="00271024" w:rsidRPr="00623A55" w:rsidRDefault="00623A55" w:rsidP="006D35E7">
      <w:pPr>
        <w:rPr>
          <w:b/>
          <w:bCs/>
          <w:kern w:val="36"/>
        </w:rPr>
      </w:pPr>
      <w:r w:rsidRPr="00623A55">
        <w:rPr>
          <w:b/>
          <w:bCs/>
          <w:kern w:val="36"/>
        </w:rPr>
        <w:t>Information about complaint filer (Complainant)</w:t>
      </w:r>
    </w:p>
    <w:p w14:paraId="3D90EE98" w14:textId="4E92EAD2" w:rsidR="00B97F38" w:rsidRDefault="00623A55" w:rsidP="007D27EF">
      <w:pPr>
        <w:spacing w:before="240" w:after="240"/>
        <w:rPr>
          <w:szCs w:val="20"/>
        </w:rPr>
      </w:pPr>
      <w:r w:rsidRPr="00623A55">
        <w:rPr>
          <w:szCs w:val="20"/>
        </w:rPr>
        <w:t>Name:</w:t>
      </w:r>
    </w:p>
    <w:p w14:paraId="6F274982" w14:textId="3D0144E1" w:rsidR="007D27EF" w:rsidRDefault="007D27EF" w:rsidP="007D27EF">
      <w:pPr>
        <w:spacing w:before="240" w:after="240"/>
        <w:rPr>
          <w:szCs w:val="20"/>
        </w:rPr>
      </w:pPr>
      <w:r>
        <w:rPr>
          <w:szCs w:val="20"/>
        </w:rPr>
        <w:t>Pronouns (</w:t>
      </w:r>
      <w:r w:rsidR="004D4586">
        <w:rPr>
          <w:szCs w:val="20"/>
        </w:rPr>
        <w:t xml:space="preserve">e.g., </w:t>
      </w:r>
      <w:r>
        <w:rPr>
          <w:szCs w:val="20"/>
        </w:rPr>
        <w:t>he/him; she/her; they/them):</w:t>
      </w:r>
    </w:p>
    <w:p w14:paraId="0C17E5A7" w14:textId="4DE6FE38" w:rsidR="007D27EF" w:rsidRDefault="007D27EF" w:rsidP="007D27EF">
      <w:pPr>
        <w:spacing w:before="240" w:after="240"/>
        <w:rPr>
          <w:szCs w:val="20"/>
        </w:rPr>
      </w:pPr>
      <w:r>
        <w:rPr>
          <w:szCs w:val="20"/>
        </w:rPr>
        <w:t>Title (</w:t>
      </w:r>
      <w:r w:rsidR="004D4586">
        <w:rPr>
          <w:szCs w:val="20"/>
        </w:rPr>
        <w:t xml:space="preserve">e.g., </w:t>
      </w:r>
      <w:r>
        <w:rPr>
          <w:szCs w:val="20"/>
        </w:rPr>
        <w:t xml:space="preserve">Mr.; Mrs.; Ms.; Mx.): </w:t>
      </w:r>
    </w:p>
    <w:p w14:paraId="5B196B90" w14:textId="0E9E997F" w:rsidR="00623A55" w:rsidRPr="00623A55" w:rsidRDefault="00623A55" w:rsidP="00623A55">
      <w:pPr>
        <w:spacing w:after="240"/>
        <w:rPr>
          <w:szCs w:val="20"/>
        </w:rPr>
      </w:pPr>
      <w:r w:rsidRPr="00623A55">
        <w:rPr>
          <w:szCs w:val="20"/>
        </w:rPr>
        <w:t>Address:</w:t>
      </w:r>
    </w:p>
    <w:p w14:paraId="79406221" w14:textId="77777777" w:rsidR="00623A55" w:rsidRPr="00623A55" w:rsidRDefault="00623A55" w:rsidP="00623A55">
      <w:pPr>
        <w:spacing w:after="240"/>
        <w:rPr>
          <w:szCs w:val="20"/>
        </w:rPr>
      </w:pPr>
      <w:r w:rsidRPr="00623A55">
        <w:rPr>
          <w:szCs w:val="20"/>
        </w:rPr>
        <w:t>City, State, Zip:</w:t>
      </w:r>
    </w:p>
    <w:p w14:paraId="36017EA1" w14:textId="77777777" w:rsidR="00623A55" w:rsidRPr="00623A55" w:rsidRDefault="00623A55" w:rsidP="00623A55">
      <w:pPr>
        <w:spacing w:after="240"/>
        <w:rPr>
          <w:szCs w:val="20"/>
        </w:rPr>
      </w:pPr>
      <w:r w:rsidRPr="00623A55">
        <w:rPr>
          <w:szCs w:val="20"/>
        </w:rPr>
        <w:t>Telephone Number:</w:t>
      </w:r>
    </w:p>
    <w:p w14:paraId="25CBDA27" w14:textId="196F130C" w:rsidR="00E24F7A" w:rsidRPr="00623A55" w:rsidRDefault="00623A55" w:rsidP="00623A55">
      <w:pPr>
        <w:spacing w:after="240"/>
        <w:rPr>
          <w:szCs w:val="20"/>
        </w:rPr>
      </w:pPr>
      <w:r w:rsidRPr="00623A55">
        <w:rPr>
          <w:szCs w:val="20"/>
        </w:rPr>
        <w:t>Email Address:</w:t>
      </w:r>
    </w:p>
    <w:p w14:paraId="7757ADE0" w14:textId="791531A2" w:rsidR="00623A55" w:rsidRPr="00623A55" w:rsidRDefault="00623A55" w:rsidP="007F3EBE">
      <w:pPr>
        <w:ind w:right="-450"/>
        <w:rPr>
          <w:b/>
        </w:rPr>
      </w:pPr>
      <w:r>
        <w:rPr>
          <w:b/>
        </w:rPr>
        <w:t xml:space="preserve">Information </w:t>
      </w:r>
      <w:r w:rsidR="007F3EBE">
        <w:rPr>
          <w:b/>
        </w:rPr>
        <w:t xml:space="preserve">about </w:t>
      </w:r>
      <w:r w:rsidR="001818C2">
        <w:rPr>
          <w:b/>
        </w:rPr>
        <w:t>the person/entity you are complaining about</w:t>
      </w:r>
      <w:r w:rsidRPr="00623A55">
        <w:rPr>
          <w:b/>
        </w:rPr>
        <w:t xml:space="preserve"> (Respondent)</w:t>
      </w:r>
    </w:p>
    <w:p w14:paraId="79B65FC9" w14:textId="77777777" w:rsidR="00623A55" w:rsidRPr="00623A55" w:rsidRDefault="00623A55" w:rsidP="00623A55">
      <w:pPr>
        <w:spacing w:before="240" w:after="240"/>
        <w:rPr>
          <w:szCs w:val="20"/>
        </w:rPr>
      </w:pPr>
      <w:r w:rsidRPr="00623A55">
        <w:rPr>
          <w:szCs w:val="20"/>
        </w:rPr>
        <w:t>Name:</w:t>
      </w:r>
    </w:p>
    <w:p w14:paraId="64859422" w14:textId="77777777" w:rsidR="00623A55" w:rsidRPr="00623A55" w:rsidRDefault="00623A55" w:rsidP="00623A55">
      <w:pPr>
        <w:spacing w:after="240"/>
        <w:rPr>
          <w:szCs w:val="20"/>
        </w:rPr>
      </w:pPr>
      <w:r w:rsidRPr="00623A55">
        <w:rPr>
          <w:szCs w:val="20"/>
        </w:rPr>
        <w:t>Address:</w:t>
      </w:r>
    </w:p>
    <w:p w14:paraId="7390CEC4" w14:textId="77777777" w:rsidR="00623A55" w:rsidRPr="00623A55" w:rsidRDefault="00623A55" w:rsidP="00623A55">
      <w:pPr>
        <w:spacing w:after="240"/>
        <w:rPr>
          <w:szCs w:val="20"/>
        </w:rPr>
      </w:pPr>
      <w:r w:rsidRPr="00623A55">
        <w:rPr>
          <w:szCs w:val="20"/>
        </w:rPr>
        <w:t>City, State, Zip:</w:t>
      </w:r>
    </w:p>
    <w:p w14:paraId="15591D0F" w14:textId="77777777" w:rsidR="00623A55" w:rsidRPr="00623A55" w:rsidRDefault="00623A55" w:rsidP="00623A55">
      <w:pPr>
        <w:spacing w:after="240"/>
        <w:rPr>
          <w:szCs w:val="20"/>
        </w:rPr>
      </w:pPr>
      <w:r w:rsidRPr="00623A55">
        <w:rPr>
          <w:szCs w:val="20"/>
        </w:rPr>
        <w:t>Telephone Number:</w:t>
      </w:r>
    </w:p>
    <w:p w14:paraId="4900EAEA" w14:textId="746F4EC9" w:rsidR="00E24F7A" w:rsidRDefault="00623A55" w:rsidP="00E24F7A">
      <w:pPr>
        <w:spacing w:after="240"/>
        <w:rPr>
          <w:szCs w:val="20"/>
        </w:rPr>
      </w:pPr>
      <w:r w:rsidRPr="00623A55">
        <w:rPr>
          <w:szCs w:val="20"/>
        </w:rPr>
        <w:t>Email Address:</w:t>
      </w:r>
    </w:p>
    <w:p w14:paraId="568694CE" w14:textId="77777777" w:rsidR="00B11327" w:rsidRPr="00DB1845" w:rsidRDefault="00623A55" w:rsidP="00E24F7A">
      <w:pPr>
        <w:spacing w:before="240" w:after="100" w:afterAutospacing="1"/>
        <w:jc w:val="both"/>
      </w:pPr>
      <w:r>
        <w:t>Pr</w:t>
      </w:r>
      <w:r w:rsidR="00B11327" w:rsidRPr="00DB1845">
        <w:t>ovide the specific statute in Minnesota Statutes Chapter</w:t>
      </w:r>
      <w:r w:rsidR="00B11327">
        <w:t xml:space="preserve"> 211A</w:t>
      </w:r>
      <w:r w:rsidR="00B11327" w:rsidRPr="00DB1845">
        <w:t xml:space="preserve"> (</w:t>
      </w:r>
      <w:r w:rsidR="00C62205">
        <w:t>Campaign Finance Act</w:t>
      </w:r>
      <w:r w:rsidR="00B11327">
        <w:t>) or Chapter 211B (</w:t>
      </w:r>
      <w:r w:rsidR="00C62205">
        <w:t>Fair Campaign Practices Act</w:t>
      </w:r>
      <w:r w:rsidR="00B11327">
        <w:t>)</w:t>
      </w:r>
      <w:r w:rsidR="00B11327" w:rsidRPr="00DB1845">
        <w:t xml:space="preserve"> that you </w:t>
      </w:r>
      <w:r w:rsidR="00B11327">
        <w:t>allege</w:t>
      </w:r>
      <w:r w:rsidR="00B11327" w:rsidRPr="00DB1845">
        <w:t xml:space="preserve"> has </w:t>
      </w:r>
      <w:r w:rsidR="00B11327">
        <w:t xml:space="preserve">been </w:t>
      </w:r>
      <w:r w:rsidR="00B11327" w:rsidRPr="00DB1845">
        <w:t xml:space="preserve">violated: </w:t>
      </w:r>
    </w:p>
    <w:p w14:paraId="04078885" w14:textId="77777777" w:rsidR="004F4082" w:rsidRDefault="004F4082"/>
    <w:p w14:paraId="300CF616" w14:textId="77777777" w:rsidR="00150C1A" w:rsidRPr="00150C1A" w:rsidRDefault="004F4082">
      <w:pPr>
        <w:rPr>
          <w:sz w:val="20"/>
        </w:rPr>
      </w:pPr>
      <w:r w:rsidRPr="00DB1845">
        <w:rPr>
          <w:sz w:val="22"/>
        </w:rPr>
        <w:t xml:space="preserve"> </w:t>
      </w:r>
      <w:r w:rsidR="00F17DE4" w:rsidRPr="00DB1845">
        <w:rPr>
          <w:sz w:val="22"/>
        </w:rPr>
        <w:t>(</w:t>
      </w:r>
      <w:r w:rsidR="00F17DE4">
        <w:rPr>
          <w:sz w:val="22"/>
        </w:rPr>
        <w:t>Chapters 211A and 211B are</w:t>
      </w:r>
      <w:r w:rsidR="00F17DE4" w:rsidRPr="00DB1845">
        <w:rPr>
          <w:sz w:val="22"/>
        </w:rPr>
        <w:t xml:space="preserve"> available </w:t>
      </w:r>
      <w:r w:rsidR="00F17DE4">
        <w:rPr>
          <w:sz w:val="22"/>
        </w:rPr>
        <w:t>online at</w:t>
      </w:r>
      <w:r w:rsidR="00F17DE4" w:rsidRPr="00DB1845">
        <w:rPr>
          <w:sz w:val="22"/>
        </w:rPr>
        <w:t xml:space="preserve"> </w:t>
      </w:r>
      <w:hyperlink r:id="rId9" w:history="1">
        <w:r w:rsidR="00150C1A" w:rsidRPr="00150C1A">
          <w:rPr>
            <w:rStyle w:val="Hyperlink"/>
            <w:sz w:val="22"/>
          </w:rPr>
          <w:t>https://www.revisor.leg.state.mn.us/statutes/?id=211A</w:t>
        </w:r>
      </w:hyperlink>
      <w:r w:rsidR="00150C1A" w:rsidRPr="00150C1A">
        <w:rPr>
          <w:sz w:val="20"/>
          <w:highlight w:val="yellow"/>
        </w:rPr>
        <w:t xml:space="preserve"> </w:t>
      </w:r>
    </w:p>
    <w:p w14:paraId="7C49846D" w14:textId="77777777" w:rsidR="00F17DE4" w:rsidRPr="00150C1A" w:rsidRDefault="00150C1A">
      <w:pPr>
        <w:rPr>
          <w:sz w:val="22"/>
          <w:highlight w:val="yellow"/>
        </w:rPr>
      </w:pPr>
      <w:hyperlink r:id="rId10" w:history="1">
        <w:r w:rsidRPr="00150C1A">
          <w:rPr>
            <w:rStyle w:val="Hyperlink"/>
            <w:sz w:val="22"/>
          </w:rPr>
          <w:t>https://www.revisor.leg.state.mn.us/statutes/?id=211B</w:t>
        </w:r>
      </w:hyperlink>
      <w:r w:rsidR="00833C98">
        <w:rPr>
          <w:sz w:val="22"/>
        </w:rPr>
        <w:t>)</w:t>
      </w:r>
      <w:r w:rsidR="00F17DE4">
        <w:br w:type="page"/>
      </w:r>
    </w:p>
    <w:p w14:paraId="2B6A5305" w14:textId="77777777" w:rsidR="00271024" w:rsidRPr="006045E3" w:rsidRDefault="00271024">
      <w:r w:rsidRPr="006045E3">
        <w:lastRenderedPageBreak/>
        <w:t>Date(s) of violation</w:t>
      </w:r>
      <w:r w:rsidR="00F17DE4">
        <w:t>(s)</w:t>
      </w:r>
      <w:r w:rsidRPr="006045E3">
        <w:t>:</w:t>
      </w:r>
    </w:p>
    <w:p w14:paraId="28FF9F64" w14:textId="77777777" w:rsidR="00271024" w:rsidRPr="006045E3" w:rsidRDefault="00271024">
      <w:r w:rsidRPr="006045E3">
        <w:t> </w:t>
      </w:r>
    </w:p>
    <w:p w14:paraId="7192781F" w14:textId="77777777" w:rsidR="00271024" w:rsidRPr="006045E3" w:rsidRDefault="00271024">
      <w:r w:rsidRPr="006045E3">
        <w:t>Date of election or ballot question:</w:t>
      </w:r>
    </w:p>
    <w:p w14:paraId="1B173154" w14:textId="77777777" w:rsidR="00271024" w:rsidRPr="006045E3" w:rsidRDefault="00271024">
      <w:r w:rsidRPr="006045E3">
        <w:t> </w:t>
      </w:r>
    </w:p>
    <w:p w14:paraId="63CC24ED" w14:textId="77777777" w:rsidR="00271024" w:rsidRDefault="00271024" w:rsidP="004F4082">
      <w:r w:rsidRPr="006045E3">
        <w:t>Elected office</w:t>
      </w:r>
      <w:r w:rsidR="004F4082">
        <w:t xml:space="preserve"> or ballot question involved:</w:t>
      </w:r>
    </w:p>
    <w:p w14:paraId="29B187E4" w14:textId="77777777" w:rsidR="004F4082" w:rsidRPr="006045E3" w:rsidRDefault="004F4082" w:rsidP="004F4082"/>
    <w:p w14:paraId="1AB70FF8" w14:textId="437D6803" w:rsidR="00271024" w:rsidRDefault="00271024" w:rsidP="00623A55">
      <w:r w:rsidRPr="006045E3">
        <w:t>If allowed by law, do you wish to request an expedited probable cause h</w:t>
      </w:r>
      <w:r w:rsidR="004F4082">
        <w:t xml:space="preserve">earing? </w:t>
      </w:r>
    </w:p>
    <w:p w14:paraId="7BEC6446" w14:textId="77777777" w:rsidR="00271024" w:rsidRPr="006045E3" w:rsidRDefault="00271024"/>
    <w:p w14:paraId="36CFC0B3" w14:textId="77777777" w:rsidR="00271024" w:rsidRPr="006045E3" w:rsidRDefault="00271024">
      <w:pPr>
        <w:pStyle w:val="Heading1"/>
      </w:pPr>
      <w:r w:rsidRPr="006045E3">
        <w:t xml:space="preserve">Nature of </w:t>
      </w:r>
      <w:r w:rsidR="00F17DE4">
        <w:t>C</w:t>
      </w:r>
      <w:r w:rsidRPr="006045E3">
        <w:t>omplaint</w:t>
      </w:r>
    </w:p>
    <w:p w14:paraId="5B2062D3" w14:textId="77777777" w:rsidR="00271024" w:rsidRPr="006045E3" w:rsidRDefault="00271024">
      <w:r w:rsidRPr="006045E3">
        <w:t> </w:t>
      </w:r>
    </w:p>
    <w:p w14:paraId="5BE4D0C4" w14:textId="2C5454DB" w:rsidR="00271024" w:rsidRPr="006045E3" w:rsidRDefault="00271024" w:rsidP="00AD2D1B">
      <w:pPr>
        <w:jc w:val="both"/>
      </w:pPr>
      <w:r w:rsidRPr="006045E3">
        <w:t>Explain</w:t>
      </w:r>
      <w:r w:rsidR="004F4082">
        <w:t xml:space="preserve"> in detail why you believe the R</w:t>
      </w:r>
      <w:r w:rsidRPr="006045E3">
        <w:t xml:space="preserve">espondent has violated </w:t>
      </w:r>
      <w:r w:rsidR="00F17DE4">
        <w:t xml:space="preserve">Minnesota Statutes </w:t>
      </w:r>
      <w:r w:rsidRPr="006045E3">
        <w:t>Chapter</w:t>
      </w:r>
      <w:r w:rsidR="00F17DE4">
        <w:t>s</w:t>
      </w:r>
      <w:r w:rsidRPr="006045E3">
        <w:t xml:space="preserve"> 211A or 21</w:t>
      </w:r>
      <w:r w:rsidR="00833C98">
        <w:t>1B. </w:t>
      </w:r>
      <w:r w:rsidRPr="006045E3">
        <w:t xml:space="preserve">Attach copies of any documents </w:t>
      </w:r>
      <w:r w:rsidR="00833C98">
        <w:t>that support your allegations.</w:t>
      </w:r>
      <w:r w:rsidR="004B1BBF">
        <w:t xml:space="preserve"> </w:t>
      </w:r>
      <w:r w:rsidR="004F4082">
        <w:t>T</w:t>
      </w:r>
      <w:r w:rsidR="004F4082" w:rsidRPr="004F4082">
        <w:t xml:space="preserve">he Administrative Law Judge </w:t>
      </w:r>
      <w:r w:rsidR="004F4082">
        <w:t>must dismiss t</w:t>
      </w:r>
      <w:r w:rsidRPr="006045E3">
        <w:t xml:space="preserve">his complaint if this submission does not </w:t>
      </w:r>
      <w:r w:rsidR="004F4082">
        <w:t>prove</w:t>
      </w:r>
      <w:r w:rsidR="004F4082" w:rsidRPr="006045E3">
        <w:t xml:space="preserve"> </w:t>
      </w:r>
      <w:r w:rsidRPr="006045E3">
        <w:t>a prima f</w:t>
      </w:r>
      <w:r w:rsidR="00833C98">
        <w:t>acie violation of the statutes.</w:t>
      </w:r>
      <w:r w:rsidRPr="006045E3">
        <w:t xml:space="preserve"> “Prima facie” means that the facts you present </w:t>
      </w:r>
      <w:r w:rsidR="004F4082">
        <w:t>are</w:t>
      </w:r>
      <w:r w:rsidRPr="006045E3">
        <w:t xml:space="preserve"> sufficient to show a violation.</w:t>
      </w:r>
    </w:p>
    <w:p w14:paraId="7429C67E" w14:textId="77777777" w:rsidR="00271024" w:rsidRPr="006045E3" w:rsidRDefault="00271024"/>
    <w:p w14:paraId="01B0C112" w14:textId="77777777" w:rsidR="00271024" w:rsidRDefault="00271024"/>
    <w:p w14:paraId="74EB753A" w14:textId="77777777" w:rsidR="004F4082" w:rsidRDefault="004F4082"/>
    <w:p w14:paraId="07FD19ED" w14:textId="77777777" w:rsidR="004F4082" w:rsidRDefault="004F4082"/>
    <w:p w14:paraId="13D85A37" w14:textId="77777777" w:rsidR="004F4082" w:rsidRDefault="004F4082"/>
    <w:p w14:paraId="6E099D89" w14:textId="77777777" w:rsidR="004F4082" w:rsidRDefault="004F4082"/>
    <w:p w14:paraId="01ED7B66" w14:textId="77777777" w:rsidR="004F4082" w:rsidRDefault="004F4082"/>
    <w:p w14:paraId="0EA39774" w14:textId="77777777" w:rsidR="004F4082" w:rsidRDefault="004F4082"/>
    <w:p w14:paraId="34F5F4BE" w14:textId="77777777" w:rsidR="004F4082" w:rsidRDefault="004F4082"/>
    <w:p w14:paraId="5ABADEF6" w14:textId="77777777" w:rsidR="004F4082" w:rsidRDefault="004F4082"/>
    <w:p w14:paraId="4E085736" w14:textId="77777777" w:rsidR="004F4082" w:rsidRDefault="004F4082"/>
    <w:p w14:paraId="31069646" w14:textId="77777777" w:rsidR="004F4082" w:rsidRDefault="004F4082"/>
    <w:p w14:paraId="64BFC53B" w14:textId="77777777" w:rsidR="004F4082" w:rsidRDefault="004F4082"/>
    <w:p w14:paraId="2BFE656A" w14:textId="77777777" w:rsidR="009D75DF" w:rsidRPr="006045E3" w:rsidRDefault="009D75DF"/>
    <w:p w14:paraId="59856C72" w14:textId="20A5EAE2" w:rsidR="00271024" w:rsidRDefault="006D35E7" w:rsidP="00833C98">
      <w:pPr>
        <w:pStyle w:val="Heading1"/>
      </w:pPr>
      <w:r>
        <w:t>Oath</w:t>
      </w:r>
    </w:p>
    <w:p w14:paraId="183093CE" w14:textId="77777777" w:rsidR="00D41956" w:rsidRPr="006045E3" w:rsidRDefault="00D41956" w:rsidP="00E427A7"/>
    <w:p w14:paraId="6E9E428E" w14:textId="748F39A2" w:rsidR="00271024" w:rsidRPr="006045E3" w:rsidRDefault="00271024" w:rsidP="00AD2D1B">
      <w:pPr>
        <w:jc w:val="both"/>
      </w:pPr>
      <w:r w:rsidRPr="006045E3">
        <w:t xml:space="preserve">I, </w:t>
      </w:r>
      <w:r w:rsidR="00F40B3C">
        <w:t>[NAME]</w:t>
      </w:r>
      <w:r w:rsidRPr="006045E3">
        <w:t>, under penalty of perjury, swear or affirm that the statements I have made in this complaint are true and correct to the best of my knowledge.</w:t>
      </w:r>
    </w:p>
    <w:p w14:paraId="486C2611" w14:textId="77777777" w:rsidR="00271024" w:rsidRDefault="00271024"/>
    <w:p w14:paraId="77FD23FA" w14:textId="77777777" w:rsidR="00C57FB7" w:rsidRDefault="00623A55">
      <w:r>
        <w:t>Dated:</w:t>
      </w:r>
    </w:p>
    <w:p w14:paraId="455A2ACD" w14:textId="77777777" w:rsidR="00623A55" w:rsidRPr="006045E3" w:rsidRDefault="00623A55"/>
    <w:p w14:paraId="2F28D36A" w14:textId="77777777" w:rsidR="006301E7" w:rsidRDefault="00271024" w:rsidP="00F40B3C">
      <w:pPr>
        <w:ind w:firstLine="4320"/>
      </w:pPr>
      <w:r w:rsidRPr="006045E3">
        <w:t>_____________________________</w:t>
      </w:r>
    </w:p>
    <w:p w14:paraId="4E0558FF" w14:textId="5A45795E" w:rsidR="00C57FB7" w:rsidRDefault="007D27EF" w:rsidP="00F40B3C">
      <w:pPr>
        <w:ind w:firstLine="4320"/>
      </w:pPr>
      <w:r>
        <w:t>Complainant Signature</w:t>
      </w:r>
    </w:p>
    <w:p w14:paraId="69D17BFB" w14:textId="77777777" w:rsidR="007D27EF" w:rsidRDefault="007D27EF" w:rsidP="00F40B3C">
      <w:pPr>
        <w:ind w:firstLine="4320"/>
      </w:pPr>
    </w:p>
    <w:p w14:paraId="3E341EBB" w14:textId="77777777" w:rsidR="00C57FB7" w:rsidRDefault="00C57FB7"/>
    <w:p w14:paraId="708BBB94" w14:textId="7E8526F7" w:rsidR="00F17DE4" w:rsidRPr="00833C98" w:rsidRDefault="00271024" w:rsidP="00F40B3C">
      <w:pPr>
        <w:jc w:val="center"/>
      </w:pPr>
      <w:r w:rsidRPr="006045E3">
        <w:br w:type="page"/>
      </w:r>
      <w:r w:rsidR="001F662E" w:rsidRPr="00833C98">
        <w:rPr>
          <w:b/>
        </w:rPr>
        <w:lastRenderedPageBreak/>
        <w:t>Filing Instructions</w:t>
      </w:r>
    </w:p>
    <w:p w14:paraId="3BA82031" w14:textId="77777777" w:rsidR="00271024" w:rsidRPr="006045E3" w:rsidRDefault="00271024"/>
    <w:p w14:paraId="3BE7C25B" w14:textId="6D60875C" w:rsidR="00271024" w:rsidRPr="006045E3" w:rsidRDefault="00271024">
      <w:pPr>
        <w:jc w:val="both"/>
      </w:pPr>
      <w:r w:rsidRPr="006045E3">
        <w:t xml:space="preserve">Send completed </w:t>
      </w:r>
      <w:r w:rsidR="00833C98">
        <w:t xml:space="preserve">notarized </w:t>
      </w:r>
      <w:r w:rsidRPr="006045E3">
        <w:t xml:space="preserve">form and check for $50 filing fee made payable to:  </w:t>
      </w:r>
      <w:r w:rsidR="004D2037">
        <w:rPr>
          <w:u w:val="single"/>
        </w:rPr>
        <w:t>Court</w:t>
      </w:r>
      <w:r w:rsidRPr="006045E3">
        <w:rPr>
          <w:u w:val="single"/>
        </w:rPr>
        <w:t xml:space="preserve"> of Administrative Hearings</w:t>
      </w:r>
      <w:r w:rsidRPr="006045E3">
        <w:t>.  If you are fin</w:t>
      </w:r>
      <w:r w:rsidRPr="00150C1A">
        <w:t xml:space="preserve">ancially unable to pay the filing fee, you may submit an </w:t>
      </w:r>
      <w:r w:rsidRPr="00150C1A">
        <w:rPr>
          <w:i/>
          <w:iCs/>
        </w:rPr>
        <w:t>in forma pauperis</w:t>
      </w:r>
      <w:r w:rsidRPr="00150C1A">
        <w:t xml:space="preserve"> affidavit (</w:t>
      </w:r>
      <w:r w:rsidR="00150C1A" w:rsidRPr="00150C1A">
        <w:t xml:space="preserve">available at </w:t>
      </w:r>
      <w:hyperlink r:id="rId11" w:history="1">
        <w:r w:rsidR="00150C1A" w:rsidRPr="00150C1A">
          <w:rPr>
            <w:rStyle w:val="Hyperlink"/>
          </w:rPr>
          <w:t>https://mn.gov/oah/forms-and-filing/forms/index.jsp</w:t>
        </w:r>
      </w:hyperlink>
      <w:r w:rsidR="00150C1A">
        <w:t xml:space="preserve"> </w:t>
      </w:r>
      <w:r w:rsidRPr="006045E3">
        <w:t xml:space="preserve">) instead.  </w:t>
      </w:r>
    </w:p>
    <w:p w14:paraId="4517ECA2" w14:textId="77777777" w:rsidR="00271024" w:rsidRPr="006045E3" w:rsidRDefault="00271024">
      <w:r w:rsidRPr="006045E3">
        <w:t> </w:t>
      </w:r>
    </w:p>
    <w:p w14:paraId="41DDD8F2" w14:textId="551699B0" w:rsidR="00271024" w:rsidRPr="006045E3" w:rsidRDefault="00271024">
      <w:pPr>
        <w:jc w:val="both"/>
      </w:pPr>
      <w:r w:rsidRPr="006045E3">
        <w:t xml:space="preserve">Complaints may be submitted to the </w:t>
      </w:r>
      <w:r w:rsidR="004D2037">
        <w:t>Court</w:t>
      </w:r>
      <w:r w:rsidR="00F17DE4">
        <w:t xml:space="preserve"> of Administrative Hearings</w:t>
      </w:r>
      <w:r w:rsidR="00F17DE4" w:rsidRPr="006045E3">
        <w:t xml:space="preserve"> </w:t>
      </w:r>
      <w:r w:rsidRPr="006045E3">
        <w:t>by personal delivery</w:t>
      </w:r>
      <w:r w:rsidR="00F40B3C">
        <w:t xml:space="preserve"> to 600 North Robert Street, St. Paul, MN 55101, or</w:t>
      </w:r>
      <w:r w:rsidRPr="006045E3">
        <w:t xml:space="preserve"> U.S. mail</w:t>
      </w:r>
      <w:r w:rsidR="00F40B3C">
        <w:t xml:space="preserve"> to the </w:t>
      </w:r>
      <w:r w:rsidR="004D2037">
        <w:t>Court</w:t>
      </w:r>
      <w:r w:rsidR="00F40B3C" w:rsidRPr="00F40B3C">
        <w:t xml:space="preserve"> </w:t>
      </w:r>
      <w:r w:rsidR="00F40B3C">
        <w:t>o</w:t>
      </w:r>
      <w:r w:rsidR="00F40B3C" w:rsidRPr="00F40B3C">
        <w:t>f Administrative Hearings</w:t>
      </w:r>
      <w:r w:rsidR="00F40B3C">
        <w:t xml:space="preserve">, </w:t>
      </w:r>
      <w:r w:rsidR="00F40B3C" w:rsidRPr="00F40B3C">
        <w:t>PO Box 64620</w:t>
      </w:r>
      <w:r w:rsidR="00F40B3C">
        <w:t xml:space="preserve">, </w:t>
      </w:r>
      <w:r w:rsidR="00F40B3C" w:rsidRPr="00F40B3C">
        <w:t>St. Paul, MN  55164-0620</w:t>
      </w:r>
      <w:r w:rsidRPr="006045E3">
        <w:t xml:space="preserve">. Complaints are not deemed filed until both the complaint form and filing fee are received at the </w:t>
      </w:r>
      <w:r w:rsidR="004D2037">
        <w:t>Court</w:t>
      </w:r>
      <w:r w:rsidRPr="006045E3">
        <w:t xml:space="preserve"> of Administrative Hearings. </w:t>
      </w:r>
      <w:r w:rsidR="004F4082">
        <w:t>Pursuant to</w:t>
      </w:r>
      <w:r w:rsidR="004F4082" w:rsidRPr="004F4082">
        <w:rPr>
          <w:rFonts w:cstheme="minorBidi"/>
        </w:rPr>
        <w:t xml:space="preserve"> </w:t>
      </w:r>
      <w:r w:rsidR="004F4082" w:rsidRPr="003777F9">
        <w:rPr>
          <w:rFonts w:cstheme="minorBidi"/>
        </w:rPr>
        <w:t xml:space="preserve">Minn. R. 1400.5550, </w:t>
      </w:r>
      <w:proofErr w:type="spellStart"/>
      <w:r w:rsidR="004F4082" w:rsidRPr="003777F9">
        <w:rPr>
          <w:rFonts w:cstheme="minorBidi"/>
        </w:rPr>
        <w:t>subp</w:t>
      </w:r>
      <w:proofErr w:type="spellEnd"/>
      <w:r w:rsidR="004F4082" w:rsidRPr="003777F9">
        <w:rPr>
          <w:rFonts w:cstheme="minorBidi"/>
        </w:rPr>
        <w:t>. 5</w:t>
      </w:r>
      <w:r w:rsidRPr="006045E3">
        <w:t>, any</w:t>
      </w:r>
      <w:r w:rsidR="00F17DE4">
        <w:t xml:space="preserve"> filing</w:t>
      </w:r>
      <w:r w:rsidRPr="006045E3">
        <w:t xml:space="preserve"> received after </w:t>
      </w:r>
      <w:r w:rsidR="004F4082">
        <w:t>4:30 p.m.</w:t>
      </w:r>
      <w:r w:rsidRPr="006045E3">
        <w:t xml:space="preserve"> will be deemed received the following business day.</w:t>
      </w:r>
    </w:p>
    <w:p w14:paraId="76D88A70" w14:textId="77777777" w:rsidR="00271024" w:rsidRPr="006045E3" w:rsidRDefault="00271024"/>
    <w:p w14:paraId="6C43D250" w14:textId="77777777" w:rsidR="00271024" w:rsidRPr="006045E3" w:rsidRDefault="00271024" w:rsidP="00AD2D1B">
      <w:pPr>
        <w:jc w:val="both"/>
      </w:pPr>
      <w:r w:rsidRPr="006045E3">
        <w:t>If you have questions</w:t>
      </w:r>
      <w:r w:rsidR="004F4082">
        <w:t>,</w:t>
      </w:r>
      <w:r w:rsidRPr="006045E3">
        <w:t xml:space="preserve"> call an OA</w:t>
      </w:r>
      <w:r w:rsidR="00FB5806">
        <w:t>H staff attorney at 651-361-7</w:t>
      </w:r>
      <w:r w:rsidR="00AD2D1B">
        <w:t>900</w:t>
      </w:r>
      <w:r w:rsidRPr="006045E3">
        <w:t xml:space="preserve">.  </w:t>
      </w:r>
    </w:p>
    <w:p w14:paraId="00E828FF" w14:textId="77777777" w:rsidR="00271024" w:rsidRPr="006045E3" w:rsidRDefault="00271024"/>
    <w:p w14:paraId="657981B2" w14:textId="77777777" w:rsidR="00271024" w:rsidRPr="006045E3" w:rsidRDefault="00271024" w:rsidP="00833C98">
      <w:pPr>
        <w:spacing w:after="480"/>
        <w:jc w:val="both"/>
      </w:pPr>
      <w:r w:rsidRPr="006045E3">
        <w:t>This document is available in alternative formats to individuals with disabilities by calling 651-361-78</w:t>
      </w:r>
      <w:r w:rsidR="003C1E4A">
        <w:t>34.</w:t>
      </w:r>
    </w:p>
    <w:p w14:paraId="01717950" w14:textId="72BBC5DD" w:rsidR="00271024" w:rsidRPr="00833C98" w:rsidRDefault="001F662E" w:rsidP="00F40B3C">
      <w:pPr>
        <w:pStyle w:val="Heading1"/>
        <w:spacing w:after="240"/>
      </w:pPr>
      <w:r w:rsidRPr="00AD2D1B">
        <w:t>Legal Resources</w:t>
      </w:r>
    </w:p>
    <w:p w14:paraId="7947A35D" w14:textId="6521B64D" w:rsidR="00271024" w:rsidRPr="004F4082" w:rsidRDefault="00271024" w:rsidP="00AD2D1B">
      <w:pPr>
        <w:jc w:val="both"/>
      </w:pPr>
      <w:r w:rsidRPr="004F4082">
        <w:t>Minn. Stat. § 211B.33, subd. 1 and 2 provide as follows:</w:t>
      </w:r>
    </w:p>
    <w:p w14:paraId="4C53148E" w14:textId="77777777" w:rsidR="00271024" w:rsidRPr="00623A55" w:rsidRDefault="00271024" w:rsidP="00AD2D1B">
      <w:pPr>
        <w:jc w:val="both"/>
      </w:pPr>
      <w:r w:rsidRPr="00623A55">
        <w:t> </w:t>
      </w:r>
    </w:p>
    <w:p w14:paraId="2A487503" w14:textId="595B8C00" w:rsidR="00271024" w:rsidRPr="00F40B3C" w:rsidRDefault="00271024" w:rsidP="00AD2D1B">
      <w:pPr>
        <w:jc w:val="both"/>
      </w:pPr>
      <w:r w:rsidRPr="00F40B3C">
        <w:rPr>
          <w:u w:val="single"/>
        </w:rPr>
        <w:t>Subd</w:t>
      </w:r>
      <w:r w:rsidR="004F4082" w:rsidRPr="00F40B3C">
        <w:rPr>
          <w:u w:val="single"/>
        </w:rPr>
        <w:t>.</w:t>
      </w:r>
      <w:r w:rsidRPr="00F40B3C">
        <w:rPr>
          <w:u w:val="single"/>
        </w:rPr>
        <w:t xml:space="preserve"> 1.</w:t>
      </w:r>
      <w:r w:rsidRPr="00F40B3C">
        <w:t xml:space="preserve">  </w:t>
      </w:r>
      <w:r w:rsidR="009D75DF" w:rsidRPr="00F40B3C">
        <w:rPr>
          <w:b/>
        </w:rPr>
        <w:t>Time for Review.</w:t>
      </w:r>
      <w:r w:rsidRPr="00F40B3C">
        <w:t>  The chief administrative law judge must randomly assign an administrative law judge to review the complaint.  Within one business day after the complaint was filed with the office, when practicable, but never longer than three business days, the administrative law judge must make a preliminary determination for its disposition.</w:t>
      </w:r>
    </w:p>
    <w:p w14:paraId="38BDBD5F" w14:textId="77777777" w:rsidR="009D75DF" w:rsidRPr="004F4082" w:rsidRDefault="009D75DF" w:rsidP="00AD2D1B">
      <w:pPr>
        <w:jc w:val="both"/>
      </w:pPr>
    </w:p>
    <w:p w14:paraId="6216B1B6" w14:textId="77777777" w:rsidR="009D75DF" w:rsidRPr="00F40B3C" w:rsidRDefault="00271024" w:rsidP="00491645">
      <w:pPr>
        <w:spacing w:after="240"/>
        <w:jc w:val="both"/>
      </w:pPr>
      <w:r w:rsidRPr="00F40B3C">
        <w:rPr>
          <w:u w:val="single"/>
        </w:rPr>
        <w:t>Subd. 2.</w:t>
      </w:r>
      <w:r w:rsidRPr="00F40B3C">
        <w:t xml:space="preserve">  </w:t>
      </w:r>
      <w:r w:rsidR="009D75DF" w:rsidRPr="00F40B3C">
        <w:rPr>
          <w:b/>
        </w:rPr>
        <w:t>Recommendation.</w:t>
      </w:r>
      <w:r w:rsidRPr="00F40B3C">
        <w:t xml:space="preserve">  </w:t>
      </w:r>
    </w:p>
    <w:p w14:paraId="1BAC88E8" w14:textId="77777777" w:rsidR="00271024" w:rsidRPr="004F4082" w:rsidRDefault="005577FE" w:rsidP="00F40B3C">
      <w:pPr>
        <w:spacing w:after="240"/>
        <w:ind w:firstLine="720"/>
        <w:jc w:val="both"/>
      </w:pPr>
      <w:r w:rsidRPr="00F40B3C">
        <w:t>(a)</w:t>
      </w:r>
      <w:r w:rsidR="009D75DF" w:rsidRPr="00F40B3C">
        <w:tab/>
      </w:r>
      <w:r w:rsidR="00271024" w:rsidRPr="00F40B3C">
        <w:t>If the administrative law judge determines that the complaint does not set forth a prima facie violation of chapter 211A or 211B, the administrative law judge must dismiss the complaint.</w:t>
      </w:r>
    </w:p>
    <w:p w14:paraId="450CF470" w14:textId="77777777" w:rsidR="00271024" w:rsidRPr="004F4082" w:rsidRDefault="00271024" w:rsidP="00F40B3C">
      <w:pPr>
        <w:spacing w:after="240"/>
        <w:ind w:firstLine="720"/>
        <w:jc w:val="both"/>
      </w:pPr>
      <w:r w:rsidRPr="00F40B3C">
        <w:t>(b)</w:t>
      </w:r>
      <w:r w:rsidR="009D75DF" w:rsidRPr="00F40B3C">
        <w:tab/>
      </w:r>
      <w:r w:rsidRPr="00F40B3C">
        <w:t>If the administrative law judge determines that the complaint sets forth a prima facie violation of section 211B.06 and was filed within 60 days before the primary or special election or within 90 days before the general election to which the complaint relates, the administrative law judge must conduct an expedited probable cause hearing under section 211B.34.</w:t>
      </w:r>
    </w:p>
    <w:p w14:paraId="1D0A4375" w14:textId="77777777" w:rsidR="00271024" w:rsidRPr="004F4082" w:rsidRDefault="00271024" w:rsidP="00F40B3C">
      <w:pPr>
        <w:spacing w:after="240"/>
        <w:ind w:firstLine="720"/>
        <w:jc w:val="both"/>
      </w:pPr>
      <w:r w:rsidRPr="00F40B3C">
        <w:t>(c)</w:t>
      </w:r>
      <w:r w:rsidR="009D75DF" w:rsidRPr="00F40B3C">
        <w:tab/>
      </w:r>
      <w:r w:rsidRPr="00F40B3C">
        <w:t xml:space="preserve">If the administrative law judge determines that the complaint sets forth a prima facie violation of a provision of chapter 211A or 211B, other than section 211B.06, and that the complaint was filed within 60 days before the primary or special election or within 90 days before the general election to which the </w:t>
      </w:r>
      <w:r w:rsidRPr="00F40B3C">
        <w:lastRenderedPageBreak/>
        <w:t>complaint relates, the administrative law judge, on request of any party, must conduct an expedited probable cause hearing under section 211B.34.</w:t>
      </w:r>
    </w:p>
    <w:p w14:paraId="2DCAA005" w14:textId="77777777" w:rsidR="009D75DF" w:rsidRPr="00F40B3C" w:rsidRDefault="00271024" w:rsidP="00F40B3C">
      <w:pPr>
        <w:spacing w:after="240"/>
        <w:ind w:firstLine="720"/>
        <w:jc w:val="both"/>
      </w:pPr>
      <w:r w:rsidRPr="00F40B3C">
        <w:t>(d)</w:t>
      </w:r>
      <w:r w:rsidR="009D75DF" w:rsidRPr="00F40B3C">
        <w:tab/>
      </w:r>
      <w:r w:rsidRPr="00F40B3C">
        <w:t>If the administrative law judge determines that the complaint sets forth a prima facie violation of chapter 211Aor 211B, and was filed more than 60 days before the primary or special election or more than 90 days before the general election to which the complaint relates, the administrative law judge must schedule an evidentiary hearing under section 211B.35.</w:t>
      </w:r>
    </w:p>
    <w:p w14:paraId="5169A25A" w14:textId="03082D9C" w:rsidR="009D75DF" w:rsidRPr="00DB1845" w:rsidRDefault="001F662E" w:rsidP="00F40B3C">
      <w:pPr>
        <w:pStyle w:val="Heading1"/>
      </w:pPr>
      <w:r w:rsidRPr="00DB1845">
        <w:t>Tennessen Warning</w:t>
      </w:r>
    </w:p>
    <w:p w14:paraId="5C863BEC" w14:textId="77777777" w:rsidR="009D75DF" w:rsidRPr="00DB1845" w:rsidRDefault="009D75DF" w:rsidP="009D75DF"/>
    <w:p w14:paraId="24B5B5C9" w14:textId="71F1FEAD" w:rsidR="009D75DF" w:rsidRPr="00DB1845" w:rsidRDefault="009D75DF" w:rsidP="00AD2D1B">
      <w:pPr>
        <w:jc w:val="both"/>
      </w:pPr>
      <w:r w:rsidRPr="00DB1845">
        <w:t xml:space="preserve">The data requested in this form </w:t>
      </w:r>
      <w:r>
        <w:t xml:space="preserve">will be used </w:t>
      </w:r>
      <w:r w:rsidRPr="00DB1845">
        <w:t xml:space="preserve">for the purpose of carrying out the responsibilities of </w:t>
      </w:r>
      <w:r>
        <w:t xml:space="preserve">the </w:t>
      </w:r>
      <w:r w:rsidR="004D2037">
        <w:t>Court</w:t>
      </w:r>
      <w:r>
        <w:t xml:space="preserve"> of Administrative Hearings </w:t>
      </w:r>
      <w:r w:rsidRPr="00DB1845">
        <w:t xml:space="preserve">in the complaint process established by Minn. Stat. </w:t>
      </w:r>
      <w:r>
        <w:t>§ 211B.31-.37</w:t>
      </w:r>
      <w:r w:rsidRPr="00DB1845">
        <w:t xml:space="preserve">.  The information requested is needed to initiate the proceeding, </w:t>
      </w:r>
      <w:r>
        <w:t xml:space="preserve">provide required notice to other parties or persons </w:t>
      </w:r>
      <w:r w:rsidRPr="00DB1845">
        <w:t xml:space="preserve">and conduct the </w:t>
      </w:r>
      <w:r>
        <w:t xml:space="preserve">required </w:t>
      </w:r>
      <w:r w:rsidRPr="00DB1845">
        <w:t>review</w:t>
      </w:r>
      <w:r>
        <w:t xml:space="preserve"> and hearing</w:t>
      </w:r>
      <w:r w:rsidRPr="00DB1845">
        <w:t xml:space="preserve">.  Failure to provide the </w:t>
      </w:r>
      <w:r>
        <w:t xml:space="preserve">requested </w:t>
      </w:r>
      <w:r w:rsidRPr="00DB1845">
        <w:t>information can result in the Complaint being rejected as incomplete, delay</w:t>
      </w:r>
      <w:r>
        <w:t>ed</w:t>
      </w:r>
      <w:r w:rsidRPr="00DB1845">
        <w:t xml:space="preserve"> in </w:t>
      </w:r>
      <w:r>
        <w:t>processing</w:t>
      </w:r>
      <w:r w:rsidRPr="00DB1845">
        <w:t xml:space="preserve"> and</w:t>
      </w:r>
      <w:r>
        <w:t>/or</w:t>
      </w:r>
      <w:r w:rsidRPr="00DB1845">
        <w:t xml:space="preserve"> dismiss</w:t>
      </w:r>
      <w:r>
        <w:t>ed</w:t>
      </w:r>
      <w:r w:rsidRPr="00DB1845">
        <w:t xml:space="preserve"> as </w:t>
      </w:r>
      <w:r>
        <w:t>failing to set forth a prima facie violation</w:t>
      </w:r>
      <w:r w:rsidRPr="00DB1845">
        <w:t>.</w:t>
      </w:r>
    </w:p>
    <w:p w14:paraId="6A0BACD2" w14:textId="77777777" w:rsidR="009D75DF" w:rsidRPr="00DB1845" w:rsidRDefault="009D75DF" w:rsidP="00AD2D1B">
      <w:pPr>
        <w:jc w:val="both"/>
      </w:pPr>
    </w:p>
    <w:p w14:paraId="5CF1D518" w14:textId="77777777" w:rsidR="009D75DF" w:rsidRPr="006045E3" w:rsidRDefault="009D75DF" w:rsidP="00833C98">
      <w:pPr>
        <w:jc w:val="both"/>
      </w:pPr>
      <w:r w:rsidRPr="00DB1845">
        <w:t>The law governing this process makes all records relating to the hearing, including this Complaint, open to the public.  If you believe that any data you are submitting is not public under law, you must identify which data is protected and why it is not public data</w:t>
      </w:r>
      <w:r>
        <w:t xml:space="preserve"> under the Minnesota Government Data Practices Act</w:t>
      </w:r>
      <w:r w:rsidRPr="00DB1845">
        <w:t>.</w:t>
      </w:r>
    </w:p>
    <w:sectPr w:rsidR="009D75DF" w:rsidRPr="006045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66"/>
    <w:rsid w:val="00150C1A"/>
    <w:rsid w:val="001818C2"/>
    <w:rsid w:val="001F662E"/>
    <w:rsid w:val="00271024"/>
    <w:rsid w:val="00274271"/>
    <w:rsid w:val="002B615A"/>
    <w:rsid w:val="003907E6"/>
    <w:rsid w:val="003C1E4A"/>
    <w:rsid w:val="004703CB"/>
    <w:rsid w:val="00491645"/>
    <w:rsid w:val="004B1BBF"/>
    <w:rsid w:val="004D2037"/>
    <w:rsid w:val="004D4586"/>
    <w:rsid w:val="004F4082"/>
    <w:rsid w:val="00523ABE"/>
    <w:rsid w:val="005447FF"/>
    <w:rsid w:val="005577FE"/>
    <w:rsid w:val="00565189"/>
    <w:rsid w:val="006045E3"/>
    <w:rsid w:val="00623A55"/>
    <w:rsid w:val="006301E7"/>
    <w:rsid w:val="006B4D54"/>
    <w:rsid w:val="006D35E7"/>
    <w:rsid w:val="00737E66"/>
    <w:rsid w:val="007616BC"/>
    <w:rsid w:val="007D27EF"/>
    <w:rsid w:val="007F3EBE"/>
    <w:rsid w:val="00833C98"/>
    <w:rsid w:val="00866BCB"/>
    <w:rsid w:val="00992530"/>
    <w:rsid w:val="009D75DF"/>
    <w:rsid w:val="00A82FCB"/>
    <w:rsid w:val="00AC186E"/>
    <w:rsid w:val="00AD2D1B"/>
    <w:rsid w:val="00B11327"/>
    <w:rsid w:val="00B97F38"/>
    <w:rsid w:val="00C57FB7"/>
    <w:rsid w:val="00C62205"/>
    <w:rsid w:val="00CF75C2"/>
    <w:rsid w:val="00D41956"/>
    <w:rsid w:val="00E24F7A"/>
    <w:rsid w:val="00E32932"/>
    <w:rsid w:val="00E427A7"/>
    <w:rsid w:val="00F17DE4"/>
    <w:rsid w:val="00F40B3C"/>
    <w:rsid w:val="00F610BA"/>
    <w:rsid w:val="00FB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BCF1ED7"/>
  <w15:docId w15:val="{C65CE947-8CEF-4DD0-BC4C-ACA47673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qFormat/>
    <w:pPr>
      <w:keepNext/>
      <w:jc w:val="center"/>
      <w:outlineLvl w:val="0"/>
    </w:pPr>
    <w:rPr>
      <w:b/>
      <w:bCs/>
      <w:kern w:val="36"/>
    </w:rPr>
  </w:style>
  <w:style w:type="paragraph" w:styleId="Heading2">
    <w:name w:val="heading 2"/>
    <w:basedOn w:val="Normal"/>
    <w:next w:val="Normal"/>
    <w:link w:val="Heading2Char"/>
    <w:unhideWhenUsed/>
    <w:qFormat/>
    <w:rsid w:val="009D75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style>
  <w:style w:type="paragraph" w:styleId="BodyText">
    <w:name w:val="Body Text"/>
    <w:basedOn w:val="Normal"/>
    <w:pPr>
      <w:spacing w:after="120"/>
      <w:jc w:val="both"/>
    </w:pPr>
  </w:style>
  <w:style w:type="paragraph" w:styleId="BodyText2">
    <w:name w:val="Body Text 2"/>
    <w:basedOn w:val="Normal"/>
    <w:pPr>
      <w:jc w:val="center"/>
    </w:pPr>
    <w:rPr>
      <w:b/>
      <w:bCs/>
      <w:sz w:val="32"/>
      <w:szCs w:val="32"/>
    </w:rPr>
  </w:style>
  <w:style w:type="paragraph" w:styleId="BalloonText">
    <w:name w:val="Balloon Text"/>
    <w:basedOn w:val="Normal"/>
    <w:link w:val="BalloonTextChar"/>
    <w:semiHidden/>
    <w:unhideWhenUsed/>
    <w:rsid w:val="00B11327"/>
    <w:rPr>
      <w:rFonts w:ascii="Segoe UI" w:hAnsi="Segoe UI" w:cs="Segoe UI"/>
      <w:sz w:val="18"/>
      <w:szCs w:val="18"/>
    </w:rPr>
  </w:style>
  <w:style w:type="character" w:customStyle="1" w:styleId="BalloonTextChar">
    <w:name w:val="Balloon Text Char"/>
    <w:basedOn w:val="DefaultParagraphFont"/>
    <w:link w:val="BalloonText"/>
    <w:semiHidden/>
    <w:rsid w:val="00B11327"/>
    <w:rPr>
      <w:rFonts w:ascii="Segoe UI" w:hAnsi="Segoe UI" w:cs="Segoe UI"/>
      <w:sz w:val="18"/>
      <w:szCs w:val="18"/>
    </w:rPr>
  </w:style>
  <w:style w:type="character" w:styleId="CommentReference">
    <w:name w:val="annotation reference"/>
    <w:basedOn w:val="DefaultParagraphFont"/>
    <w:uiPriority w:val="99"/>
    <w:semiHidden/>
    <w:unhideWhenUsed/>
    <w:rsid w:val="00F17DE4"/>
    <w:rPr>
      <w:sz w:val="16"/>
      <w:szCs w:val="16"/>
    </w:rPr>
  </w:style>
  <w:style w:type="paragraph" w:styleId="CommentText">
    <w:name w:val="annotation text"/>
    <w:basedOn w:val="Normal"/>
    <w:link w:val="CommentTextChar"/>
    <w:uiPriority w:val="99"/>
    <w:unhideWhenUsed/>
    <w:rsid w:val="00F17DE4"/>
    <w:rPr>
      <w:sz w:val="20"/>
      <w:szCs w:val="20"/>
    </w:rPr>
  </w:style>
  <w:style w:type="character" w:customStyle="1" w:styleId="CommentTextChar">
    <w:name w:val="Comment Text Char"/>
    <w:basedOn w:val="DefaultParagraphFont"/>
    <w:link w:val="CommentText"/>
    <w:uiPriority w:val="99"/>
    <w:rsid w:val="00F17DE4"/>
    <w:rPr>
      <w:rFonts w:ascii="Arial" w:hAnsi="Arial" w:cs="Arial"/>
    </w:rPr>
  </w:style>
  <w:style w:type="paragraph" w:styleId="CommentSubject">
    <w:name w:val="annotation subject"/>
    <w:basedOn w:val="CommentText"/>
    <w:next w:val="CommentText"/>
    <w:link w:val="CommentSubjectChar"/>
    <w:semiHidden/>
    <w:unhideWhenUsed/>
    <w:rsid w:val="00F17DE4"/>
    <w:rPr>
      <w:b/>
      <w:bCs/>
    </w:rPr>
  </w:style>
  <w:style w:type="character" w:customStyle="1" w:styleId="CommentSubjectChar">
    <w:name w:val="Comment Subject Char"/>
    <w:basedOn w:val="CommentTextChar"/>
    <w:link w:val="CommentSubject"/>
    <w:semiHidden/>
    <w:rsid w:val="00F17DE4"/>
    <w:rPr>
      <w:rFonts w:ascii="Arial" w:hAnsi="Arial" w:cs="Arial"/>
      <w:b/>
      <w:bCs/>
    </w:rPr>
  </w:style>
  <w:style w:type="paragraph" w:styleId="Revision">
    <w:name w:val="Revision"/>
    <w:hidden/>
    <w:uiPriority w:val="99"/>
    <w:semiHidden/>
    <w:rsid w:val="00F17DE4"/>
    <w:rPr>
      <w:rFonts w:ascii="Arial" w:hAnsi="Arial" w:cs="Arial"/>
      <w:sz w:val="24"/>
      <w:szCs w:val="24"/>
    </w:rPr>
  </w:style>
  <w:style w:type="character" w:customStyle="1" w:styleId="Heading2Char">
    <w:name w:val="Heading 2 Char"/>
    <w:basedOn w:val="DefaultParagraphFont"/>
    <w:link w:val="Heading2"/>
    <w:rsid w:val="009D75DF"/>
    <w:rPr>
      <w:rFonts w:asciiTheme="majorHAnsi" w:eastAsiaTheme="majorEastAsia" w:hAnsiTheme="majorHAnsi" w:cstheme="majorBidi"/>
      <w:color w:val="365F91" w:themeColor="accent1" w:themeShade="BF"/>
      <w:sz w:val="26"/>
      <w:szCs w:val="26"/>
    </w:rPr>
  </w:style>
  <w:style w:type="character" w:customStyle="1" w:styleId="headnote">
    <w:name w:val="headnote"/>
    <w:basedOn w:val="DefaultParagraphFont"/>
    <w:rsid w:val="009D75DF"/>
  </w:style>
  <w:style w:type="character" w:customStyle="1" w:styleId="apple-converted-space">
    <w:name w:val="apple-converted-space"/>
    <w:basedOn w:val="DefaultParagraphFont"/>
    <w:rsid w:val="009D75DF"/>
  </w:style>
  <w:style w:type="paragraph" w:styleId="NormalWeb">
    <w:name w:val="Normal (Web)"/>
    <w:basedOn w:val="Normal"/>
    <w:uiPriority w:val="99"/>
    <w:semiHidden/>
    <w:unhideWhenUsed/>
    <w:rsid w:val="009D75D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962238">
      <w:bodyDiv w:val="1"/>
      <w:marLeft w:val="0"/>
      <w:marRight w:val="0"/>
      <w:marTop w:val="0"/>
      <w:marBottom w:val="0"/>
      <w:divBdr>
        <w:top w:val="none" w:sz="0" w:space="0" w:color="auto"/>
        <w:left w:val="none" w:sz="0" w:space="0" w:color="auto"/>
        <w:bottom w:val="none" w:sz="0" w:space="0" w:color="auto"/>
        <w:right w:val="none" w:sz="0" w:space="0" w:color="auto"/>
      </w:divBdr>
      <w:divsChild>
        <w:div w:id="360857749">
          <w:marLeft w:val="0"/>
          <w:marRight w:val="0"/>
          <w:marTop w:val="48"/>
          <w:marBottom w:val="0"/>
          <w:divBdr>
            <w:top w:val="none" w:sz="0" w:space="0" w:color="auto"/>
            <w:left w:val="none" w:sz="0" w:space="0" w:color="auto"/>
            <w:bottom w:val="none" w:sz="0" w:space="0" w:color="auto"/>
            <w:right w:val="none" w:sz="0" w:space="0" w:color="auto"/>
          </w:divBdr>
        </w:div>
        <w:div w:id="996958030">
          <w:marLeft w:val="0"/>
          <w:marRight w:val="0"/>
          <w:marTop w:val="4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oah/forms-and-filing/forms/index.jsp" TargetMode="External"/><Relationship Id="rId5" Type="http://schemas.openxmlformats.org/officeDocument/2006/relationships/customXml" Target="../customXml/item5.xml"/><Relationship Id="rId10" Type="http://schemas.openxmlformats.org/officeDocument/2006/relationships/hyperlink" Target="https://www.revisor.leg.state.mn.us/statutes/?id=211B" TargetMode="External"/><Relationship Id="rId4" Type="http://schemas.openxmlformats.org/officeDocument/2006/relationships/customXml" Target="../customXml/item4.xml"/><Relationship Id="rId9" Type="http://schemas.openxmlformats.org/officeDocument/2006/relationships/hyperlink" Target="https://www.revisor.leg.state.mn.us/statutes/?id=21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E567FB4265344D941B48768F526BEE" ma:contentTypeVersion="0" ma:contentTypeDescription="Create a new document." ma:contentTypeScope="" ma:versionID="250979030161b3cdb4facab5b098e5e0">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CE326-CF57-4F9C-AE31-EB50094D3F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EEC764-123E-44F3-ADCF-2D8B2F3B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630586-2A7D-4B2D-86B8-7517B1D4977F}">
  <ds:schemaRefs>
    <ds:schemaRef ds:uri="http://schemas.microsoft.com/office/2006/metadata/longProperties"/>
  </ds:schemaRefs>
</ds:datastoreItem>
</file>

<file path=customXml/itemProps4.xml><?xml version="1.0" encoding="utf-8"?>
<ds:datastoreItem xmlns:ds="http://schemas.openxmlformats.org/officeDocument/2006/customXml" ds:itemID="{2F3B26B2-250B-4F76-889E-B14086A64640}">
  <ds:schemaRefs>
    <ds:schemaRef ds:uri="http://schemas.openxmlformats.org/officeDocument/2006/bibliography"/>
  </ds:schemaRefs>
</ds:datastoreItem>
</file>

<file path=customXml/itemProps5.xml><?xml version="1.0" encoding="utf-8"?>
<ds:datastoreItem xmlns:ds="http://schemas.openxmlformats.org/officeDocument/2006/customXml" ds:itemID="{742ABBE3-F29F-4122-9736-C00938077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Minnesota OAH  Campaign Practices Or Campaign Finance Complaint Form</vt:lpstr>
    </vt:vector>
  </TitlesOfParts>
  <Company>Office of Enterprise Technology</Company>
  <LinksUpToDate>false</LinksUpToDate>
  <CharactersWithSpaces>5600</CharactersWithSpaces>
  <SharedDoc>false</SharedDoc>
  <HLinks>
    <vt:vector size="6" baseType="variant">
      <vt:variant>
        <vt:i4>7012394</vt:i4>
      </vt:variant>
      <vt:variant>
        <vt:i4>0</vt:i4>
      </vt:variant>
      <vt:variant>
        <vt:i4>0</vt:i4>
      </vt:variant>
      <vt:variant>
        <vt:i4>5</vt:i4>
      </vt:variant>
      <vt:variant>
        <vt:lpwstr>http://www.oah.state.mn.us/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OAH  Campaign Practices Or Campaign Finance Complaint Form</dc:title>
  <dc:creator>Minnesota Office of Administrative Hearings</dc:creator>
  <cp:lastModifiedBy>Rumbaugh, Ken (He/Him/His) (OAH)</cp:lastModifiedBy>
  <cp:revision>2</cp:revision>
  <dcterms:created xsi:type="dcterms:W3CDTF">2025-08-22T16:00:00Z</dcterms:created>
  <dcterms:modified xsi:type="dcterms:W3CDTF">2025-08-22T16:00:00Z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 home folder">
    <vt:lpwstr>Application Files;#Backup and Archival Files;#Group Files;#User Files</vt:lpwstr>
  </property>
</Properties>
</file>