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5FB9" w14:textId="77777777" w:rsidR="006C586A" w:rsidRDefault="006C586A" w:rsidP="006C586A">
      <w:pPr>
        <w:pStyle w:val="Heading1"/>
      </w:pPr>
    </w:p>
    <w:p w14:paraId="0AB6817F" w14:textId="20D32B71" w:rsidR="006C586A" w:rsidRPr="00914662" w:rsidRDefault="006C586A" w:rsidP="006F23B5">
      <w:pPr>
        <w:pStyle w:val="Heading1"/>
        <w:ind w:left="0"/>
      </w:pPr>
      <w:r>
        <w:t>Tip Sheet: Grant Monitoring and Financial Reconciliation Policy 08-10</w:t>
      </w:r>
    </w:p>
    <w:p w14:paraId="16929D30" w14:textId="77777777" w:rsidR="006C586A" w:rsidRDefault="006C586A" w:rsidP="006C586A">
      <w:pPr>
        <w:pStyle w:val="BodyText"/>
        <w:ind w:right="187"/>
      </w:pPr>
    </w:p>
    <w:p w14:paraId="11A4E8D2" w14:textId="77777777" w:rsidR="006C586A" w:rsidRDefault="006C586A" w:rsidP="006C586A">
      <w:pPr>
        <w:pStyle w:val="BodyText"/>
        <w:spacing w:after="240"/>
        <w:ind w:right="188"/>
      </w:pPr>
      <w:r>
        <w:t xml:space="preserve">The </w:t>
      </w:r>
      <w:hyperlink r:id="rId10" w:history="1">
        <w:r w:rsidRPr="00AD08FD">
          <w:rPr>
            <w:rStyle w:val="Hyperlink"/>
          </w:rPr>
          <w:t>Policy 08-10 on Grant Monitoring</w:t>
        </w:r>
      </w:hyperlink>
      <w:r>
        <w:t xml:space="preserve"> requires that state agencies conduct monitoring visits and complete financial reconciliation of grantee expenditures before final payment is made on all state grants.  </w:t>
      </w:r>
    </w:p>
    <w:p w14:paraId="7E848478" w14:textId="77777777" w:rsidR="006C586A" w:rsidRDefault="006C586A" w:rsidP="006C586A">
      <w:pPr>
        <w:pStyle w:val="Heading2"/>
        <w:ind w:left="0" w:firstLine="0"/>
      </w:pPr>
      <w:r>
        <w:t>Minimum requirements and financial thresholds:</w:t>
      </w:r>
    </w:p>
    <w:p w14:paraId="3CDAFB09" w14:textId="77777777" w:rsidR="006C586A" w:rsidRDefault="006C586A" w:rsidP="006C586A">
      <w:pPr>
        <w:pStyle w:val="ListParagraph"/>
        <w:numPr>
          <w:ilvl w:val="0"/>
          <w:numId w:val="1"/>
        </w:numPr>
      </w:pPr>
      <w:r>
        <w:t xml:space="preserve">All grants &gt;$50K must have </w:t>
      </w:r>
      <w:r>
        <w:rPr>
          <w:b/>
          <w:sz w:val="24"/>
          <w:szCs w:val="24"/>
        </w:rPr>
        <w:t>one</w:t>
      </w:r>
      <w:r>
        <w:t xml:space="preserve"> grant payment reconciled before final payment of the grant. </w:t>
      </w:r>
    </w:p>
    <w:p w14:paraId="37DD6375" w14:textId="32D5FF8F" w:rsidR="006C586A" w:rsidRDefault="006C586A" w:rsidP="006C586A">
      <w:pPr>
        <w:pStyle w:val="ListParagraph"/>
        <w:numPr>
          <w:ilvl w:val="1"/>
          <w:numId w:val="1"/>
        </w:numPr>
      </w:pPr>
      <w:r w:rsidRPr="003F2968">
        <w:rPr>
          <w:b/>
        </w:rPr>
        <w:t>Example</w:t>
      </w:r>
      <w:r>
        <w:t>: One payment reconciled before final payment of two</w:t>
      </w:r>
      <w:r w:rsidR="00727369">
        <w:t>-</w:t>
      </w:r>
      <w:r>
        <w:t xml:space="preserve">year grant </w:t>
      </w:r>
      <w:r w:rsidR="00262EC3">
        <w:t xml:space="preserve">contract </w:t>
      </w:r>
      <w:r>
        <w:t>agreement</w:t>
      </w:r>
    </w:p>
    <w:p w14:paraId="433D5B84" w14:textId="77777777" w:rsidR="006C586A" w:rsidRDefault="006C586A" w:rsidP="006C586A">
      <w:pPr>
        <w:pStyle w:val="ListParagraph"/>
        <w:numPr>
          <w:ilvl w:val="0"/>
          <w:numId w:val="1"/>
        </w:numPr>
      </w:pPr>
      <w:r>
        <w:t xml:space="preserve">All grants &gt;$50K – $249,999 must have </w:t>
      </w:r>
      <w:r>
        <w:rPr>
          <w:b/>
          <w:sz w:val="24"/>
          <w:szCs w:val="24"/>
        </w:rPr>
        <w:t>one</w:t>
      </w:r>
      <w:r>
        <w:t xml:space="preserve"> monitoring visit conducted before final payment is made on the grant. </w:t>
      </w:r>
    </w:p>
    <w:p w14:paraId="23ECB2E4" w14:textId="02A5AE51" w:rsidR="006C586A" w:rsidRDefault="006C586A" w:rsidP="006C586A">
      <w:pPr>
        <w:pStyle w:val="ListParagraph"/>
        <w:numPr>
          <w:ilvl w:val="1"/>
          <w:numId w:val="1"/>
        </w:numPr>
      </w:pPr>
      <w:r w:rsidRPr="003F2968">
        <w:rPr>
          <w:b/>
        </w:rPr>
        <w:t>Example</w:t>
      </w:r>
      <w:r>
        <w:t xml:space="preserve">: One monitoring visit conducted before final payment of two-year grant </w:t>
      </w:r>
      <w:r w:rsidR="00262EC3">
        <w:t xml:space="preserve">contract </w:t>
      </w:r>
      <w:r>
        <w:t>agreement</w:t>
      </w:r>
    </w:p>
    <w:p w14:paraId="4A97A9CC" w14:textId="28871ED8" w:rsidR="006C586A" w:rsidRDefault="006C586A" w:rsidP="006C586A">
      <w:pPr>
        <w:pStyle w:val="ListParagraph"/>
        <w:numPr>
          <w:ilvl w:val="2"/>
          <w:numId w:val="1"/>
        </w:numPr>
      </w:pPr>
      <w:r>
        <w:t>The monitoring visit may be conducted</w:t>
      </w:r>
      <w:r w:rsidR="0037787C">
        <w:t xml:space="preserve"> in-person,</w:t>
      </w:r>
      <w:r>
        <w:t xml:space="preserve"> by phone or other virtual meeting options </w:t>
      </w:r>
    </w:p>
    <w:p w14:paraId="3759D033" w14:textId="77777777" w:rsidR="006C586A" w:rsidRDefault="006C586A" w:rsidP="006C586A">
      <w:pPr>
        <w:pStyle w:val="ListParagraph"/>
        <w:numPr>
          <w:ilvl w:val="0"/>
          <w:numId w:val="1"/>
        </w:numPr>
      </w:pPr>
      <w:r>
        <w:t xml:space="preserve">All grants &gt;$250K must have </w:t>
      </w:r>
      <w:r w:rsidRPr="00E36176">
        <w:rPr>
          <w:b/>
        </w:rPr>
        <w:t>annual</w:t>
      </w:r>
      <w:r>
        <w:rPr>
          <w:b/>
        </w:rPr>
        <w:t xml:space="preserve"> </w:t>
      </w:r>
      <w:r w:rsidRPr="00E36176">
        <w:t>monitoring visits</w:t>
      </w:r>
      <w:r>
        <w:t xml:space="preserve"> before final payment of the grant.</w:t>
      </w:r>
    </w:p>
    <w:p w14:paraId="0B950D3F" w14:textId="3B095531" w:rsidR="006C586A" w:rsidRDefault="006C586A" w:rsidP="006C586A">
      <w:pPr>
        <w:pStyle w:val="ListParagraph"/>
        <w:numPr>
          <w:ilvl w:val="1"/>
          <w:numId w:val="1"/>
        </w:numPr>
      </w:pPr>
      <w:r w:rsidRPr="003F2968">
        <w:rPr>
          <w:b/>
        </w:rPr>
        <w:t>Example</w:t>
      </w:r>
      <w:r>
        <w:t xml:space="preserve">: Two monitoring visits conducted before final payment of </w:t>
      </w:r>
      <w:r w:rsidR="00E972F0">
        <w:t>two-year</w:t>
      </w:r>
      <w:r>
        <w:t xml:space="preserve"> grant </w:t>
      </w:r>
      <w:r w:rsidR="00262EC3">
        <w:t xml:space="preserve">contract </w:t>
      </w:r>
      <w:r>
        <w:t>agreement</w:t>
      </w:r>
    </w:p>
    <w:p w14:paraId="25633643" w14:textId="4A4A94C4" w:rsidR="0037787C" w:rsidRDefault="0037787C" w:rsidP="0037787C">
      <w:pPr>
        <w:pStyle w:val="ListParagraph"/>
        <w:numPr>
          <w:ilvl w:val="0"/>
          <w:numId w:val="1"/>
        </w:numPr>
      </w:pPr>
      <w:r>
        <w:t>Additional or enhanced monitoring may be conducted based on the results of the preaward risk assessment, any resulting risk mitigation plan and identified internal controls, or targeted technical assistance, etc.</w:t>
      </w:r>
    </w:p>
    <w:p w14:paraId="7029DFC2" w14:textId="77777777" w:rsidR="006C586A" w:rsidRDefault="006C586A" w:rsidP="006C586A">
      <w:pPr>
        <w:pStyle w:val="ListParagraph"/>
        <w:numPr>
          <w:ilvl w:val="0"/>
          <w:numId w:val="1"/>
        </w:numPr>
      </w:pPr>
      <w:r>
        <w:t>Documentation from monitoring visits, including financial reconciliation, must be kept in the official grant file.</w:t>
      </w:r>
    </w:p>
    <w:p w14:paraId="5A0A929B" w14:textId="77777777" w:rsidR="006F23B5" w:rsidRDefault="006F23B5" w:rsidP="006C586A">
      <w:pPr>
        <w:pStyle w:val="Heading3"/>
        <w:rPr>
          <w:b/>
          <w:bCs/>
        </w:rPr>
      </w:pPr>
    </w:p>
    <w:p w14:paraId="1151408C" w14:textId="62A73021" w:rsidR="006C586A" w:rsidRPr="006C586A" w:rsidRDefault="006C586A" w:rsidP="006C586A">
      <w:pPr>
        <w:pStyle w:val="Heading3"/>
        <w:rPr>
          <w:b/>
          <w:bCs/>
        </w:rPr>
      </w:pPr>
      <w:r w:rsidRPr="006C586A">
        <w:rPr>
          <w:b/>
          <w:bCs/>
        </w:rPr>
        <w:t>Policy Options:</w:t>
      </w:r>
    </w:p>
    <w:p w14:paraId="7525FCA5" w14:textId="77777777" w:rsidR="006C586A" w:rsidRDefault="006C586A" w:rsidP="006C586A">
      <w:pPr>
        <w:pStyle w:val="ListParagraph"/>
        <w:numPr>
          <w:ilvl w:val="0"/>
          <w:numId w:val="2"/>
        </w:numPr>
      </w:pPr>
      <w:r w:rsidRPr="0057523A">
        <w:rPr>
          <w:b/>
        </w:rPr>
        <w:t>Agencies choose</w:t>
      </w:r>
      <w:r>
        <w:t>:</w:t>
      </w:r>
    </w:p>
    <w:p w14:paraId="4D5A3236" w14:textId="78349DDC" w:rsidR="006C586A" w:rsidRDefault="006C586A" w:rsidP="006C586A">
      <w:pPr>
        <w:pStyle w:val="ListParagraph"/>
        <w:numPr>
          <w:ilvl w:val="1"/>
          <w:numId w:val="2"/>
        </w:numPr>
      </w:pPr>
      <w:r>
        <w:t xml:space="preserve">Type of Monitoring visit: </w:t>
      </w:r>
      <w:r w:rsidR="0037787C">
        <w:t xml:space="preserve">On-site, </w:t>
      </w:r>
      <w:r>
        <w:t xml:space="preserve">Phone, virtual meeting option, etc. </w:t>
      </w:r>
    </w:p>
    <w:p w14:paraId="18452D97" w14:textId="77777777" w:rsidR="006C586A" w:rsidRDefault="006C586A" w:rsidP="006C586A">
      <w:pPr>
        <w:pStyle w:val="ListParagraph"/>
        <w:numPr>
          <w:ilvl w:val="1"/>
          <w:numId w:val="2"/>
        </w:numPr>
      </w:pPr>
      <w:r>
        <w:t>Financial reconciliation source documents:</w:t>
      </w:r>
    </w:p>
    <w:p w14:paraId="30F2C9E1" w14:textId="77777777" w:rsidR="006C586A" w:rsidRDefault="006C586A" w:rsidP="006C586A">
      <w:pPr>
        <w:pStyle w:val="ListParagraph"/>
        <w:numPr>
          <w:ilvl w:val="2"/>
          <w:numId w:val="2"/>
        </w:numPr>
      </w:pPr>
      <w:r>
        <w:t>Range of options include purchase orders, receipts, payroll records, etc.</w:t>
      </w:r>
    </w:p>
    <w:p w14:paraId="6D379646" w14:textId="77777777" w:rsidR="006C586A" w:rsidRDefault="006C586A" w:rsidP="006C586A">
      <w:pPr>
        <w:pStyle w:val="ListParagraph"/>
        <w:numPr>
          <w:ilvl w:val="1"/>
          <w:numId w:val="2"/>
        </w:numPr>
      </w:pPr>
      <w:r>
        <w:t>Financial reconciliation expenditure options:</w:t>
      </w:r>
    </w:p>
    <w:p w14:paraId="088CFDF5" w14:textId="77777777" w:rsidR="006C586A" w:rsidRDefault="006C586A" w:rsidP="006C586A">
      <w:pPr>
        <w:pStyle w:val="ListParagraph"/>
        <w:numPr>
          <w:ilvl w:val="2"/>
          <w:numId w:val="2"/>
        </w:numPr>
      </w:pPr>
      <w:r>
        <w:t>Range of options of which specific grant project expenditures in a given payment are subject to financial reconciliation</w:t>
      </w:r>
    </w:p>
    <w:p w14:paraId="23F763AB" w14:textId="77777777" w:rsidR="006C586A" w:rsidRDefault="006C586A" w:rsidP="006C586A">
      <w:pPr>
        <w:pStyle w:val="ListParagraph"/>
        <w:numPr>
          <w:ilvl w:val="1"/>
          <w:numId w:val="2"/>
        </w:numPr>
      </w:pPr>
      <w:r>
        <w:t>Sampling options:</w:t>
      </w:r>
    </w:p>
    <w:p w14:paraId="64B74B6B" w14:textId="1058FD59" w:rsidR="006C586A" w:rsidRDefault="006C586A" w:rsidP="006C586A">
      <w:pPr>
        <w:pStyle w:val="ListParagraph"/>
        <w:numPr>
          <w:ilvl w:val="2"/>
          <w:numId w:val="2"/>
        </w:numPr>
      </w:pPr>
      <w:r>
        <w:t xml:space="preserve">A granting agency with multiple grants of similar grant periods with the same grantee may choose to identify which grants represent a sample that will receive monitoring and financial reconciliation before a final payment is made.  The granting agency should retain </w:t>
      </w:r>
      <w:r w:rsidR="0037787C">
        <w:t>the</w:t>
      </w:r>
      <w:r>
        <w:t xml:space="preserve"> written </w:t>
      </w:r>
      <w:r w:rsidR="007A4A7D" w:rsidRPr="0037787C">
        <w:t>post</w:t>
      </w:r>
      <w:r w:rsidR="00FC6D5B">
        <w:t>-</w:t>
      </w:r>
      <w:r w:rsidR="007A4A7D" w:rsidRPr="0037787C">
        <w:t xml:space="preserve">award </w:t>
      </w:r>
      <w:r>
        <w:t>risk assessment identifying the sampling criteria as part of the official grant file per policy.</w:t>
      </w:r>
    </w:p>
    <w:p w14:paraId="0BDBB303" w14:textId="77777777" w:rsidR="006F23B5" w:rsidRDefault="006F23B5" w:rsidP="006F23B5">
      <w:pPr>
        <w:pStyle w:val="Heading3"/>
        <w:rPr>
          <w:b/>
          <w:bCs/>
        </w:rPr>
      </w:pPr>
    </w:p>
    <w:p w14:paraId="6FE97FBA" w14:textId="77777777" w:rsidR="006F23B5" w:rsidRDefault="006F23B5" w:rsidP="006F23B5">
      <w:pPr>
        <w:pStyle w:val="Heading3"/>
        <w:rPr>
          <w:b/>
          <w:bCs/>
        </w:rPr>
      </w:pPr>
    </w:p>
    <w:p w14:paraId="3DEE6E7D" w14:textId="77777777" w:rsidR="006F23B5" w:rsidRDefault="006F23B5" w:rsidP="006F23B5">
      <w:pPr>
        <w:pStyle w:val="Heading3"/>
        <w:rPr>
          <w:b/>
          <w:bCs/>
        </w:rPr>
      </w:pPr>
    </w:p>
    <w:p w14:paraId="3E6B5100" w14:textId="77777777" w:rsidR="009912FA" w:rsidRPr="009912FA" w:rsidRDefault="009912FA" w:rsidP="009912FA"/>
    <w:p w14:paraId="0E86B373" w14:textId="7F117A50" w:rsidR="006F23B5" w:rsidRDefault="006F23B5" w:rsidP="006F23B5">
      <w:pPr>
        <w:pStyle w:val="Heading3"/>
      </w:pPr>
      <w:r w:rsidRPr="006F23B5">
        <w:rPr>
          <w:b/>
          <w:bCs/>
        </w:rPr>
        <w:lastRenderedPageBreak/>
        <w:t>FAQ’s</w:t>
      </w:r>
      <w:r>
        <w:t>:</w:t>
      </w:r>
    </w:p>
    <w:p w14:paraId="609EF4FA" w14:textId="77777777" w:rsidR="006F23B5" w:rsidRDefault="006F23B5" w:rsidP="006F23B5">
      <w:pPr>
        <w:pStyle w:val="ListParagraph"/>
        <w:numPr>
          <w:ilvl w:val="0"/>
          <w:numId w:val="2"/>
        </w:numPr>
      </w:pPr>
      <w:r>
        <w:t>What is a grant period?</w:t>
      </w:r>
    </w:p>
    <w:p w14:paraId="4D290F7C" w14:textId="7B62691F" w:rsidR="006F23B5" w:rsidRDefault="006F23B5" w:rsidP="006F23B5">
      <w:pPr>
        <w:pStyle w:val="ListParagraph"/>
        <w:numPr>
          <w:ilvl w:val="1"/>
          <w:numId w:val="2"/>
        </w:numPr>
      </w:pPr>
      <w:r>
        <w:t xml:space="preserve">The start and end date of the grant </w:t>
      </w:r>
      <w:r w:rsidR="000C4CE9">
        <w:t xml:space="preserve">contract </w:t>
      </w:r>
      <w:r>
        <w:t>agreement</w:t>
      </w:r>
    </w:p>
    <w:p w14:paraId="3B43DAC5" w14:textId="04019821" w:rsidR="006F23B5" w:rsidRDefault="006F23B5" w:rsidP="006F23B5">
      <w:pPr>
        <w:pStyle w:val="ListParagraph"/>
        <w:numPr>
          <w:ilvl w:val="1"/>
          <w:numId w:val="2"/>
        </w:numPr>
      </w:pPr>
      <w:r>
        <w:t xml:space="preserve">Final payment of a grant </w:t>
      </w:r>
      <w:r w:rsidR="000C4CE9">
        <w:t xml:space="preserve">contract </w:t>
      </w:r>
      <w:r>
        <w:t xml:space="preserve">agreement likely occurs </w:t>
      </w:r>
      <w:r w:rsidRPr="005460AF">
        <w:rPr>
          <w:u w:val="single"/>
        </w:rPr>
        <w:t>after</w:t>
      </w:r>
      <w:r>
        <w:t xml:space="preserve"> the grant end date</w:t>
      </w:r>
    </w:p>
    <w:p w14:paraId="352C7F6C" w14:textId="77777777" w:rsidR="006F23B5" w:rsidRDefault="006F23B5" w:rsidP="006F23B5">
      <w:pPr>
        <w:pStyle w:val="ListParagraph"/>
        <w:numPr>
          <w:ilvl w:val="0"/>
          <w:numId w:val="2"/>
        </w:numPr>
      </w:pPr>
      <w:r>
        <w:t>What if the payment method for the grant is an advance?</w:t>
      </w:r>
    </w:p>
    <w:p w14:paraId="0721337F" w14:textId="1DC74AB8" w:rsidR="006F23B5" w:rsidRDefault="006F23B5" w:rsidP="006F23B5">
      <w:pPr>
        <w:pStyle w:val="ListParagraph"/>
        <w:numPr>
          <w:ilvl w:val="1"/>
          <w:numId w:val="2"/>
        </w:numPr>
      </w:pPr>
      <w:r>
        <w:t xml:space="preserve">The </w:t>
      </w:r>
      <w:hyperlink r:id="rId11" w:history="1">
        <w:r w:rsidR="00727369" w:rsidRPr="00727369">
          <w:rPr>
            <w:rStyle w:val="Hyperlink"/>
          </w:rPr>
          <w:t>Policy 08-08 on Grant Payments</w:t>
        </w:r>
      </w:hyperlink>
      <w:r w:rsidR="00727369">
        <w:t xml:space="preserve"> </w:t>
      </w:r>
      <w:r>
        <w:t xml:space="preserve">requires that every advance payment issued as part of the grant </w:t>
      </w:r>
      <w:r w:rsidR="00262EC3">
        <w:t xml:space="preserve">contract </w:t>
      </w:r>
      <w:r>
        <w:t>agreement is reconciled on all grants &gt;$50K.</w:t>
      </w:r>
    </w:p>
    <w:p w14:paraId="1FC139C6" w14:textId="77777777" w:rsidR="006F23B5" w:rsidRDefault="006F23B5" w:rsidP="006F23B5">
      <w:pPr>
        <w:pStyle w:val="ListParagraph"/>
        <w:numPr>
          <w:ilvl w:val="1"/>
          <w:numId w:val="2"/>
        </w:numPr>
      </w:pPr>
      <w:r>
        <w:t>The granting agency has options on the timing of when the advance must be reconciled:</w:t>
      </w:r>
    </w:p>
    <w:p w14:paraId="52D221F7" w14:textId="58FFA6D5" w:rsidR="006F23B5" w:rsidRDefault="006F23B5" w:rsidP="006F23B5">
      <w:pPr>
        <w:pStyle w:val="ListParagraph"/>
        <w:numPr>
          <w:ilvl w:val="2"/>
          <w:numId w:val="2"/>
        </w:numPr>
      </w:pPr>
      <w:r>
        <w:t xml:space="preserve">Either within 12 months of issuing the advance </w:t>
      </w:r>
      <w:r w:rsidRPr="00D9452A">
        <w:rPr>
          <w:b/>
        </w:rPr>
        <w:t>or</w:t>
      </w:r>
      <w:r>
        <w:rPr>
          <w:b/>
        </w:rPr>
        <w:t xml:space="preserve"> </w:t>
      </w:r>
      <w:r w:rsidRPr="00D9452A">
        <w:t xml:space="preserve">within </w:t>
      </w:r>
      <w:r>
        <w:t>60 days of the end of the grant period.</w:t>
      </w:r>
    </w:p>
    <w:p w14:paraId="17F9C27A" w14:textId="4BCA0D4F" w:rsidR="006C586A" w:rsidRDefault="006F23B5" w:rsidP="006F23B5">
      <w:pPr>
        <w:pStyle w:val="ListParagraph"/>
        <w:numPr>
          <w:ilvl w:val="2"/>
          <w:numId w:val="2"/>
        </w:numPr>
      </w:pPr>
      <w:r>
        <w:t xml:space="preserve">The granting agency has the same options on how to approach financial reconciliation source documents and expenditure options as defined in </w:t>
      </w:r>
      <w:hyperlink r:id="rId12" w:history="1">
        <w:r w:rsidRPr="00EB4822">
          <w:rPr>
            <w:rStyle w:val="Hyperlink"/>
          </w:rPr>
          <w:t>Policy 08-10 on Grant Monitoring</w:t>
        </w:r>
      </w:hyperlink>
    </w:p>
    <w:p w14:paraId="216D7082" w14:textId="614F5597" w:rsidR="006F23B5" w:rsidRDefault="006F23B5" w:rsidP="006F23B5"/>
    <w:p w14:paraId="37FC97C6" w14:textId="77777777" w:rsidR="006F23B5" w:rsidRDefault="006F23B5" w:rsidP="006F23B5">
      <w:pPr>
        <w:rPr>
          <w:rStyle w:val="Heading3Char"/>
        </w:rPr>
      </w:pPr>
      <w:r w:rsidRPr="006F23B5">
        <w:rPr>
          <w:rStyle w:val="Heading3Char"/>
          <w:b/>
          <w:bCs/>
        </w:rPr>
        <w:t>Resources</w:t>
      </w:r>
      <w:r>
        <w:rPr>
          <w:rStyle w:val="Heading3Char"/>
        </w:rPr>
        <w:t>:</w:t>
      </w:r>
    </w:p>
    <w:p w14:paraId="70575C92" w14:textId="77777777" w:rsidR="006F23B5" w:rsidRPr="005F03AE" w:rsidRDefault="00FC6D5B" w:rsidP="006F23B5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</w:pPr>
      <w:hyperlink r:id="rId13" w:history="1">
        <w:r w:rsidR="006F23B5">
          <w:rPr>
            <w:rStyle w:val="Hyperlink"/>
          </w:rPr>
          <w:t>Training and Development</w:t>
        </w:r>
      </w:hyperlink>
      <w:r w:rsidR="006F23B5">
        <w:t>/</w:t>
      </w:r>
      <w:r w:rsidR="006F23B5" w:rsidRPr="005F03AE">
        <w:rPr>
          <w:b/>
        </w:rPr>
        <w:t xml:space="preserve">Monitoring and Financial Review tabs </w:t>
      </w:r>
    </w:p>
    <w:p w14:paraId="62873E7B" w14:textId="77777777" w:rsidR="006F23B5" w:rsidRDefault="00FC6D5B" w:rsidP="006F23B5">
      <w:pPr>
        <w:pStyle w:val="ListParagraph"/>
        <w:numPr>
          <w:ilvl w:val="0"/>
          <w:numId w:val="3"/>
        </w:numPr>
        <w:rPr>
          <w:rStyle w:val="Heading3Char"/>
        </w:rPr>
      </w:pPr>
      <w:hyperlink r:id="rId14" w:history="1">
        <w:r w:rsidR="006F23B5">
          <w:rPr>
            <w:rStyle w:val="Hyperlink"/>
          </w:rPr>
          <w:t>Grants Management Policies, Statutes and Forms</w:t>
        </w:r>
      </w:hyperlink>
      <w:r w:rsidR="006F23B5">
        <w:t>/</w:t>
      </w:r>
      <w:r w:rsidR="006F23B5" w:rsidRPr="005F03AE">
        <w:rPr>
          <w:b/>
        </w:rPr>
        <w:t>Forms and FAQs tab</w:t>
      </w:r>
      <w:r w:rsidR="006F23B5">
        <w:rPr>
          <w:b/>
        </w:rPr>
        <w:t xml:space="preserve">: </w:t>
      </w:r>
      <w:r w:rsidR="006F23B5" w:rsidRPr="005F03AE">
        <w:rPr>
          <w:b/>
        </w:rPr>
        <w:t>Grant Financial Reconciliation and Record Retention FAQ’s</w:t>
      </w:r>
    </w:p>
    <w:p w14:paraId="7974CED2" w14:textId="77777777" w:rsidR="006F23B5" w:rsidRDefault="006F23B5" w:rsidP="006F23B5">
      <w:pPr>
        <w:rPr>
          <w:rStyle w:val="Heading3Char"/>
        </w:rPr>
      </w:pPr>
    </w:p>
    <w:p w14:paraId="112F3BD6" w14:textId="77777777" w:rsidR="006F23B5" w:rsidRPr="006F23B5" w:rsidRDefault="006F23B5" w:rsidP="006F23B5">
      <w:pPr>
        <w:rPr>
          <w:b/>
          <w:bCs/>
        </w:rPr>
      </w:pPr>
      <w:r w:rsidRPr="006F23B5">
        <w:rPr>
          <w:rStyle w:val="Heading3Char"/>
          <w:b/>
          <w:bCs/>
        </w:rPr>
        <w:t>Statutory citations</w:t>
      </w:r>
      <w:r w:rsidRPr="006F23B5">
        <w:rPr>
          <w:b/>
          <w:bCs/>
        </w:rPr>
        <w:t>:</w:t>
      </w:r>
    </w:p>
    <w:p w14:paraId="5C1749CC" w14:textId="77777777" w:rsidR="006F23B5" w:rsidRPr="006F23B5" w:rsidRDefault="00FC6D5B" w:rsidP="006F23B5">
      <w:pPr>
        <w:pStyle w:val="ListParagraph"/>
        <w:numPr>
          <w:ilvl w:val="0"/>
          <w:numId w:val="3"/>
        </w:numPr>
        <w:rPr>
          <w:color w:val="0070C0"/>
        </w:rPr>
      </w:pPr>
      <w:hyperlink r:id="rId15" w:history="1">
        <w:r w:rsidR="006F23B5" w:rsidRPr="006F23B5">
          <w:rPr>
            <w:color w:val="0070C0"/>
            <w:u w:val="single"/>
          </w:rPr>
          <w:t>Minn. Stat. §16B.97</w:t>
        </w:r>
      </w:hyperlink>
      <w:r w:rsidR="006F23B5" w:rsidRPr="006F23B5">
        <w:rPr>
          <w:color w:val="0070C0"/>
        </w:rPr>
        <w:t xml:space="preserve"> Subd. 4 (a) (1)</w:t>
      </w:r>
    </w:p>
    <w:p w14:paraId="0476F4C6" w14:textId="77777777" w:rsidR="006F23B5" w:rsidRPr="00556811" w:rsidRDefault="00FC6D5B" w:rsidP="006F23B5">
      <w:pPr>
        <w:pStyle w:val="ListParagraph"/>
        <w:numPr>
          <w:ilvl w:val="0"/>
          <w:numId w:val="3"/>
        </w:numPr>
        <w:rPr>
          <w:rStyle w:val="Hyperlink"/>
          <w:b/>
          <w:color w:val="0070C0"/>
          <w:u w:val="none"/>
        </w:rPr>
      </w:pPr>
      <w:hyperlink r:id="rId16" w:history="1">
        <w:r w:rsidR="006F23B5" w:rsidRPr="006F23B5">
          <w:rPr>
            <w:rStyle w:val="Hyperlink"/>
            <w:color w:val="0070C0"/>
          </w:rPr>
          <w:t>Minn. Stat. §16B.98</w:t>
        </w:r>
      </w:hyperlink>
      <w:r w:rsidR="006F23B5" w:rsidRPr="006F23B5">
        <w:rPr>
          <w:rStyle w:val="Hyperlink"/>
          <w:color w:val="0070C0"/>
        </w:rPr>
        <w:t xml:space="preserve">  Subd. 6 and Subd. 8</w:t>
      </w:r>
    </w:p>
    <w:p w14:paraId="48E1C077" w14:textId="2BEF0A98" w:rsidR="00556811" w:rsidRPr="00556811" w:rsidRDefault="00556811" w:rsidP="00556811">
      <w:pPr>
        <w:pStyle w:val="ListParagraph"/>
        <w:numPr>
          <w:ilvl w:val="0"/>
          <w:numId w:val="3"/>
        </w:numPr>
        <w:rPr>
          <w:bCs/>
          <w:color w:val="0070C0"/>
        </w:rPr>
      </w:pPr>
      <w:hyperlink r:id="rId17" w:history="1">
        <w:r w:rsidRPr="00556811">
          <w:rPr>
            <w:rStyle w:val="Hyperlink"/>
            <w:bCs/>
          </w:rPr>
          <w:t xml:space="preserve">Minn. Stat. </w:t>
        </w:r>
      </w:hyperlink>
      <w:r w:rsidRPr="00556811">
        <w:rPr>
          <w:bCs/>
          <w:color w:val="0070C0"/>
          <w:u w:val="single"/>
        </w:rPr>
        <w:t xml:space="preserve">§ </w:t>
      </w:r>
      <w:hyperlink r:id="rId18" w:history="1">
        <w:r w:rsidRPr="00556811">
          <w:rPr>
            <w:rStyle w:val="Hyperlink"/>
            <w:bCs/>
          </w:rPr>
          <w:t>16B.981</w:t>
        </w:r>
      </w:hyperlink>
    </w:p>
    <w:p w14:paraId="698CF402" w14:textId="77777777" w:rsidR="00556811" w:rsidRPr="006F23B5" w:rsidRDefault="00556811" w:rsidP="00556811">
      <w:pPr>
        <w:pStyle w:val="ListParagraph"/>
        <w:ind w:left="720" w:firstLine="0"/>
        <w:rPr>
          <w:b/>
          <w:color w:val="0070C0"/>
        </w:rPr>
      </w:pPr>
    </w:p>
    <w:p w14:paraId="5C25FA35" w14:textId="77777777" w:rsidR="006F23B5" w:rsidRPr="006C586A" w:rsidRDefault="006F23B5" w:rsidP="006F23B5"/>
    <w:sectPr w:rsidR="006F23B5" w:rsidRPr="006C586A" w:rsidSect="006F23B5">
      <w:headerReference w:type="default" r:id="rId19"/>
      <w:footerReference w:type="default" r:id="rId20"/>
      <w:pgSz w:w="12240" w:h="15840"/>
      <w:pgMar w:top="1440" w:right="1440" w:bottom="1440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2EEC" w14:textId="77777777" w:rsidR="006C586A" w:rsidRDefault="006C586A" w:rsidP="006C586A">
      <w:r>
        <w:separator/>
      </w:r>
    </w:p>
  </w:endnote>
  <w:endnote w:type="continuationSeparator" w:id="0">
    <w:p w14:paraId="70FF1AFD" w14:textId="77777777" w:rsidR="006C586A" w:rsidRDefault="006C586A" w:rsidP="006C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3653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832DB32" w14:textId="49BF5694" w:rsidR="008A41D3" w:rsidRPr="006F23B5" w:rsidRDefault="00B91C0B" w:rsidP="008A41D3">
        <w:pPr>
          <w:pStyle w:val="Footer"/>
          <w:ind w:left="2880"/>
          <w:rPr>
            <w:sz w:val="18"/>
            <w:szCs w:val="18"/>
          </w:rPr>
        </w:pPr>
        <w:r>
          <w:rPr>
            <w:sz w:val="18"/>
            <w:szCs w:val="18"/>
          </w:rPr>
          <w:t>Updated February 2024</w:t>
        </w:r>
        <w:r w:rsidR="008A41D3">
          <w:t xml:space="preserve"> </w:t>
        </w:r>
        <w:r w:rsidR="008A41D3">
          <w:tab/>
        </w:r>
        <w:r>
          <w:tab/>
        </w:r>
        <w:r w:rsidR="008A41D3" w:rsidRPr="006F23B5">
          <w:rPr>
            <w:sz w:val="18"/>
            <w:szCs w:val="18"/>
          </w:rPr>
          <w:fldChar w:fldCharType="begin"/>
        </w:r>
        <w:r w:rsidR="008A41D3" w:rsidRPr="006F23B5">
          <w:rPr>
            <w:sz w:val="18"/>
            <w:szCs w:val="18"/>
          </w:rPr>
          <w:instrText xml:space="preserve"> PAGE   \* MERGEFORMAT </w:instrText>
        </w:r>
        <w:r w:rsidR="008A41D3" w:rsidRPr="006F23B5">
          <w:rPr>
            <w:sz w:val="18"/>
            <w:szCs w:val="18"/>
          </w:rPr>
          <w:fldChar w:fldCharType="separate"/>
        </w:r>
        <w:r w:rsidR="008A41D3" w:rsidRPr="006F23B5">
          <w:rPr>
            <w:noProof/>
            <w:sz w:val="18"/>
            <w:szCs w:val="18"/>
          </w:rPr>
          <w:t>2</w:t>
        </w:r>
        <w:r w:rsidR="008A41D3" w:rsidRPr="006F23B5">
          <w:rPr>
            <w:noProof/>
            <w:sz w:val="18"/>
            <w:szCs w:val="18"/>
          </w:rPr>
          <w:fldChar w:fldCharType="end"/>
        </w:r>
      </w:p>
    </w:sdtContent>
  </w:sdt>
  <w:p w14:paraId="7B0D1F02" w14:textId="0CD9BCF6" w:rsidR="008A41D3" w:rsidRPr="008A41D3" w:rsidRDefault="008A41D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19C" w14:textId="77777777" w:rsidR="006C586A" w:rsidRDefault="006C586A" w:rsidP="006C586A">
      <w:r>
        <w:separator/>
      </w:r>
    </w:p>
  </w:footnote>
  <w:footnote w:type="continuationSeparator" w:id="0">
    <w:p w14:paraId="1252AF69" w14:textId="77777777" w:rsidR="006C586A" w:rsidRDefault="006C586A" w:rsidP="006C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A5C0" w14:textId="70BDA50F" w:rsidR="006C586A" w:rsidRDefault="006C586A" w:rsidP="006C586A">
    <w:pPr>
      <w:pStyle w:val="Header"/>
      <w:jc w:val="center"/>
    </w:pPr>
    <w:r w:rsidRPr="00936729">
      <w:rPr>
        <w:rFonts w:asciiTheme="minorHAnsi" w:hAnsiTheme="minorHAnsi"/>
        <w:noProof/>
        <w:sz w:val="24"/>
      </w:rPr>
      <w:drawing>
        <wp:inline distT="0" distB="0" distL="0" distR="0" wp14:anchorId="36722051" wp14:editId="534EA49B">
          <wp:extent cx="3291840" cy="548640"/>
          <wp:effectExtent l="0" t="0" r="3810" b="3810"/>
          <wp:docPr id="1" name="Picture 1" descr="MN Department of Administration Office of Grants Manage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henry\Desktop\Kirsten's Documents\logos\DOA OGM Logo Templa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4E0F"/>
    <w:multiLevelType w:val="hybridMultilevel"/>
    <w:tmpl w:val="9D42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1676"/>
    <w:multiLevelType w:val="hybridMultilevel"/>
    <w:tmpl w:val="33E6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15F1"/>
    <w:multiLevelType w:val="hybridMultilevel"/>
    <w:tmpl w:val="6952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103684">
    <w:abstractNumId w:val="0"/>
  </w:num>
  <w:num w:numId="2" w16cid:durableId="1597400502">
    <w:abstractNumId w:val="1"/>
  </w:num>
  <w:num w:numId="3" w16cid:durableId="138066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6A"/>
    <w:rsid w:val="000C4CE9"/>
    <w:rsid w:val="00245430"/>
    <w:rsid w:val="00262EC3"/>
    <w:rsid w:val="0037787C"/>
    <w:rsid w:val="00556811"/>
    <w:rsid w:val="006C586A"/>
    <w:rsid w:val="006F23B5"/>
    <w:rsid w:val="00727369"/>
    <w:rsid w:val="00727F2D"/>
    <w:rsid w:val="007A4A7D"/>
    <w:rsid w:val="008A41D3"/>
    <w:rsid w:val="009912FA"/>
    <w:rsid w:val="00B91C0B"/>
    <w:rsid w:val="00BB44CE"/>
    <w:rsid w:val="00E972F0"/>
    <w:rsid w:val="00FA398B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9FFDAC"/>
  <w15:chartTrackingRefBased/>
  <w15:docId w15:val="{43B157CC-1B44-4359-9FD4-65D9012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586A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6C586A"/>
    <w:pPr>
      <w:ind w:left="100" w:right="1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6C586A"/>
    <w:pPr>
      <w:ind w:left="398" w:hanging="2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8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C586A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C586A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58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C586A"/>
  </w:style>
  <w:style w:type="character" w:customStyle="1" w:styleId="BodyTextChar">
    <w:name w:val="Body Text Char"/>
    <w:basedOn w:val="DefaultParagraphFont"/>
    <w:link w:val="BodyText"/>
    <w:uiPriority w:val="1"/>
    <w:rsid w:val="006C586A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6C586A"/>
    <w:pPr>
      <w:ind w:left="820" w:hanging="360"/>
    </w:pPr>
  </w:style>
  <w:style w:type="character" w:styleId="Hyperlink">
    <w:name w:val="Hyperlink"/>
    <w:basedOn w:val="DefaultParagraphFont"/>
    <w:uiPriority w:val="99"/>
    <w:unhideWhenUsed/>
    <w:rsid w:val="006C58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8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5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86A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273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n.gov/admin/government/grants/training/" TargetMode="External"/><Relationship Id="rId18" Type="http://schemas.openxmlformats.org/officeDocument/2006/relationships/hyperlink" Target="https://www.revisor.mn.gov/statutes/cite/16B.981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n.gov/admin/assets/grants_policy_08-10_tcm36-207117.pdf" TargetMode="External"/><Relationship Id="rId17" Type="http://schemas.openxmlformats.org/officeDocument/2006/relationships/hyperlink" Target="https://www.revisor.mn.gov/statutes/cite/16B.9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visor.mn.gov/statutes/?id=16B.9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admin/assets/08-08%20Policy%20on%20Grant%20Payments%20FY21%20_tcm36-438962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visor.mn.gov/statutes/cite/16b.97" TargetMode="External"/><Relationship Id="rId10" Type="http://schemas.openxmlformats.org/officeDocument/2006/relationships/hyperlink" Target="https://mn.gov/admin/assets/grants_policy_08-10_tcm36-207117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n.gov/admin/government/grants/policies-statutes-form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3F5EB1DE5A049BE5BC3F12EE33367" ma:contentTypeVersion="6" ma:contentTypeDescription="Create a new document." ma:contentTypeScope="" ma:versionID="4469e7e5547c16022bc6bdd9e8c19caf">
  <xsd:schema xmlns:xsd="http://www.w3.org/2001/XMLSchema" xmlns:xs="http://www.w3.org/2001/XMLSchema" xmlns:p="http://schemas.microsoft.com/office/2006/metadata/properties" xmlns:ns2="a19d4af5-8eba-45d1-a528-530be9829484" xmlns:ns3="79f6f53a-7778-40bd-a56a-35fc03ca2efa" targetNamespace="http://schemas.microsoft.com/office/2006/metadata/properties" ma:root="true" ma:fieldsID="437ea842be7d4f4be43233e8897207f8" ns2:_="" ns3:_="">
    <xsd:import namespace="a19d4af5-8eba-45d1-a528-530be9829484"/>
    <xsd:import namespace="79f6f53a-7778-40bd-a56a-35fc03ca2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4af5-8eba-45d1-a528-530be982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f53a-7778-40bd-a56a-35fc03ca2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E477C-FBC8-46C3-A889-6939133D3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4af5-8eba-45d1-a528-530be9829484"/>
    <ds:schemaRef ds:uri="79f6f53a-7778-40bd-a56a-35fc03ca2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60D6D-08F9-484D-9735-D4A188EC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5AA0E-1263-4030-B9F1-5EE196B685E3}">
  <ds:schemaRefs>
    <ds:schemaRef ds:uri="a19d4af5-8eba-45d1-a528-530be982948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9f6f53a-7778-40bd-a56a-35fc03ca2efa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OGM</dc:creator>
  <cp:keywords/>
  <dc:description/>
  <cp:lastModifiedBy>Munzner, Naomi (She/Her/Hers) (ADM)</cp:lastModifiedBy>
  <cp:revision>15</cp:revision>
  <dcterms:created xsi:type="dcterms:W3CDTF">2024-02-06T00:14:00Z</dcterms:created>
  <dcterms:modified xsi:type="dcterms:W3CDTF">2024-02-06T00:26:00Z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0x0101007AD3F5EB1DE5A049BE5BC3F12EE33367</vt:lpwstr>
  </property>
</Properties>
</file>