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04D6" w14:textId="62372D3E" w:rsidR="006448E7" w:rsidRPr="006448E7" w:rsidRDefault="006448E7" w:rsidP="006448E7">
      <w:pPr>
        <w:pStyle w:val="Heading2"/>
        <w:rPr>
          <w:sz w:val="28"/>
          <w:szCs w:val="28"/>
        </w:rPr>
      </w:pPr>
      <w:r w:rsidRPr="006448E7">
        <w:rPr>
          <w:sz w:val="28"/>
          <w:szCs w:val="28"/>
        </w:rPr>
        <w:t>New language for body camera data access 2025</w:t>
      </w:r>
    </w:p>
    <w:p w14:paraId="0A5CC9D7" w14:textId="3F0F3A80" w:rsidR="006448E7" w:rsidRPr="006448E7" w:rsidRDefault="006448E7" w:rsidP="006448E7">
      <w:pPr>
        <w:rPr>
          <w:sz w:val="22"/>
          <w:szCs w:val="22"/>
        </w:rPr>
      </w:pPr>
      <w:r w:rsidRPr="006448E7">
        <w:rPr>
          <w:sz w:val="22"/>
          <w:szCs w:val="22"/>
        </w:rPr>
        <w:t xml:space="preserve">13.825 </w:t>
      </w:r>
      <w:r w:rsidRPr="006448E7">
        <w:rPr>
          <w:sz w:val="22"/>
          <w:szCs w:val="22"/>
        </w:rPr>
        <w:t>Subd. 4.</w:t>
      </w:r>
      <w:r w:rsidRPr="006448E7">
        <w:rPr>
          <w:sz w:val="22"/>
          <w:szCs w:val="22"/>
        </w:rPr>
        <w:t xml:space="preserve"> </w:t>
      </w:r>
      <w:r w:rsidRPr="006448E7">
        <w:rPr>
          <w:b/>
          <w:bCs/>
          <w:sz w:val="22"/>
          <w:szCs w:val="22"/>
        </w:rPr>
        <w:t>Access by data subjects.</w:t>
      </w:r>
    </w:p>
    <w:p w14:paraId="41168479" w14:textId="6F7640AF" w:rsidR="006448E7" w:rsidRPr="006448E7" w:rsidRDefault="006448E7" w:rsidP="006448E7">
      <w:pPr>
        <w:rPr>
          <w:sz w:val="22"/>
          <w:szCs w:val="22"/>
        </w:rPr>
      </w:pPr>
      <w:r w:rsidRPr="006448E7">
        <w:rPr>
          <w:sz w:val="22"/>
          <w:szCs w:val="22"/>
        </w:rPr>
        <w:t> (a) For purposes of this chapter, a portable recording system data subject includes the peace officer who collected the data, and any other individual or entity, including any other peace officer, regardless of whether the officer is or can be identified by the recording, whose image or voice is documented in the data.</w:t>
      </w:r>
    </w:p>
    <w:p w14:paraId="17E4E037" w14:textId="77777777" w:rsidR="006448E7" w:rsidRPr="006448E7" w:rsidRDefault="006448E7" w:rsidP="006448E7">
      <w:pPr>
        <w:rPr>
          <w:sz w:val="22"/>
          <w:szCs w:val="22"/>
        </w:rPr>
      </w:pPr>
      <w:r w:rsidRPr="006448E7">
        <w:rPr>
          <w:sz w:val="22"/>
          <w:szCs w:val="22"/>
        </w:rPr>
        <w:t>(b) An individual who is the subject of portable recording system data has access to the data, including data on other individuals who are the subject of the recording. If the individual requests a copy of the recording, data on other individuals who do not consent to its release must be redacted from the copy. The identity and activities of an on-duty peace officer engaged in an investigation or response to an emergency, incident, or request for service may not be redacted, unless the officer's identity is subject to protection under section </w:t>
      </w:r>
      <w:hyperlink r:id="rId4" w:anchor="stat.13.82.17" w:history="1">
        <w:r w:rsidRPr="006448E7">
          <w:rPr>
            <w:rStyle w:val="Hyperlink"/>
            <w:sz w:val="22"/>
            <w:szCs w:val="22"/>
          </w:rPr>
          <w:t>13.82, subdivision 17</w:t>
        </w:r>
      </w:hyperlink>
      <w:r w:rsidRPr="006448E7">
        <w:rPr>
          <w:sz w:val="22"/>
          <w:szCs w:val="22"/>
        </w:rPr>
        <w:t>, clause (a).</w:t>
      </w:r>
    </w:p>
    <w:p w14:paraId="427A51AE" w14:textId="77777777" w:rsidR="006448E7" w:rsidRPr="006448E7" w:rsidRDefault="006448E7" w:rsidP="006448E7">
      <w:pPr>
        <w:rPr>
          <w:sz w:val="22"/>
          <w:szCs w:val="22"/>
        </w:rPr>
      </w:pPr>
      <w:r w:rsidRPr="006448E7">
        <w:rPr>
          <w:sz w:val="22"/>
          <w:szCs w:val="22"/>
          <w:u w:val="single"/>
        </w:rPr>
        <w:t>(c) Notwithstanding section 13.82, subdivision 7, upon request, a person entitled to a report of a collision under section 169.09, subdivision 13, must be provided with copies of unredacted data from all portable recording systems used in the collision investigation, including data on other individuals who are the subject of the recording. A request must be made in writing and accompanied by the accident report relating to the data. Data provided under this paragraph must only be used to process a claim related to the collision or as evidence in a proceeding related to the collision. The requestor must not disseminate the data or use the data for any other purpose. A requestor who disseminates or uses the data in violation of this paragraph is subject to the remedies and penalties under section 13.08. A law enforcement agency must notify the requestor that the remedies and penalties under section 13.08 apply to a violation of this paragraph. A law enforcement agency may deny a request to provide unredacted portable recording system data under this paragraph if:</w:t>
      </w:r>
    </w:p>
    <w:p w14:paraId="699C66C9" w14:textId="77777777" w:rsidR="006448E7" w:rsidRPr="006448E7" w:rsidRDefault="006448E7" w:rsidP="006448E7">
      <w:pPr>
        <w:rPr>
          <w:sz w:val="22"/>
          <w:szCs w:val="22"/>
        </w:rPr>
      </w:pPr>
      <w:r w:rsidRPr="006448E7">
        <w:rPr>
          <w:sz w:val="22"/>
          <w:szCs w:val="22"/>
          <w:u w:val="single"/>
        </w:rPr>
        <w:t xml:space="preserve">(1) the agency determines there is a compelling reason that providing access to the data would interfere with an active </w:t>
      </w:r>
      <w:proofErr w:type="gramStart"/>
      <w:r w:rsidRPr="006448E7">
        <w:rPr>
          <w:sz w:val="22"/>
          <w:szCs w:val="22"/>
          <w:u w:val="single"/>
        </w:rPr>
        <w:t>investigation;</w:t>
      </w:r>
      <w:proofErr w:type="gramEnd"/>
    </w:p>
    <w:p w14:paraId="30202069" w14:textId="77777777" w:rsidR="006448E7" w:rsidRPr="006448E7" w:rsidRDefault="006448E7" w:rsidP="006448E7">
      <w:pPr>
        <w:rPr>
          <w:sz w:val="22"/>
          <w:szCs w:val="22"/>
        </w:rPr>
      </w:pPr>
      <w:r w:rsidRPr="006448E7">
        <w:rPr>
          <w:sz w:val="22"/>
          <w:szCs w:val="22"/>
          <w:u w:val="single"/>
        </w:rPr>
        <w:t>(2) the data is clearly offensive to common sensibilities; or</w:t>
      </w:r>
    </w:p>
    <w:p w14:paraId="5B882B7E" w14:textId="77777777" w:rsidR="006448E7" w:rsidRPr="006448E7" w:rsidRDefault="006448E7" w:rsidP="006448E7">
      <w:pPr>
        <w:rPr>
          <w:sz w:val="22"/>
          <w:szCs w:val="22"/>
        </w:rPr>
      </w:pPr>
      <w:r w:rsidRPr="006448E7">
        <w:rPr>
          <w:sz w:val="22"/>
          <w:szCs w:val="22"/>
          <w:u w:val="single"/>
        </w:rPr>
        <w:t>(3) the data is classified as not public by other provisions under this chapter.</w:t>
      </w:r>
    </w:p>
    <w:p w14:paraId="7736D5C1" w14:textId="086EBF90" w:rsidR="00532261" w:rsidRPr="006448E7" w:rsidRDefault="006448E7">
      <w:pPr>
        <w:rPr>
          <w:sz w:val="22"/>
          <w:szCs w:val="22"/>
        </w:rPr>
      </w:pPr>
      <w:r w:rsidRPr="006448E7">
        <w:rPr>
          <w:sz w:val="22"/>
          <w:szCs w:val="22"/>
          <w:u w:val="single"/>
        </w:rPr>
        <w:t>If a law enforcement agency denies access under clause (1), the agency must provide a prompt, written reason for the denial to the individual who requested the data with a description of the compelling reason and must provide notice that relief may be sought from the district court under section 13.82, subdivision 7. This paragraph does not apply to the Minnesota State Patrol.</w:t>
      </w:r>
    </w:p>
    <w:sectPr w:rsidR="00532261" w:rsidRPr="00644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E7"/>
    <w:rsid w:val="001C4979"/>
    <w:rsid w:val="00290C30"/>
    <w:rsid w:val="003D5507"/>
    <w:rsid w:val="00502881"/>
    <w:rsid w:val="00532261"/>
    <w:rsid w:val="006448E7"/>
    <w:rsid w:val="00646BCA"/>
    <w:rsid w:val="008C63BF"/>
    <w:rsid w:val="00A4723A"/>
    <w:rsid w:val="00D054D4"/>
    <w:rsid w:val="00EF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A23D"/>
  <w15:chartTrackingRefBased/>
  <w15:docId w15:val="{2AC119FA-854F-426F-8CEE-481EB116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4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4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8E7"/>
    <w:rPr>
      <w:rFonts w:eastAsiaTheme="majorEastAsia" w:cstheme="majorBidi"/>
      <w:color w:val="272727" w:themeColor="text1" w:themeTint="D8"/>
    </w:rPr>
  </w:style>
  <w:style w:type="paragraph" w:styleId="Title">
    <w:name w:val="Title"/>
    <w:basedOn w:val="Normal"/>
    <w:next w:val="Normal"/>
    <w:link w:val="TitleChar"/>
    <w:uiPriority w:val="10"/>
    <w:qFormat/>
    <w:rsid w:val="00644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8E7"/>
    <w:pPr>
      <w:spacing w:before="160"/>
      <w:jc w:val="center"/>
    </w:pPr>
    <w:rPr>
      <w:i/>
      <w:iCs/>
      <w:color w:val="404040" w:themeColor="text1" w:themeTint="BF"/>
    </w:rPr>
  </w:style>
  <w:style w:type="character" w:customStyle="1" w:styleId="QuoteChar">
    <w:name w:val="Quote Char"/>
    <w:basedOn w:val="DefaultParagraphFont"/>
    <w:link w:val="Quote"/>
    <w:uiPriority w:val="29"/>
    <w:rsid w:val="006448E7"/>
    <w:rPr>
      <w:i/>
      <w:iCs/>
      <w:color w:val="404040" w:themeColor="text1" w:themeTint="BF"/>
    </w:rPr>
  </w:style>
  <w:style w:type="paragraph" w:styleId="ListParagraph">
    <w:name w:val="List Paragraph"/>
    <w:basedOn w:val="Normal"/>
    <w:uiPriority w:val="34"/>
    <w:qFormat/>
    <w:rsid w:val="006448E7"/>
    <w:pPr>
      <w:ind w:left="720"/>
      <w:contextualSpacing/>
    </w:pPr>
  </w:style>
  <w:style w:type="character" w:styleId="IntenseEmphasis">
    <w:name w:val="Intense Emphasis"/>
    <w:basedOn w:val="DefaultParagraphFont"/>
    <w:uiPriority w:val="21"/>
    <w:qFormat/>
    <w:rsid w:val="006448E7"/>
    <w:rPr>
      <w:i/>
      <w:iCs/>
      <w:color w:val="0F4761" w:themeColor="accent1" w:themeShade="BF"/>
    </w:rPr>
  </w:style>
  <w:style w:type="paragraph" w:styleId="IntenseQuote">
    <w:name w:val="Intense Quote"/>
    <w:basedOn w:val="Normal"/>
    <w:next w:val="Normal"/>
    <w:link w:val="IntenseQuoteChar"/>
    <w:uiPriority w:val="30"/>
    <w:qFormat/>
    <w:rsid w:val="00644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8E7"/>
    <w:rPr>
      <w:i/>
      <w:iCs/>
      <w:color w:val="0F4761" w:themeColor="accent1" w:themeShade="BF"/>
    </w:rPr>
  </w:style>
  <w:style w:type="character" w:styleId="IntenseReference">
    <w:name w:val="Intense Reference"/>
    <w:basedOn w:val="DefaultParagraphFont"/>
    <w:uiPriority w:val="32"/>
    <w:qFormat/>
    <w:rsid w:val="006448E7"/>
    <w:rPr>
      <w:b/>
      <w:bCs/>
      <w:smallCaps/>
      <w:color w:val="0F4761" w:themeColor="accent1" w:themeShade="BF"/>
      <w:spacing w:val="5"/>
    </w:rPr>
  </w:style>
  <w:style w:type="character" w:styleId="Hyperlink">
    <w:name w:val="Hyperlink"/>
    <w:basedOn w:val="DefaultParagraphFont"/>
    <w:uiPriority w:val="99"/>
    <w:unhideWhenUsed/>
    <w:rsid w:val="006448E7"/>
    <w:rPr>
      <w:color w:val="467886" w:themeColor="hyperlink"/>
      <w:u w:val="single"/>
    </w:rPr>
  </w:style>
  <w:style w:type="character" w:styleId="UnresolvedMention">
    <w:name w:val="Unresolved Mention"/>
    <w:basedOn w:val="DefaultParagraphFont"/>
    <w:uiPriority w:val="99"/>
    <w:semiHidden/>
    <w:unhideWhenUsed/>
    <w:rsid w:val="0064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06639">
      <w:bodyDiv w:val="1"/>
      <w:marLeft w:val="0"/>
      <w:marRight w:val="0"/>
      <w:marTop w:val="0"/>
      <w:marBottom w:val="0"/>
      <w:divBdr>
        <w:top w:val="none" w:sz="0" w:space="0" w:color="auto"/>
        <w:left w:val="none" w:sz="0" w:space="0" w:color="auto"/>
        <w:bottom w:val="none" w:sz="0" w:space="0" w:color="auto"/>
        <w:right w:val="none" w:sz="0" w:space="0" w:color="auto"/>
      </w:divBdr>
      <w:divsChild>
        <w:div w:id="88817073">
          <w:marLeft w:val="0"/>
          <w:marRight w:val="0"/>
          <w:marTop w:val="240"/>
          <w:marBottom w:val="240"/>
          <w:divBdr>
            <w:top w:val="none" w:sz="0" w:space="0" w:color="auto"/>
            <w:left w:val="none" w:sz="0" w:space="0" w:color="auto"/>
            <w:bottom w:val="none" w:sz="0" w:space="0" w:color="auto"/>
            <w:right w:val="none" w:sz="0" w:space="0" w:color="auto"/>
          </w:divBdr>
          <w:divsChild>
            <w:div w:id="645820904">
              <w:marLeft w:val="0"/>
              <w:marRight w:val="0"/>
              <w:marTop w:val="240"/>
              <w:marBottom w:val="240"/>
              <w:divBdr>
                <w:top w:val="none" w:sz="0" w:space="0" w:color="auto"/>
                <w:left w:val="none" w:sz="0" w:space="0" w:color="auto"/>
                <w:bottom w:val="none" w:sz="0" w:space="0" w:color="auto"/>
                <w:right w:val="none" w:sz="0" w:space="0" w:color="auto"/>
              </w:divBdr>
            </w:div>
          </w:divsChild>
        </w:div>
        <w:div w:id="1463303034">
          <w:marLeft w:val="0"/>
          <w:marRight w:val="0"/>
          <w:marTop w:val="240"/>
          <w:marBottom w:val="240"/>
          <w:divBdr>
            <w:top w:val="none" w:sz="0" w:space="0" w:color="auto"/>
            <w:left w:val="none" w:sz="0" w:space="0" w:color="auto"/>
            <w:bottom w:val="none" w:sz="0" w:space="0" w:color="auto"/>
            <w:right w:val="none" w:sz="0" w:space="0" w:color="auto"/>
          </w:divBdr>
        </w:div>
      </w:divsChild>
    </w:div>
    <w:div w:id="1188254662">
      <w:bodyDiv w:val="1"/>
      <w:marLeft w:val="0"/>
      <w:marRight w:val="0"/>
      <w:marTop w:val="0"/>
      <w:marBottom w:val="0"/>
      <w:divBdr>
        <w:top w:val="none" w:sz="0" w:space="0" w:color="auto"/>
        <w:left w:val="none" w:sz="0" w:space="0" w:color="auto"/>
        <w:bottom w:val="none" w:sz="0" w:space="0" w:color="auto"/>
        <w:right w:val="none" w:sz="0" w:space="0" w:color="auto"/>
      </w:divBdr>
      <w:divsChild>
        <w:div w:id="621765348">
          <w:marLeft w:val="0"/>
          <w:marRight w:val="0"/>
          <w:marTop w:val="240"/>
          <w:marBottom w:val="240"/>
          <w:divBdr>
            <w:top w:val="none" w:sz="0" w:space="0" w:color="auto"/>
            <w:left w:val="none" w:sz="0" w:space="0" w:color="auto"/>
            <w:bottom w:val="none" w:sz="0" w:space="0" w:color="auto"/>
            <w:right w:val="none" w:sz="0" w:space="0" w:color="auto"/>
          </w:divBdr>
          <w:divsChild>
            <w:div w:id="278226712">
              <w:marLeft w:val="0"/>
              <w:marRight w:val="0"/>
              <w:marTop w:val="240"/>
              <w:marBottom w:val="240"/>
              <w:divBdr>
                <w:top w:val="none" w:sz="0" w:space="0" w:color="auto"/>
                <w:left w:val="none" w:sz="0" w:space="0" w:color="auto"/>
                <w:bottom w:val="none" w:sz="0" w:space="0" w:color="auto"/>
                <w:right w:val="none" w:sz="0" w:space="0" w:color="auto"/>
              </w:divBdr>
            </w:div>
          </w:divsChild>
        </w:div>
        <w:div w:id="150111544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visor.mn.gov/statutes/cite/1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2391</Characters>
  <Application>Microsoft Office Word</Application>
  <DocSecurity>0</DocSecurity>
  <Lines>19</Lines>
  <Paragraphs>5</Paragraphs>
  <ScaleCrop>false</ScaleCrop>
  <Company>State of MN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Moxley-Goldsmith, Taya (ADM)</dc:creator>
  <cp:keywords/>
  <dc:description/>
  <cp:lastModifiedBy>Moxley-Goldsmith, Taya (ADM)</cp:lastModifiedBy>
  <cp:revision>1</cp:revision>
  <dcterms:created xsi:type="dcterms:W3CDTF">2025-08-18T14:16:00Z</dcterms:created>
  <dcterms:modified xsi:type="dcterms:W3CDTF">2025-08-18T14:17:00Z</dcterms:modified>
</cp:coreProperties>
</file>