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FFE" w:rsidRDefault="001B2FFE" w:rsidP="001B2FFE">
      <w:pPr>
        <w:pStyle w:val="Default"/>
        <w:jc w:val="center"/>
        <w:rPr>
          <w:b/>
          <w:bCs/>
          <w:color w:val="auto"/>
          <w:sz w:val="44"/>
          <w:szCs w:val="44"/>
        </w:rPr>
      </w:pPr>
      <w:bookmarkStart w:id="0" w:name="_GoBack"/>
      <w:r>
        <w:rPr>
          <w:b/>
          <w:bCs/>
          <w:noProof/>
          <w:color w:val="auto"/>
          <w:sz w:val="44"/>
          <w:szCs w:val="44"/>
        </w:rPr>
        <w:drawing>
          <wp:inline distT="0" distB="0" distL="0" distR="0">
            <wp:extent cx="3792041" cy="71939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e Subsidiary Logo Template (CMYK).png"/>
                    <pic:cNvPicPr/>
                  </pic:nvPicPr>
                  <pic:blipFill>
                    <a:blip r:embed="rId5">
                      <a:extLst>
                        <a:ext uri="{28A0092B-C50C-407E-A947-70E740481C1C}">
                          <a14:useLocalDpi xmlns:a14="http://schemas.microsoft.com/office/drawing/2010/main" val="0"/>
                        </a:ext>
                      </a:extLst>
                    </a:blip>
                    <a:stretch>
                      <a:fillRect/>
                    </a:stretch>
                  </pic:blipFill>
                  <pic:spPr>
                    <a:xfrm>
                      <a:off x="0" y="0"/>
                      <a:ext cx="3792041" cy="719390"/>
                    </a:xfrm>
                    <a:prstGeom prst="rect">
                      <a:avLst/>
                    </a:prstGeom>
                  </pic:spPr>
                </pic:pic>
              </a:graphicData>
            </a:graphic>
          </wp:inline>
        </w:drawing>
      </w:r>
    </w:p>
    <w:bookmarkEnd w:id="0"/>
    <w:p w:rsidR="001B2FFE" w:rsidRDefault="001B2FFE" w:rsidP="001B2FFE">
      <w:pPr>
        <w:pStyle w:val="Default"/>
        <w:rPr>
          <w:b/>
          <w:bCs/>
          <w:color w:val="auto"/>
          <w:sz w:val="44"/>
          <w:szCs w:val="44"/>
        </w:rPr>
      </w:pPr>
    </w:p>
    <w:p w:rsidR="00FF7C10" w:rsidRPr="00FF7C10" w:rsidRDefault="00FF7C10" w:rsidP="00FF7C10">
      <w:pPr>
        <w:pStyle w:val="Heading1"/>
        <w:spacing w:before="0" w:beforeAutospacing="0"/>
        <w:rPr>
          <w:rFonts w:asciiTheme="minorHAnsi" w:hAnsiTheme="minorHAnsi"/>
          <w:color w:val="auto"/>
          <w:sz w:val="40"/>
          <w:szCs w:val="40"/>
        </w:rPr>
      </w:pPr>
      <w:r w:rsidRPr="00FF7C10">
        <w:rPr>
          <w:rFonts w:asciiTheme="minorHAnsi" w:hAnsiTheme="minorHAnsi"/>
          <w:color w:val="auto"/>
          <w:sz w:val="40"/>
          <w:szCs w:val="40"/>
        </w:rPr>
        <w:t>Optimized Operation of Indoor Public Pool Facilities</w:t>
      </w:r>
    </w:p>
    <w:p w:rsidR="00FF7C10" w:rsidRPr="00620ADF" w:rsidRDefault="00FF7C10" w:rsidP="00FF7C10">
      <w:pPr>
        <w:spacing w:line="240" w:lineRule="auto"/>
      </w:pPr>
      <w:r w:rsidRPr="00620ADF">
        <w:t>Minnesota’s estimated 2,200 indoor public pools are high-energy users with substantial optimization opportunities. However, Conservation Improvement Program (CIP) initiatives in the state have generally underserved this segment of the commercial building market. An estimated 580 large public pools are located in schools and fitness centers that may be served by recommissioning programs, but the recommissioning of these facilities is very expensive and seldom adequately addresses the indoor pool area, due to the specialized nature of the facilities and inconsistencies of their tie-ins with central building automation systems. Additionally, thorough recommissioning is rarely undertaken for hospitality and multifamily buildings that house an estimated 1,400 smaller indoor public pools.</w:t>
      </w:r>
    </w:p>
    <w:p w:rsidR="00FF7C10" w:rsidRPr="00620ADF" w:rsidRDefault="00FF7C10" w:rsidP="00FF7C10">
      <w:pPr>
        <w:spacing w:line="240" w:lineRule="auto"/>
      </w:pPr>
      <w:r w:rsidRPr="00620ADF">
        <w:t xml:space="preserve">In response to the challenges, the </w:t>
      </w:r>
      <w:hyperlink r:id="rId6" w:history="1">
        <w:r w:rsidRPr="00620ADF">
          <w:rPr>
            <w:rStyle w:val="Hyperlink"/>
          </w:rPr>
          <w:t>Center for Energy and Environment (CEE)</w:t>
        </w:r>
      </w:hyperlink>
      <w:r w:rsidRPr="00620ADF">
        <w:t xml:space="preserve"> undertook this CARD project to jump-start efforts to address the need for cost-effective operational improvements in existing indoor public pool facilities. The primary objectives were to provide a better understanding of the </w:t>
      </w:r>
      <w:r>
        <w:t>energy-</w:t>
      </w:r>
      <w:r w:rsidRPr="00620ADF">
        <w:t>savings potential</w:t>
      </w:r>
      <w:r>
        <w:t xml:space="preserve"> associated with improved operations</w:t>
      </w:r>
      <w:r w:rsidRPr="00620ADF">
        <w:t xml:space="preserve"> and to develop technical guides for utility program providers and operators.</w:t>
      </w:r>
    </w:p>
    <w:p w:rsidR="00FF7C10" w:rsidRPr="00620ADF" w:rsidRDefault="00FF7C10" w:rsidP="00FF7C10">
      <w:pPr>
        <w:spacing w:line="240" w:lineRule="auto"/>
      </w:pPr>
      <w:r w:rsidRPr="00620ADF">
        <w:t>CEE completed on-site surveys of 30 buildings with a total of 36 pools and 13 spas, including detailed follow-ups with six of these buildings. The survey and follow-up sites were chosen to represent common variations in pools, buildings, and equipment types, as well as opportunities for energy efficient operations improvements. These follow-up efforts included recommissioning-level investigations, implementation of specific operational improvements, and long-term field monitoring to validate savings estimates.</w:t>
      </w:r>
    </w:p>
    <w:p w:rsidR="00FF7C10" w:rsidRPr="00620ADF" w:rsidRDefault="00FF7C10" w:rsidP="00FF7C10">
      <w:pPr>
        <w:pStyle w:val="Heading2"/>
        <w:spacing w:before="0"/>
        <w:rPr>
          <w:rFonts w:asciiTheme="minorHAnsi" w:hAnsiTheme="minorHAnsi"/>
          <w:color w:val="auto"/>
        </w:rPr>
      </w:pPr>
      <w:r w:rsidRPr="00620ADF">
        <w:rPr>
          <w:rFonts w:asciiTheme="minorHAnsi" w:hAnsiTheme="minorHAnsi"/>
          <w:color w:val="auto"/>
        </w:rPr>
        <w:t>Existing facilities and conditions</w:t>
      </w:r>
    </w:p>
    <w:p w:rsidR="00FF7C10" w:rsidRPr="00620ADF" w:rsidRDefault="00FF7C10" w:rsidP="00FF7C10">
      <w:pPr>
        <w:spacing w:line="240" w:lineRule="auto"/>
      </w:pPr>
      <w:r w:rsidRPr="00620ADF">
        <w:t xml:space="preserve">Figure 1 shows CEE’s estimates of the statewide count of indoor public pools, organized by facility and </w:t>
      </w:r>
      <w:r>
        <w:t>pool category. The 2,000 square-</w:t>
      </w:r>
      <w:r w:rsidRPr="00620ADF">
        <w:t>foot breakpoint used to define small and large pools is based on input from pool industry professionals, accounting for differences in the distribution between buildings and the types of mechanical equipment used. Most of the small pools were actually less than 1,000 square feet, making the average large pool about six times larger than the average small pool.</w:t>
      </w:r>
    </w:p>
    <w:p w:rsidR="00FF7C10" w:rsidRPr="00620ADF" w:rsidRDefault="00FF7C10" w:rsidP="00FF7C10">
      <w:pPr>
        <w:spacing w:line="240" w:lineRule="auto"/>
      </w:pPr>
    </w:p>
    <w:p w:rsidR="00FF7C10" w:rsidRPr="006D78F2" w:rsidRDefault="00FF7C10" w:rsidP="00FF7C10">
      <w:pPr>
        <w:pStyle w:val="Caption"/>
        <w:keepNext/>
        <w:rPr>
          <w:i/>
          <w:color w:val="auto"/>
          <w:sz w:val="22"/>
          <w:szCs w:val="22"/>
        </w:rPr>
      </w:pPr>
      <w:r w:rsidRPr="006D78F2">
        <w:rPr>
          <w:i/>
          <w:color w:val="auto"/>
          <w:sz w:val="22"/>
          <w:szCs w:val="22"/>
        </w:rPr>
        <w:lastRenderedPageBreak/>
        <w:t xml:space="preserve">Figure </w:t>
      </w:r>
      <w:r w:rsidRPr="006D78F2">
        <w:rPr>
          <w:i/>
          <w:color w:val="auto"/>
          <w:sz w:val="22"/>
          <w:szCs w:val="22"/>
        </w:rPr>
        <w:fldChar w:fldCharType="begin"/>
      </w:r>
      <w:r w:rsidRPr="006D78F2">
        <w:rPr>
          <w:i/>
          <w:color w:val="auto"/>
          <w:sz w:val="22"/>
          <w:szCs w:val="22"/>
        </w:rPr>
        <w:instrText xml:space="preserve"> SEQ Figure \* ARABIC </w:instrText>
      </w:r>
      <w:r w:rsidRPr="006D78F2">
        <w:rPr>
          <w:i/>
          <w:color w:val="auto"/>
          <w:sz w:val="22"/>
          <w:szCs w:val="22"/>
        </w:rPr>
        <w:fldChar w:fldCharType="separate"/>
      </w:r>
      <w:r>
        <w:rPr>
          <w:i/>
          <w:noProof/>
          <w:color w:val="auto"/>
          <w:sz w:val="22"/>
          <w:szCs w:val="22"/>
        </w:rPr>
        <w:t>1</w:t>
      </w:r>
      <w:r w:rsidRPr="006D78F2">
        <w:rPr>
          <w:i/>
          <w:noProof/>
          <w:color w:val="auto"/>
          <w:sz w:val="22"/>
          <w:szCs w:val="22"/>
        </w:rPr>
        <w:fldChar w:fldCharType="end"/>
      </w:r>
      <w:r w:rsidRPr="006D78F2">
        <w:rPr>
          <w:i/>
          <w:color w:val="auto"/>
          <w:sz w:val="22"/>
          <w:szCs w:val="22"/>
        </w:rPr>
        <w:t xml:space="preserve">. </w:t>
      </w:r>
      <w:r>
        <w:rPr>
          <w:rFonts w:cs="Times New Roman"/>
          <w:i/>
          <w:color w:val="auto"/>
          <w:sz w:val="22"/>
          <w:szCs w:val="22"/>
        </w:rPr>
        <w:t>Statewide estimates of indoor public pool counts by building and pool t</w:t>
      </w:r>
      <w:r w:rsidRPr="006D78F2">
        <w:rPr>
          <w:rFonts w:cs="Times New Roman"/>
          <w:i/>
          <w:color w:val="auto"/>
          <w:sz w:val="22"/>
          <w:szCs w:val="22"/>
        </w:rPr>
        <w:t>ype *</w:t>
      </w:r>
    </w:p>
    <w:p w:rsidR="00FF7C10" w:rsidRPr="00620ADF" w:rsidRDefault="00FF7C10" w:rsidP="00FF7C10">
      <w:pPr>
        <w:spacing w:line="240" w:lineRule="auto"/>
      </w:pPr>
      <w:r w:rsidRPr="00620ADF">
        <w:rPr>
          <w:rFonts w:cs="Times New Roman"/>
          <w:noProof/>
        </w:rPr>
        <w:drawing>
          <wp:inline distT="0" distB="0" distL="0" distR="0" wp14:anchorId="16533222" wp14:editId="10B6FC33">
            <wp:extent cx="4981575" cy="3143250"/>
            <wp:effectExtent l="0" t="0" r="9525" b="0"/>
            <wp:docPr id="3" name="Picture 3" descr="Title: 3D bar chart showing Statewide Estimates of Indoor Public Pool Counts by Building and Pool Type - Description: The left hand axis lists hospitatily, multifamily, public school, fitness center, and Others. the right hand axis lists large pools, small poos, and spas. The Others category shows very short columns for all categories, espeically small pools. The fitness center category shows columns of around 150 for large pools and for spas, but only about 30 for small pools. The public schools category shows about 500 for large pools and about 100 for small pools (and is perfectly flat for spas). the mulifamily category is flat for large pools, shows the highest column on the chart for multifamily (about 900), and a mid-size bar of about 150 for spas. Finally, the hospitality category shows a very short disc for large pools, a moderate height bar for small pools (about 400) and a similar height pool for s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3D bar chart showing Statewide Estimates of Indoor Public Pool Counts by Building and Pool Type - Description: The left hand axis lists hospitatily, multifamily, public school, fitness center, and Others. the right hand axis lists large pools, small poos, and spas. The Others category shows very short columns for all categories, espeically small pools. The fitness center category shows columns of around 150 for large pools and for spas, but only about 30 for small pools. The public schools category shows about 500 for large pools and about 100 for small pools (and is perfectly flat for spas). the mulifamily category is flat for large pools, shows the highest column on the chart for multifamily (about 900), and a mid-size bar of about 150 for spas. Finally, the hospitality category shows a very short disc for large pools, a moderate height bar for small pools (about 400) and a similar height pool for spas."/>
                    <pic:cNvPicPr>
                      <a:picLocks noChangeAspect="1" noChangeArrowheads="1"/>
                    </pic:cNvPicPr>
                  </pic:nvPicPr>
                  <pic:blipFill>
                    <a:blip r:embed="rId7">
                      <a:extLst>
                        <a:ext uri="{28A0092B-C50C-407E-A947-70E740481C1C}">
                          <a14:useLocalDpi xmlns:a14="http://schemas.microsoft.com/office/drawing/2010/main" val="0"/>
                        </a:ext>
                      </a:extLst>
                    </a:blip>
                    <a:srcRect r="-14"/>
                    <a:stretch>
                      <a:fillRect/>
                    </a:stretch>
                  </pic:blipFill>
                  <pic:spPr bwMode="auto">
                    <a:xfrm>
                      <a:off x="0" y="0"/>
                      <a:ext cx="4981575" cy="3143250"/>
                    </a:xfrm>
                    <a:prstGeom prst="rect">
                      <a:avLst/>
                    </a:prstGeom>
                    <a:noFill/>
                    <a:ln>
                      <a:noFill/>
                    </a:ln>
                  </pic:spPr>
                </pic:pic>
              </a:graphicData>
            </a:graphic>
          </wp:inline>
        </w:drawing>
      </w:r>
    </w:p>
    <w:p w:rsidR="00FF7C10" w:rsidRPr="00620ADF" w:rsidRDefault="00FF7C10" w:rsidP="00FF7C10">
      <w:pPr>
        <w:spacing w:line="240" w:lineRule="auto"/>
        <w:rPr>
          <w:sz w:val="18"/>
          <w:szCs w:val="18"/>
        </w:rPr>
      </w:pPr>
      <w:r w:rsidRPr="00620ADF">
        <w:rPr>
          <w:sz w:val="18"/>
          <w:szCs w:val="18"/>
        </w:rPr>
        <w:t>*The categorization of pools between small and large is based on a 2,000 ft2 breakpoint.</w:t>
      </w:r>
    </w:p>
    <w:p w:rsidR="00FF7C10" w:rsidRPr="00620ADF" w:rsidRDefault="00FF7C10" w:rsidP="00FF7C10">
      <w:pPr>
        <w:spacing w:line="240" w:lineRule="auto"/>
      </w:pPr>
      <w:r w:rsidRPr="00620ADF">
        <w:t>CEE found a wide variety of equipment and operating conditions in Minnesota indoor public pool facilities, as well as a few noteworthy trends. Pool water</w:t>
      </w:r>
      <w:r>
        <w:t>-</w:t>
      </w:r>
      <w:r w:rsidRPr="00620ADF">
        <w:t xml:space="preserve">side systems are dominated by constant speed pumping and the use of boilers with secondary heat exchangers to heat the water. This constant speed pumping tends to provide much more than the code required water flow rate in small pools, while larger pools sometimes use inefficient valve throttling to prevent excessively high flow rates (Figure 2). Nearly half of the facilities use only fresh outdoor air to dehumidify the pool room, while the use of a dehumidifier with a compressor was more common in hospitality buildings and buildings with large pools. </w:t>
      </w:r>
    </w:p>
    <w:p w:rsidR="00FF7C10" w:rsidRPr="00466D8D" w:rsidRDefault="00FF7C10" w:rsidP="00FF7C10">
      <w:pPr>
        <w:pStyle w:val="Caption"/>
        <w:keepNext/>
        <w:rPr>
          <w:i/>
          <w:color w:val="auto"/>
          <w:sz w:val="22"/>
          <w:szCs w:val="22"/>
        </w:rPr>
      </w:pPr>
      <w:r w:rsidRPr="00466D8D">
        <w:rPr>
          <w:i/>
          <w:color w:val="auto"/>
          <w:sz w:val="22"/>
          <w:szCs w:val="22"/>
        </w:rPr>
        <w:lastRenderedPageBreak/>
        <w:t xml:space="preserve">Figure </w:t>
      </w:r>
      <w:r w:rsidRPr="00466D8D">
        <w:rPr>
          <w:i/>
          <w:color w:val="auto"/>
          <w:sz w:val="22"/>
          <w:szCs w:val="22"/>
        </w:rPr>
        <w:fldChar w:fldCharType="begin"/>
      </w:r>
      <w:r w:rsidRPr="00466D8D">
        <w:rPr>
          <w:i/>
          <w:color w:val="auto"/>
          <w:sz w:val="22"/>
          <w:szCs w:val="22"/>
        </w:rPr>
        <w:instrText xml:space="preserve"> SEQ Figure \* ARABIC </w:instrText>
      </w:r>
      <w:r w:rsidRPr="00466D8D">
        <w:rPr>
          <w:i/>
          <w:color w:val="auto"/>
          <w:sz w:val="22"/>
          <w:szCs w:val="22"/>
        </w:rPr>
        <w:fldChar w:fldCharType="separate"/>
      </w:r>
      <w:r>
        <w:rPr>
          <w:i/>
          <w:noProof/>
          <w:color w:val="auto"/>
          <w:sz w:val="22"/>
          <w:szCs w:val="22"/>
        </w:rPr>
        <w:t>2</w:t>
      </w:r>
      <w:r w:rsidRPr="00466D8D">
        <w:rPr>
          <w:i/>
          <w:noProof/>
          <w:color w:val="auto"/>
          <w:sz w:val="22"/>
          <w:szCs w:val="22"/>
        </w:rPr>
        <w:fldChar w:fldCharType="end"/>
      </w:r>
      <w:r>
        <w:rPr>
          <w:i/>
          <w:color w:val="auto"/>
          <w:sz w:val="22"/>
          <w:szCs w:val="22"/>
        </w:rPr>
        <w:t>. Throttle valves on pool pumps and sand f</w:t>
      </w:r>
      <w:r w:rsidRPr="00466D8D">
        <w:rPr>
          <w:i/>
          <w:color w:val="auto"/>
          <w:sz w:val="22"/>
          <w:szCs w:val="22"/>
        </w:rPr>
        <w:t>ilters</w:t>
      </w:r>
    </w:p>
    <w:p w:rsidR="00FF7C10" w:rsidRPr="00620ADF" w:rsidRDefault="00FF7C10" w:rsidP="00FF7C10">
      <w:pPr>
        <w:spacing w:line="240" w:lineRule="auto"/>
      </w:pPr>
      <w:r w:rsidRPr="00620ADF">
        <w:rPr>
          <w:rFonts w:cs="Times New Roman"/>
          <w:noProof/>
        </w:rPr>
        <w:drawing>
          <wp:inline distT="0" distB="0" distL="0" distR="0" wp14:anchorId="56F5ECB2" wp14:editId="33863D09">
            <wp:extent cx="3914775" cy="3457575"/>
            <wp:effectExtent l="0" t="0" r="9525" b="9525"/>
            <wp:docPr id="4" name="Picture 4" descr="Title: Throttled Valves and Filters - Description: This picture shows two valves on pump discharge lines, with each vavle handle turned to and angle that is about 35 degrees from the direction of the pipe.  Two enclosed sand filters are also show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Throttled Valves and Filters - Description: This picture shows two valves on pump discharge lines, with each vavle handle turned to and angle that is about 35 degrees from the direction of the pipe.  Two enclosed sand filters are also shown in the background."/>
                    <pic:cNvPicPr>
                      <a:picLocks noChangeAspect="1" noChangeArrowheads="1"/>
                    </pic:cNvPicPr>
                  </pic:nvPicPr>
                  <pic:blipFill>
                    <a:blip r:embed="rId8">
                      <a:extLst>
                        <a:ext uri="{28A0092B-C50C-407E-A947-70E740481C1C}">
                          <a14:useLocalDpi xmlns:a14="http://schemas.microsoft.com/office/drawing/2010/main" val="0"/>
                        </a:ext>
                      </a:extLst>
                    </a:blip>
                    <a:srcRect r="-81"/>
                    <a:stretch>
                      <a:fillRect/>
                    </a:stretch>
                  </pic:blipFill>
                  <pic:spPr bwMode="auto">
                    <a:xfrm>
                      <a:off x="0" y="0"/>
                      <a:ext cx="3914775" cy="3457575"/>
                    </a:xfrm>
                    <a:prstGeom prst="rect">
                      <a:avLst/>
                    </a:prstGeom>
                    <a:noFill/>
                    <a:ln>
                      <a:noFill/>
                    </a:ln>
                  </pic:spPr>
                </pic:pic>
              </a:graphicData>
            </a:graphic>
          </wp:inline>
        </w:drawing>
      </w:r>
    </w:p>
    <w:p w:rsidR="00FF7C10" w:rsidRPr="00620ADF" w:rsidRDefault="00FF7C10" w:rsidP="00FF7C10">
      <w:pPr>
        <w:spacing w:line="240" w:lineRule="auto"/>
      </w:pPr>
      <w:r w:rsidRPr="00620ADF">
        <w:t>Problems with the control of the pool room’s heating, fresh air ventilation, and dehumidification are very common. CEE also found that the use of commonly promoted efficiency features, such as a pool cover or reclaiming heat from the dehumidifier for pool water heating, are often abandoned after a short period of time.</w:t>
      </w:r>
    </w:p>
    <w:p w:rsidR="00FF7C10" w:rsidRPr="00620ADF" w:rsidRDefault="00FF7C10" w:rsidP="00FF7C10">
      <w:pPr>
        <w:pStyle w:val="Heading2"/>
        <w:spacing w:before="0"/>
        <w:rPr>
          <w:rFonts w:asciiTheme="minorHAnsi" w:hAnsiTheme="minorHAnsi"/>
          <w:color w:val="auto"/>
        </w:rPr>
      </w:pPr>
      <w:r w:rsidRPr="00620ADF">
        <w:rPr>
          <w:rFonts w:asciiTheme="minorHAnsi" w:hAnsiTheme="minorHAnsi"/>
          <w:color w:val="auto"/>
        </w:rPr>
        <w:t>Cost-effective opportunities</w:t>
      </w:r>
    </w:p>
    <w:p w:rsidR="00FF7C10" w:rsidRPr="00620ADF" w:rsidRDefault="00FF7C10" w:rsidP="00FF7C10">
      <w:pPr>
        <w:spacing w:line="240" w:lineRule="auto"/>
      </w:pPr>
      <w:r w:rsidRPr="00620ADF">
        <w:t>Table 1 conveys statewide savings opportunities available in Minnesota indoor public pool facilities by category of measure and fuel. HVAC recommissioning-related activities show the largest potential for savings of both gas and electricity. No</w:t>
      </w:r>
      <w:r>
        <w:t>-</w:t>
      </w:r>
      <w:r w:rsidRPr="00620ADF">
        <w:t>cost control adjustments and liquid pool covers provide significant secondary opportunities for gas savings, whereas variable speed pool pumping provides about one-third of electric savings potential. It’s also important to note that the one-third of pool facilities that have large pools represent about two-thirds of the overall savings potential. Although liquid pool cover savings potential is fairly consistent across the population of small pools, CEE found that the applicability, nature, and potential savings for HVAC control changes and variable speed pool pumping varies significantly from site to site.</w:t>
      </w:r>
    </w:p>
    <w:p w:rsidR="00FF7C10" w:rsidRPr="00466D8D" w:rsidRDefault="00FF7C10" w:rsidP="00FF7C10">
      <w:pPr>
        <w:pStyle w:val="Caption"/>
        <w:keepNext/>
        <w:rPr>
          <w:i/>
          <w:color w:val="auto"/>
          <w:sz w:val="22"/>
          <w:szCs w:val="22"/>
        </w:rPr>
      </w:pPr>
      <w:r w:rsidRPr="00466D8D">
        <w:rPr>
          <w:i/>
          <w:color w:val="auto"/>
          <w:sz w:val="22"/>
          <w:szCs w:val="22"/>
        </w:rPr>
        <w:lastRenderedPageBreak/>
        <w:t xml:space="preserve">Table </w:t>
      </w:r>
      <w:r w:rsidRPr="00466D8D">
        <w:rPr>
          <w:i/>
          <w:color w:val="auto"/>
          <w:sz w:val="22"/>
          <w:szCs w:val="22"/>
        </w:rPr>
        <w:fldChar w:fldCharType="begin"/>
      </w:r>
      <w:r w:rsidRPr="00466D8D">
        <w:rPr>
          <w:i/>
          <w:color w:val="auto"/>
          <w:sz w:val="22"/>
          <w:szCs w:val="22"/>
        </w:rPr>
        <w:instrText xml:space="preserve"> SEQ Table \* ARABIC </w:instrText>
      </w:r>
      <w:r w:rsidRPr="00466D8D">
        <w:rPr>
          <w:i/>
          <w:color w:val="auto"/>
          <w:sz w:val="22"/>
          <w:szCs w:val="22"/>
        </w:rPr>
        <w:fldChar w:fldCharType="separate"/>
      </w:r>
      <w:r>
        <w:rPr>
          <w:i/>
          <w:noProof/>
          <w:color w:val="auto"/>
          <w:sz w:val="22"/>
          <w:szCs w:val="22"/>
        </w:rPr>
        <w:t>1</w:t>
      </w:r>
      <w:r w:rsidRPr="00466D8D">
        <w:rPr>
          <w:i/>
          <w:noProof/>
          <w:color w:val="auto"/>
          <w:sz w:val="22"/>
          <w:szCs w:val="22"/>
        </w:rPr>
        <w:fldChar w:fldCharType="end"/>
      </w:r>
      <w:r>
        <w:rPr>
          <w:i/>
          <w:color w:val="auto"/>
          <w:sz w:val="22"/>
          <w:szCs w:val="22"/>
        </w:rPr>
        <w:t>. Summary of cost-effective statewide savings p</w:t>
      </w:r>
      <w:r w:rsidRPr="00466D8D">
        <w:rPr>
          <w:i/>
          <w:color w:val="auto"/>
          <w:sz w:val="22"/>
          <w:szCs w:val="22"/>
        </w:rPr>
        <w:t>otential</w:t>
      </w:r>
    </w:p>
    <w:tbl>
      <w:tblPr>
        <w:tblW w:w="859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Caption w:val="Summary of Cost-Effective Statewide Savings Potential"/>
        <w:tblDescription w:val="This table shows the statewide savings potential available in indoor public pool facilities in Minnesota by category of measure and fuel. HVAC recommissioning type activities show the largest potential for savings of both gas and electricity. No cost control adjustments and liquid pool covers provide significant secondary opportunities for gas savings while variable speed pool pumping provides about one-third of the electric savings potential. "/>
      </w:tblPr>
      <w:tblGrid>
        <w:gridCol w:w="3093"/>
        <w:gridCol w:w="1159"/>
        <w:gridCol w:w="48"/>
        <w:gridCol w:w="850"/>
        <w:gridCol w:w="137"/>
        <w:gridCol w:w="987"/>
        <w:gridCol w:w="1159"/>
        <w:gridCol w:w="1159"/>
      </w:tblGrid>
      <w:tr w:rsidR="00FF7C10" w:rsidRPr="00620ADF" w:rsidTr="00137DD6">
        <w:trPr>
          <w:trHeight w:val="288"/>
          <w:tblHeader/>
          <w:jc w:val="center"/>
        </w:trPr>
        <w:tc>
          <w:tcPr>
            <w:tcW w:w="30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BFBFBF" w:themeFill="background1" w:themeFillShade="BF"/>
            <w:noWrap/>
            <w:vAlign w:val="bottom"/>
            <w:hideMark/>
          </w:tcPr>
          <w:p w:rsidR="00FF7C10" w:rsidRPr="00620ADF" w:rsidRDefault="00FF7C10" w:rsidP="00137DD6">
            <w:pPr>
              <w:spacing w:line="240" w:lineRule="auto"/>
            </w:pPr>
          </w:p>
        </w:tc>
        <w:tc>
          <w:tcPr>
            <w:tcW w:w="1207" w:type="dxa"/>
            <w:gridSpan w:val="2"/>
            <w:tcBorders>
              <w:top w:val="single" w:sz="4" w:space="0" w:color="A6A6A6" w:themeColor="background1" w:themeShade="A6"/>
              <w:left w:val="nil"/>
              <w:bottom w:val="nil"/>
              <w:right w:val="nil"/>
            </w:tcBorders>
            <w:shd w:val="clear" w:color="auto" w:fill="BFBFBF" w:themeFill="background1" w:themeFillShade="BF"/>
            <w:noWrap/>
            <w:vAlign w:val="bottom"/>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 of Applicable Buildings</w:t>
            </w:r>
          </w:p>
        </w:tc>
        <w:tc>
          <w:tcPr>
            <w:tcW w:w="987" w:type="dxa"/>
            <w:gridSpan w:val="2"/>
            <w:tcBorders>
              <w:top w:val="single" w:sz="4" w:space="0" w:color="A6A6A6" w:themeColor="background1" w:themeShade="A6"/>
              <w:left w:val="nil"/>
              <w:bottom w:val="nil"/>
              <w:right w:val="nil"/>
            </w:tcBorders>
            <w:shd w:val="clear" w:color="auto" w:fill="BFBFBF" w:themeFill="background1" w:themeFillShade="BF"/>
            <w:vAlign w:val="bottom"/>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CCF/ Building</w:t>
            </w:r>
          </w:p>
        </w:tc>
        <w:tc>
          <w:tcPr>
            <w:tcW w:w="987" w:type="dxa"/>
            <w:tcBorders>
              <w:top w:val="single" w:sz="4" w:space="0" w:color="A6A6A6" w:themeColor="background1" w:themeShade="A6"/>
              <w:left w:val="nil"/>
              <w:bottom w:val="nil"/>
              <w:right w:val="nil"/>
            </w:tcBorders>
            <w:shd w:val="clear" w:color="auto" w:fill="BFBFBF" w:themeFill="background1" w:themeFillShade="BF"/>
            <w:vAlign w:val="bottom"/>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kWh/</w:t>
            </w:r>
          </w:p>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Building</w:t>
            </w:r>
          </w:p>
        </w:tc>
        <w:tc>
          <w:tcPr>
            <w:tcW w:w="1159" w:type="dxa"/>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noWrap/>
            <w:vAlign w:val="bottom"/>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MCF Statewide</w:t>
            </w:r>
          </w:p>
        </w:tc>
        <w:tc>
          <w:tcPr>
            <w:tcW w:w="1159" w:type="dxa"/>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noWrap/>
            <w:vAlign w:val="bottom"/>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MWh Statewide</w:t>
            </w:r>
          </w:p>
        </w:tc>
      </w:tr>
      <w:tr w:rsidR="00FF7C10" w:rsidRPr="00620ADF" w:rsidTr="00137DD6">
        <w:trPr>
          <w:trHeight w:val="288"/>
          <w:jc w:val="center"/>
        </w:trPr>
        <w:tc>
          <w:tcPr>
            <w:tcW w:w="309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vAlign w:val="bottom"/>
            <w:hideMark/>
          </w:tcPr>
          <w:p w:rsidR="00FF7C10" w:rsidRPr="00620ADF" w:rsidRDefault="00FF7C10" w:rsidP="00137DD6">
            <w:pPr>
              <w:keepNext/>
              <w:keepLines/>
              <w:spacing w:line="240" w:lineRule="auto"/>
              <w:rPr>
                <w:rFonts w:cs="Times New Roman"/>
                <w:b/>
                <w:bCs/>
                <w:color w:val="000000"/>
              </w:rPr>
            </w:pPr>
            <w:r w:rsidRPr="00620ADF">
              <w:rPr>
                <w:rFonts w:cs="Times New Roman"/>
                <w:b/>
                <w:bCs/>
                <w:color w:val="000000"/>
              </w:rPr>
              <w:t>No</w:t>
            </w:r>
            <w:r>
              <w:rPr>
                <w:rFonts w:cs="Times New Roman"/>
                <w:b/>
                <w:bCs/>
                <w:color w:val="000000"/>
              </w:rPr>
              <w:t>-</w:t>
            </w:r>
            <w:r w:rsidRPr="00620ADF">
              <w:rPr>
                <w:rFonts w:cs="Times New Roman"/>
                <w:b/>
                <w:bCs/>
                <w:color w:val="000000"/>
              </w:rPr>
              <w:t>Cost Changes*</w:t>
            </w:r>
          </w:p>
        </w:tc>
        <w:tc>
          <w:tcPr>
            <w:tcW w:w="115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907</w:t>
            </w:r>
          </w:p>
        </w:tc>
        <w:tc>
          <w:tcPr>
            <w:tcW w:w="898" w:type="dxa"/>
            <w:gridSpan w:val="2"/>
            <w:tcBorders>
              <w:top w:val="single" w:sz="4" w:space="0" w:color="A6A6A6" w:themeColor="background1" w:themeShade="A6"/>
              <w:left w:val="single" w:sz="4" w:space="0" w:color="A6A6A6" w:themeColor="background1" w:themeShade="A6"/>
              <w:bottom w:val="nil"/>
              <w:right w:val="nil"/>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853*</w:t>
            </w:r>
          </w:p>
        </w:tc>
        <w:tc>
          <w:tcPr>
            <w:tcW w:w="1124" w:type="dxa"/>
            <w:gridSpan w:val="2"/>
            <w:tcBorders>
              <w:top w:val="single" w:sz="4" w:space="0" w:color="A6A6A6" w:themeColor="background1" w:themeShade="A6"/>
              <w:left w:val="nil"/>
              <w:bottom w:val="nil"/>
              <w:right w:val="single" w:sz="4" w:space="0" w:color="A6A6A6" w:themeColor="background1" w:themeShade="A6"/>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3,878*</w:t>
            </w:r>
          </w:p>
        </w:tc>
        <w:tc>
          <w:tcPr>
            <w:tcW w:w="1159" w:type="dxa"/>
            <w:tcBorders>
              <w:top w:val="single" w:sz="4" w:space="0" w:color="A6A6A6" w:themeColor="background1" w:themeShade="A6"/>
              <w:left w:val="single" w:sz="4" w:space="0" w:color="A6A6A6" w:themeColor="background1" w:themeShade="A6"/>
              <w:bottom w:val="nil"/>
              <w:right w:val="nil"/>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77,394*</w:t>
            </w:r>
          </w:p>
        </w:tc>
        <w:tc>
          <w:tcPr>
            <w:tcW w:w="1159" w:type="dxa"/>
            <w:tcBorders>
              <w:top w:val="single" w:sz="4" w:space="0" w:color="A6A6A6" w:themeColor="background1" w:themeShade="A6"/>
              <w:left w:val="nil"/>
              <w:bottom w:val="nil"/>
              <w:right w:val="single" w:sz="4" w:space="0" w:color="A6A6A6" w:themeColor="background1" w:themeShade="A6"/>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3,517*</w:t>
            </w:r>
          </w:p>
        </w:tc>
      </w:tr>
      <w:tr w:rsidR="00FF7C10" w:rsidRPr="00620ADF" w:rsidTr="00137DD6">
        <w:trPr>
          <w:trHeight w:val="288"/>
          <w:jc w:val="center"/>
        </w:trPr>
        <w:tc>
          <w:tcPr>
            <w:tcW w:w="3093"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vAlign w:val="bottom"/>
            <w:hideMark/>
          </w:tcPr>
          <w:p w:rsidR="00FF7C10" w:rsidRPr="00620ADF" w:rsidRDefault="00FF7C10" w:rsidP="00137DD6">
            <w:pPr>
              <w:keepNext/>
              <w:keepLines/>
              <w:spacing w:line="240" w:lineRule="auto"/>
              <w:rPr>
                <w:rFonts w:cs="Times New Roman"/>
                <w:b/>
                <w:bCs/>
                <w:color w:val="000000"/>
              </w:rPr>
            </w:pPr>
            <w:r w:rsidRPr="00620ADF">
              <w:rPr>
                <w:rFonts w:cs="Times New Roman"/>
                <w:b/>
                <w:bCs/>
                <w:color w:val="000000"/>
              </w:rPr>
              <w:t>HVAC Recommissioning/Audits</w:t>
            </w:r>
          </w:p>
        </w:tc>
        <w:tc>
          <w:tcPr>
            <w:tcW w:w="1159"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2,029</w:t>
            </w:r>
          </w:p>
        </w:tc>
        <w:tc>
          <w:tcPr>
            <w:tcW w:w="898" w:type="dxa"/>
            <w:gridSpan w:val="2"/>
            <w:tcBorders>
              <w:top w:val="nil"/>
              <w:left w:val="single" w:sz="4" w:space="0" w:color="A6A6A6" w:themeColor="background1" w:themeShade="A6"/>
              <w:bottom w:val="nil"/>
              <w:right w:val="nil"/>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2,545</w:t>
            </w:r>
          </w:p>
        </w:tc>
        <w:tc>
          <w:tcPr>
            <w:tcW w:w="1124" w:type="dxa"/>
            <w:gridSpan w:val="2"/>
            <w:tcBorders>
              <w:top w:val="nil"/>
              <w:left w:val="nil"/>
              <w:bottom w:val="nil"/>
              <w:right w:val="single" w:sz="4" w:space="0" w:color="A6A6A6" w:themeColor="background1" w:themeShade="A6"/>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8,788</w:t>
            </w:r>
          </w:p>
        </w:tc>
        <w:tc>
          <w:tcPr>
            <w:tcW w:w="1159" w:type="dxa"/>
            <w:tcBorders>
              <w:top w:val="nil"/>
              <w:left w:val="single" w:sz="4" w:space="0" w:color="A6A6A6" w:themeColor="background1" w:themeShade="A6"/>
              <w:bottom w:val="nil"/>
              <w:right w:val="nil"/>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516,302</w:t>
            </w:r>
          </w:p>
        </w:tc>
        <w:tc>
          <w:tcPr>
            <w:tcW w:w="1159" w:type="dxa"/>
            <w:tcBorders>
              <w:top w:val="nil"/>
              <w:left w:val="nil"/>
              <w:bottom w:val="nil"/>
              <w:right w:val="single" w:sz="4" w:space="0" w:color="A6A6A6" w:themeColor="background1" w:themeShade="A6"/>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17,832</w:t>
            </w:r>
          </w:p>
        </w:tc>
      </w:tr>
      <w:tr w:rsidR="00FF7C10" w:rsidRPr="00620ADF" w:rsidTr="00137DD6">
        <w:trPr>
          <w:trHeight w:val="288"/>
          <w:jc w:val="center"/>
        </w:trPr>
        <w:tc>
          <w:tcPr>
            <w:tcW w:w="3093" w:type="dxa"/>
            <w:tcBorders>
              <w:top w:val="nil"/>
              <w:left w:val="single" w:sz="4" w:space="0" w:color="A6A6A6" w:themeColor="background1" w:themeShade="A6"/>
              <w:bottom w:val="nil"/>
              <w:right w:val="single" w:sz="4" w:space="0" w:color="A6A6A6" w:themeColor="background1" w:themeShade="A6"/>
            </w:tcBorders>
            <w:noWrap/>
            <w:vAlign w:val="bottom"/>
            <w:hideMark/>
          </w:tcPr>
          <w:p w:rsidR="00FF7C10" w:rsidRPr="00620ADF" w:rsidRDefault="00FF7C10" w:rsidP="00137DD6">
            <w:pPr>
              <w:keepNext/>
              <w:keepLines/>
              <w:spacing w:line="240" w:lineRule="auto"/>
              <w:rPr>
                <w:rFonts w:cs="Times New Roman"/>
                <w:b/>
                <w:bCs/>
                <w:color w:val="000000"/>
              </w:rPr>
            </w:pPr>
            <w:r w:rsidRPr="00620ADF">
              <w:rPr>
                <w:rFonts w:cs="Times New Roman"/>
                <w:b/>
                <w:bCs/>
                <w:color w:val="000000"/>
              </w:rPr>
              <w:t>Liquid Pool Cover</w:t>
            </w:r>
          </w:p>
        </w:tc>
        <w:tc>
          <w:tcPr>
            <w:tcW w:w="1159" w:type="dxa"/>
            <w:tcBorders>
              <w:top w:val="nil"/>
              <w:left w:val="single" w:sz="4" w:space="0" w:color="A6A6A6" w:themeColor="background1" w:themeShade="A6"/>
              <w:bottom w:val="nil"/>
              <w:right w:val="single" w:sz="4" w:space="0" w:color="A6A6A6" w:themeColor="background1" w:themeShade="A6"/>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1,394</w:t>
            </w:r>
          </w:p>
        </w:tc>
        <w:tc>
          <w:tcPr>
            <w:tcW w:w="898" w:type="dxa"/>
            <w:gridSpan w:val="2"/>
            <w:tcBorders>
              <w:top w:val="nil"/>
              <w:left w:val="single" w:sz="4" w:space="0" w:color="A6A6A6" w:themeColor="background1" w:themeShade="A6"/>
              <w:bottom w:val="nil"/>
              <w:right w:val="nil"/>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221</w:t>
            </w:r>
          </w:p>
        </w:tc>
        <w:tc>
          <w:tcPr>
            <w:tcW w:w="1124" w:type="dxa"/>
            <w:gridSpan w:val="2"/>
            <w:tcBorders>
              <w:top w:val="nil"/>
              <w:left w:val="nil"/>
              <w:bottom w:val="nil"/>
              <w:right w:val="single" w:sz="4" w:space="0" w:color="A6A6A6" w:themeColor="background1" w:themeShade="A6"/>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1,453</w:t>
            </w:r>
          </w:p>
        </w:tc>
        <w:tc>
          <w:tcPr>
            <w:tcW w:w="1159" w:type="dxa"/>
            <w:tcBorders>
              <w:top w:val="nil"/>
              <w:left w:val="single" w:sz="4" w:space="0" w:color="A6A6A6" w:themeColor="background1" w:themeShade="A6"/>
              <w:bottom w:val="nil"/>
              <w:right w:val="nil"/>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30,755</w:t>
            </w:r>
          </w:p>
        </w:tc>
        <w:tc>
          <w:tcPr>
            <w:tcW w:w="1159" w:type="dxa"/>
            <w:tcBorders>
              <w:top w:val="nil"/>
              <w:left w:val="nil"/>
              <w:bottom w:val="nil"/>
              <w:right w:val="single" w:sz="4" w:space="0" w:color="A6A6A6" w:themeColor="background1" w:themeShade="A6"/>
            </w:tcBorders>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2,026</w:t>
            </w:r>
          </w:p>
        </w:tc>
      </w:tr>
      <w:tr w:rsidR="00FF7C10" w:rsidRPr="00620ADF" w:rsidTr="00137DD6">
        <w:trPr>
          <w:trHeight w:val="288"/>
          <w:jc w:val="center"/>
        </w:trPr>
        <w:tc>
          <w:tcPr>
            <w:tcW w:w="3093"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vAlign w:val="bottom"/>
            <w:hideMark/>
          </w:tcPr>
          <w:p w:rsidR="00FF7C10" w:rsidRPr="00620ADF" w:rsidRDefault="00FF7C10" w:rsidP="00137DD6">
            <w:pPr>
              <w:keepNext/>
              <w:keepLines/>
              <w:spacing w:line="240" w:lineRule="auto"/>
              <w:rPr>
                <w:rFonts w:cs="Times New Roman"/>
                <w:b/>
                <w:bCs/>
                <w:color w:val="000000"/>
              </w:rPr>
            </w:pPr>
            <w:r w:rsidRPr="00620ADF">
              <w:rPr>
                <w:rFonts w:cs="Times New Roman"/>
                <w:b/>
                <w:bCs/>
                <w:color w:val="000000"/>
              </w:rPr>
              <w:t>Variable Speed Pool Pumping</w:t>
            </w:r>
          </w:p>
        </w:tc>
        <w:tc>
          <w:tcPr>
            <w:tcW w:w="1159"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907</w:t>
            </w:r>
          </w:p>
        </w:tc>
        <w:tc>
          <w:tcPr>
            <w:tcW w:w="898" w:type="dxa"/>
            <w:gridSpan w:val="2"/>
            <w:tcBorders>
              <w:top w:val="nil"/>
              <w:left w:val="single" w:sz="4" w:space="0" w:color="A6A6A6" w:themeColor="background1" w:themeShade="A6"/>
              <w:bottom w:val="nil"/>
              <w:right w:val="nil"/>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0</w:t>
            </w:r>
          </w:p>
        </w:tc>
        <w:tc>
          <w:tcPr>
            <w:tcW w:w="1124" w:type="dxa"/>
            <w:gridSpan w:val="2"/>
            <w:tcBorders>
              <w:top w:val="nil"/>
              <w:left w:val="nil"/>
              <w:bottom w:val="nil"/>
              <w:right w:val="single" w:sz="4" w:space="0" w:color="A6A6A6" w:themeColor="background1" w:themeShade="A6"/>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9,789</w:t>
            </w:r>
          </w:p>
        </w:tc>
        <w:tc>
          <w:tcPr>
            <w:tcW w:w="1159" w:type="dxa"/>
            <w:tcBorders>
              <w:top w:val="nil"/>
              <w:left w:val="single" w:sz="4" w:space="0" w:color="A6A6A6" w:themeColor="background1" w:themeShade="A6"/>
              <w:bottom w:val="nil"/>
              <w:right w:val="nil"/>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0</w:t>
            </w:r>
          </w:p>
        </w:tc>
        <w:tc>
          <w:tcPr>
            <w:tcW w:w="1159" w:type="dxa"/>
            <w:tcBorders>
              <w:top w:val="nil"/>
              <w:left w:val="nil"/>
              <w:bottom w:val="nil"/>
              <w:right w:val="single" w:sz="4" w:space="0" w:color="A6A6A6" w:themeColor="background1" w:themeShade="A6"/>
            </w:tcBorders>
            <w:shd w:val="clear" w:color="auto" w:fill="D9D9D9" w:themeFill="background1" w:themeFillShade="D9"/>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8,879</w:t>
            </w:r>
          </w:p>
        </w:tc>
      </w:tr>
      <w:tr w:rsidR="00FF7C10" w:rsidRPr="00620ADF" w:rsidTr="00137DD6">
        <w:trPr>
          <w:trHeight w:val="288"/>
          <w:jc w:val="center"/>
        </w:trPr>
        <w:tc>
          <w:tcPr>
            <w:tcW w:w="3093"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noWrap/>
            <w:vAlign w:val="bottom"/>
            <w:hideMark/>
          </w:tcPr>
          <w:p w:rsidR="00FF7C10" w:rsidRPr="00620ADF" w:rsidRDefault="00FF7C10" w:rsidP="00137DD6">
            <w:pPr>
              <w:keepNext/>
              <w:keepLines/>
              <w:spacing w:line="240" w:lineRule="auto"/>
              <w:rPr>
                <w:rFonts w:cs="Times New Roman"/>
                <w:b/>
                <w:bCs/>
                <w:color w:val="000000"/>
              </w:rPr>
            </w:pPr>
            <w:r w:rsidRPr="00620ADF">
              <w:rPr>
                <w:rFonts w:cs="Times New Roman"/>
                <w:b/>
                <w:bCs/>
                <w:color w:val="000000"/>
              </w:rPr>
              <w:t>Total</w:t>
            </w:r>
          </w:p>
        </w:tc>
        <w:tc>
          <w:tcPr>
            <w:tcW w:w="115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2,029</w:t>
            </w:r>
          </w:p>
        </w:tc>
        <w:tc>
          <w:tcPr>
            <w:tcW w:w="898" w:type="dxa"/>
            <w:gridSpan w:val="2"/>
            <w:tcBorders>
              <w:top w:val="nil"/>
              <w:left w:val="single" w:sz="4" w:space="0" w:color="A6A6A6" w:themeColor="background1" w:themeShade="A6"/>
              <w:bottom w:val="single" w:sz="4" w:space="0" w:color="A6A6A6" w:themeColor="background1" w:themeShade="A6"/>
              <w:right w:val="nil"/>
            </w:tcBorders>
            <w:shd w:val="clear" w:color="auto" w:fill="BFBFBF" w:themeFill="background1" w:themeFillShade="BF"/>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2,696</w:t>
            </w:r>
          </w:p>
        </w:tc>
        <w:tc>
          <w:tcPr>
            <w:tcW w:w="1124" w:type="dxa"/>
            <w:gridSpan w:val="2"/>
            <w:tcBorders>
              <w:top w:val="nil"/>
              <w:left w:val="nil"/>
              <w:bottom w:val="single" w:sz="4" w:space="0" w:color="A6A6A6" w:themeColor="background1" w:themeShade="A6"/>
              <w:right w:val="single" w:sz="4" w:space="0" w:color="A6A6A6" w:themeColor="background1" w:themeShade="A6"/>
            </w:tcBorders>
            <w:shd w:val="clear" w:color="auto" w:fill="BFBFBF" w:themeFill="background1" w:themeFillShade="BF"/>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14,163</w:t>
            </w:r>
          </w:p>
        </w:tc>
        <w:tc>
          <w:tcPr>
            <w:tcW w:w="1159" w:type="dxa"/>
            <w:tcBorders>
              <w:top w:val="nil"/>
              <w:left w:val="single" w:sz="4" w:space="0" w:color="A6A6A6" w:themeColor="background1" w:themeShade="A6"/>
              <w:bottom w:val="single" w:sz="4" w:space="0" w:color="A6A6A6" w:themeColor="background1" w:themeShade="A6"/>
              <w:right w:val="nil"/>
            </w:tcBorders>
            <w:shd w:val="clear" w:color="auto" w:fill="BFBFBF" w:themeFill="background1" w:themeFillShade="BF"/>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547,057</w:t>
            </w:r>
          </w:p>
        </w:tc>
        <w:tc>
          <w:tcPr>
            <w:tcW w:w="1159" w:type="dxa"/>
            <w:tcBorders>
              <w:top w:val="nil"/>
              <w:left w:val="nil"/>
              <w:bottom w:val="single" w:sz="4" w:space="0" w:color="A6A6A6" w:themeColor="background1" w:themeShade="A6"/>
              <w:right w:val="single" w:sz="4" w:space="0" w:color="A6A6A6" w:themeColor="background1" w:themeShade="A6"/>
            </w:tcBorders>
            <w:shd w:val="clear" w:color="auto" w:fill="BFBFBF" w:themeFill="background1" w:themeFillShade="BF"/>
            <w:noWrap/>
            <w:vAlign w:val="center"/>
            <w:hideMark/>
          </w:tcPr>
          <w:p w:rsidR="00FF7C10" w:rsidRPr="00620ADF" w:rsidRDefault="00FF7C10" w:rsidP="00137DD6">
            <w:pPr>
              <w:keepNext/>
              <w:keepLines/>
              <w:spacing w:line="240" w:lineRule="auto"/>
              <w:jc w:val="center"/>
              <w:rPr>
                <w:rFonts w:cs="Times New Roman"/>
                <w:color w:val="000000"/>
              </w:rPr>
            </w:pPr>
            <w:r w:rsidRPr="00620ADF">
              <w:rPr>
                <w:rFonts w:cs="Times New Roman"/>
                <w:color w:val="000000"/>
              </w:rPr>
              <w:t>28,736</w:t>
            </w:r>
          </w:p>
        </w:tc>
      </w:tr>
    </w:tbl>
    <w:p w:rsidR="00FF7C10" w:rsidRPr="00620ADF" w:rsidRDefault="00FF7C10" w:rsidP="00FF7C10">
      <w:pPr>
        <w:spacing w:line="240" w:lineRule="auto"/>
        <w:rPr>
          <w:sz w:val="18"/>
          <w:szCs w:val="18"/>
        </w:rPr>
      </w:pPr>
      <w:r w:rsidRPr="00620ADF">
        <w:rPr>
          <w:sz w:val="18"/>
          <w:szCs w:val="18"/>
        </w:rPr>
        <w:t>* Values for no-cost changes were not added to the totals because the savings associated with this measure is mutually exclusive with the recommissioning audits (within the same building).</w:t>
      </w:r>
    </w:p>
    <w:p w:rsidR="00FF7C10" w:rsidRPr="00620ADF" w:rsidRDefault="00FF7C10" w:rsidP="00FF7C10">
      <w:pPr>
        <w:pStyle w:val="Heading2"/>
        <w:spacing w:before="0"/>
        <w:rPr>
          <w:rFonts w:asciiTheme="minorHAnsi" w:hAnsiTheme="minorHAnsi"/>
          <w:color w:val="auto"/>
        </w:rPr>
      </w:pPr>
      <w:r w:rsidRPr="00620ADF">
        <w:rPr>
          <w:rFonts w:asciiTheme="minorHAnsi" w:hAnsiTheme="minorHAnsi"/>
          <w:color w:val="auto"/>
        </w:rPr>
        <w:t>CIP program recommendations</w:t>
      </w:r>
    </w:p>
    <w:p w:rsidR="00FF7C10" w:rsidRPr="00620ADF" w:rsidRDefault="00FF7C10" w:rsidP="00FF7C10">
      <w:pPr>
        <w:spacing w:line="240" w:lineRule="auto"/>
      </w:pPr>
      <w:r w:rsidRPr="00620ADF">
        <w:t>The findings of this study led to the following recommendations for CIP program activities:</w:t>
      </w:r>
    </w:p>
    <w:p w:rsidR="00FF7C10" w:rsidRPr="00620ADF" w:rsidRDefault="00FF7C10" w:rsidP="00FF7C10">
      <w:pPr>
        <w:pStyle w:val="ListParagraph"/>
        <w:numPr>
          <w:ilvl w:val="0"/>
          <w:numId w:val="1"/>
        </w:numPr>
      </w:pPr>
      <w:r w:rsidRPr="00466D8D">
        <w:rPr>
          <w:b/>
        </w:rPr>
        <w:t>Recommissioning Using CEE’s New Guide:</w:t>
      </w:r>
      <w:r w:rsidRPr="00620ADF">
        <w:t xml:space="preserve"> Use the Recommissioning Guide for Indoor Public Pool Facilities in Minnesota, developed as part of this project, to direct recommissioning efforts.</w:t>
      </w:r>
    </w:p>
    <w:p w:rsidR="00FF7C10" w:rsidRPr="00620ADF" w:rsidRDefault="00FF7C10" w:rsidP="00FF7C10">
      <w:pPr>
        <w:pStyle w:val="ListParagraph"/>
        <w:numPr>
          <w:ilvl w:val="0"/>
          <w:numId w:val="1"/>
        </w:numPr>
      </w:pPr>
      <w:r w:rsidRPr="00466D8D">
        <w:rPr>
          <w:b/>
        </w:rPr>
        <w:t>Simple Rebate for Pump VSD:</w:t>
      </w:r>
      <w:r w:rsidRPr="00620ADF">
        <w:t xml:space="preserve"> Offer a simple prescriptive (or similar) rebate option for variable speed pool pumping.</w:t>
      </w:r>
    </w:p>
    <w:p w:rsidR="00FF7C10" w:rsidRPr="00620ADF" w:rsidRDefault="00FF7C10" w:rsidP="00FF7C10">
      <w:pPr>
        <w:pStyle w:val="ListParagraph"/>
        <w:numPr>
          <w:ilvl w:val="0"/>
          <w:numId w:val="1"/>
        </w:numPr>
      </w:pPr>
      <w:r w:rsidRPr="00466D8D">
        <w:rPr>
          <w:b/>
        </w:rPr>
        <w:t>Develop Rebates for Liquid Pool Covers with Further Verification:</w:t>
      </w:r>
      <w:r w:rsidRPr="00620ADF">
        <w:t xml:space="preserve"> Consider offering pilot or custom rebates for liquid pool covers, with measurement and verification of the first few participants, before undertaking wide promotion of this technology.</w:t>
      </w:r>
    </w:p>
    <w:p w:rsidR="00FF7C10" w:rsidRDefault="00FF7C10" w:rsidP="00FF7C10">
      <w:pPr>
        <w:spacing w:line="240" w:lineRule="auto"/>
      </w:pPr>
    </w:p>
    <w:p w:rsidR="00FF7C10" w:rsidRDefault="00FF7C10" w:rsidP="00FF7C10">
      <w:pPr>
        <w:spacing w:line="240" w:lineRule="auto"/>
      </w:pPr>
      <w:r>
        <w:t>More detailed results will be</w:t>
      </w:r>
      <w:r w:rsidRPr="00620ADF">
        <w:t xml:space="preserve"> avai</w:t>
      </w:r>
      <w:r>
        <w:t xml:space="preserve">lable in a forthcoming final report to be posted soon on the </w:t>
      </w:r>
      <w:hyperlink r:id="rId9" w:history="1">
        <w:r w:rsidRPr="00366E30">
          <w:rPr>
            <w:rStyle w:val="Hyperlink"/>
          </w:rPr>
          <w:t>CARD Research Projects webpage</w:t>
        </w:r>
      </w:hyperlink>
      <w:r>
        <w:t xml:space="preserve">. </w:t>
      </w:r>
      <w:r w:rsidRPr="00620ADF">
        <w:t>For more information, contact pro</w:t>
      </w:r>
      <w:r>
        <w:t>ject manager and CARD</w:t>
      </w:r>
      <w:r w:rsidRPr="00620ADF">
        <w:t xml:space="preserve"> program administrator </w:t>
      </w:r>
      <w:hyperlink r:id="rId10" w:history="1">
        <w:r w:rsidRPr="00620ADF">
          <w:rPr>
            <w:rStyle w:val="Hyperlink"/>
          </w:rPr>
          <w:t>Mary Sue Lobenstein</w:t>
        </w:r>
      </w:hyperlink>
      <w:r w:rsidRPr="00620ADF">
        <w:t>.</w:t>
      </w:r>
    </w:p>
    <w:p w:rsidR="0097082C" w:rsidRDefault="0097082C" w:rsidP="00FF7C10">
      <w:pPr>
        <w:pStyle w:val="Default"/>
      </w:pPr>
    </w:p>
    <w:sectPr w:rsidR="009708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B96FD5"/>
    <w:multiLevelType w:val="hybridMultilevel"/>
    <w:tmpl w:val="F824F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FFE"/>
    <w:rsid w:val="001B2FFE"/>
    <w:rsid w:val="0097082C"/>
    <w:rsid w:val="00FF7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9B281"/>
  <w15:chartTrackingRefBased/>
  <w15:docId w15:val="{6AA789F3-004E-4FD4-A22E-6E146F9B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FFE"/>
    <w:pPr>
      <w:spacing w:after="200" w:line="276" w:lineRule="auto"/>
    </w:pPr>
    <w:rPr>
      <w:rFonts w:eastAsiaTheme="minorEastAsia"/>
    </w:rPr>
  </w:style>
  <w:style w:type="paragraph" w:styleId="Heading1">
    <w:name w:val="heading 1"/>
    <w:basedOn w:val="Normal"/>
    <w:link w:val="Heading1Char"/>
    <w:uiPriority w:val="9"/>
    <w:qFormat/>
    <w:rsid w:val="00FF7C10"/>
    <w:pPr>
      <w:spacing w:before="100" w:beforeAutospacing="1" w:after="72" w:line="240" w:lineRule="auto"/>
      <w:outlineLvl w:val="0"/>
    </w:pPr>
    <w:rPr>
      <w:rFonts w:ascii="Times New Roman" w:eastAsia="Times New Roman" w:hAnsi="Times New Roman" w:cs="Times New Roman"/>
      <w:b/>
      <w:bCs/>
      <w:color w:val="004063"/>
      <w:kern w:val="36"/>
      <w:sz w:val="41"/>
      <w:szCs w:val="41"/>
    </w:rPr>
  </w:style>
  <w:style w:type="paragraph" w:styleId="Heading2">
    <w:name w:val="heading 2"/>
    <w:basedOn w:val="Normal"/>
    <w:next w:val="Normal"/>
    <w:link w:val="Heading2Char"/>
    <w:uiPriority w:val="9"/>
    <w:unhideWhenUsed/>
    <w:qFormat/>
    <w:rsid w:val="00FF7C10"/>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2FFE"/>
    <w:rPr>
      <w:color w:val="0000FF"/>
      <w:u w:val="single"/>
    </w:rPr>
  </w:style>
  <w:style w:type="paragraph" w:customStyle="1" w:styleId="Default">
    <w:name w:val="Default"/>
    <w:qFormat/>
    <w:rsid w:val="001B2FFE"/>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Heading1Char">
    <w:name w:val="Heading 1 Char"/>
    <w:basedOn w:val="DefaultParagraphFont"/>
    <w:link w:val="Heading1"/>
    <w:uiPriority w:val="9"/>
    <w:rsid w:val="00FF7C10"/>
    <w:rPr>
      <w:rFonts w:ascii="Times New Roman" w:eastAsia="Times New Roman" w:hAnsi="Times New Roman" w:cs="Times New Roman"/>
      <w:b/>
      <w:bCs/>
      <w:color w:val="004063"/>
      <w:kern w:val="36"/>
      <w:sz w:val="41"/>
      <w:szCs w:val="41"/>
    </w:rPr>
  </w:style>
  <w:style w:type="character" w:customStyle="1" w:styleId="Heading2Char">
    <w:name w:val="Heading 2 Char"/>
    <w:basedOn w:val="DefaultParagraphFont"/>
    <w:link w:val="Heading2"/>
    <w:uiPriority w:val="9"/>
    <w:rsid w:val="00FF7C10"/>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FF7C10"/>
    <w:pPr>
      <w:spacing w:after="0" w:line="240" w:lineRule="auto"/>
      <w:ind w:left="720"/>
      <w:contextualSpacing/>
    </w:pPr>
  </w:style>
  <w:style w:type="paragraph" w:styleId="Caption">
    <w:name w:val="caption"/>
    <w:basedOn w:val="Normal"/>
    <w:next w:val="Normal"/>
    <w:link w:val="CaptionChar"/>
    <w:uiPriority w:val="35"/>
    <w:unhideWhenUsed/>
    <w:qFormat/>
    <w:rsid w:val="00FF7C10"/>
    <w:pPr>
      <w:spacing w:line="240" w:lineRule="auto"/>
    </w:pPr>
    <w:rPr>
      <w:rFonts w:eastAsiaTheme="minorHAnsi"/>
      <w:b/>
      <w:bCs/>
      <w:color w:val="5B9BD5" w:themeColor="accent1"/>
      <w:sz w:val="18"/>
      <w:szCs w:val="18"/>
    </w:rPr>
  </w:style>
  <w:style w:type="character" w:customStyle="1" w:styleId="CaptionChar">
    <w:name w:val="Caption Char"/>
    <w:basedOn w:val="DefaultParagraphFont"/>
    <w:link w:val="Caption"/>
    <w:uiPriority w:val="35"/>
    <w:rsid w:val="00FF7C10"/>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ncee.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arysue.lobenstein@state.mn.us" TargetMode="External"/><Relationship Id="rId4" Type="http://schemas.openxmlformats.org/officeDocument/2006/relationships/webSettings" Target="webSettings.xml"/><Relationship Id="rId9" Type="http://schemas.openxmlformats.org/officeDocument/2006/relationships/hyperlink" Target="https://mn.gov/commerce/industries/energy/utilities/cip/card-grant-search/?appSession=7ZSNQ85VP8V243K52Z8D09K341L4EF8NQPN8TJEBP36636T8GA707A20A86PQSQFUV491K50BG6F7WDO9434ER61O89F69L6R5H9M4RBQ8E655DS5YACXVXY0345J6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State of Minnesota</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Swanson, David L (COMM)</dc:creator>
  <cp:keywords/>
  <dc:description/>
  <cp:lastModifiedBy>Swanson, David L (COMM)</cp:lastModifiedBy>
  <cp:revision>2</cp:revision>
  <dcterms:created xsi:type="dcterms:W3CDTF">2018-01-11T16:32:00Z</dcterms:created>
  <dcterms:modified xsi:type="dcterms:W3CDTF">2018-01-11T16:32:00Z</dcterms:modified>
</cp:coreProperties>
</file>