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FE" w:rsidRDefault="001B2FFE" w:rsidP="001B2FFE">
      <w:pPr>
        <w:pStyle w:val="Default"/>
        <w:jc w:val="center"/>
        <w:rPr>
          <w:b/>
          <w:bCs/>
          <w:color w:val="auto"/>
          <w:sz w:val="44"/>
          <w:szCs w:val="44"/>
        </w:rPr>
      </w:pPr>
      <w:r>
        <w:rPr>
          <w:b/>
          <w:bCs/>
          <w:noProof/>
          <w:color w:val="auto"/>
          <w:sz w:val="44"/>
          <w:szCs w:val="44"/>
        </w:rPr>
        <w:drawing>
          <wp:inline distT="0" distB="0" distL="0" distR="0">
            <wp:extent cx="3792041" cy="71939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erce Subsidiary Logo Template (CMYK).png"/>
                    <pic:cNvPicPr/>
                  </pic:nvPicPr>
                  <pic:blipFill>
                    <a:blip r:embed="rId4">
                      <a:extLst>
                        <a:ext uri="{28A0092B-C50C-407E-A947-70E740481C1C}">
                          <a14:useLocalDpi xmlns:a14="http://schemas.microsoft.com/office/drawing/2010/main" val="0"/>
                        </a:ext>
                      </a:extLst>
                    </a:blip>
                    <a:stretch>
                      <a:fillRect/>
                    </a:stretch>
                  </pic:blipFill>
                  <pic:spPr>
                    <a:xfrm>
                      <a:off x="0" y="0"/>
                      <a:ext cx="3792041" cy="719390"/>
                    </a:xfrm>
                    <a:prstGeom prst="rect">
                      <a:avLst/>
                    </a:prstGeom>
                  </pic:spPr>
                </pic:pic>
              </a:graphicData>
            </a:graphic>
          </wp:inline>
        </w:drawing>
      </w:r>
    </w:p>
    <w:p w:rsidR="001B2FFE" w:rsidRDefault="001B2FFE" w:rsidP="001B2FFE">
      <w:pPr>
        <w:pStyle w:val="Default"/>
        <w:rPr>
          <w:b/>
          <w:bCs/>
          <w:color w:val="auto"/>
          <w:sz w:val="44"/>
          <w:szCs w:val="44"/>
        </w:rPr>
      </w:pPr>
    </w:p>
    <w:p w:rsidR="001B2FFE" w:rsidRPr="00CE6C55" w:rsidRDefault="001B2FFE" w:rsidP="001B2FFE">
      <w:pPr>
        <w:pStyle w:val="Default"/>
        <w:rPr>
          <w:color w:val="auto"/>
          <w:sz w:val="44"/>
          <w:szCs w:val="44"/>
        </w:rPr>
      </w:pPr>
      <w:r>
        <w:rPr>
          <w:b/>
          <w:bCs/>
          <w:color w:val="auto"/>
          <w:sz w:val="44"/>
          <w:szCs w:val="44"/>
        </w:rPr>
        <w:t>Advisory committee meetings</w:t>
      </w:r>
      <w:r w:rsidRPr="00CE6C55">
        <w:rPr>
          <w:b/>
          <w:bCs/>
          <w:color w:val="auto"/>
          <w:sz w:val="44"/>
          <w:szCs w:val="44"/>
        </w:rPr>
        <w:t xml:space="preserve"> set for Feb. 27 on State Energy Efficiency Potential studies </w:t>
      </w:r>
    </w:p>
    <w:p w:rsidR="001B2FFE" w:rsidRDefault="001B2FFE" w:rsidP="001B2FFE">
      <w:pPr>
        <w:pStyle w:val="Default"/>
        <w:rPr>
          <w:b/>
          <w:bCs/>
          <w:sz w:val="22"/>
          <w:szCs w:val="22"/>
        </w:rPr>
      </w:pPr>
    </w:p>
    <w:p w:rsidR="001B2FFE" w:rsidRPr="0082025A" w:rsidRDefault="001B2FFE" w:rsidP="001B2FFE">
      <w:pPr>
        <w:pStyle w:val="Default"/>
        <w:rPr>
          <w:b/>
          <w:bCs/>
          <w:color w:val="auto"/>
          <w:sz w:val="22"/>
          <w:szCs w:val="22"/>
        </w:rPr>
      </w:pPr>
      <w:r w:rsidRPr="0082025A">
        <w:rPr>
          <w:b/>
          <w:bCs/>
          <w:color w:val="auto"/>
          <w:sz w:val="22"/>
          <w:szCs w:val="22"/>
        </w:rPr>
        <w:t xml:space="preserve">Minnesota Statewide Energy Efficiency Potential Studies </w:t>
      </w:r>
    </w:p>
    <w:p w:rsidR="001B2FFE" w:rsidRPr="0082025A" w:rsidRDefault="001B2FFE" w:rsidP="001B2FFE">
      <w:pPr>
        <w:pStyle w:val="Default"/>
        <w:rPr>
          <w:b/>
          <w:bCs/>
          <w:color w:val="auto"/>
          <w:sz w:val="22"/>
          <w:szCs w:val="22"/>
        </w:rPr>
      </w:pPr>
      <w:bookmarkStart w:id="0" w:name="_GoBack"/>
      <w:r w:rsidRPr="0082025A">
        <w:rPr>
          <w:b/>
          <w:bCs/>
          <w:color w:val="auto"/>
          <w:sz w:val="22"/>
          <w:szCs w:val="22"/>
        </w:rPr>
        <w:t xml:space="preserve">Advisory Committee Meetings </w:t>
      </w:r>
    </w:p>
    <w:bookmarkEnd w:id="0"/>
    <w:p w:rsidR="001B2FFE" w:rsidRPr="0082025A" w:rsidRDefault="001B2FFE" w:rsidP="001B2FFE">
      <w:pPr>
        <w:pStyle w:val="Default"/>
        <w:rPr>
          <w:b/>
          <w:bCs/>
          <w:color w:val="auto"/>
          <w:sz w:val="22"/>
          <w:szCs w:val="22"/>
        </w:rPr>
      </w:pPr>
      <w:r w:rsidRPr="0082025A">
        <w:rPr>
          <w:b/>
          <w:bCs/>
          <w:color w:val="auto"/>
          <w:sz w:val="22"/>
          <w:szCs w:val="22"/>
        </w:rPr>
        <w:t>Feb. 27, 2018</w:t>
      </w:r>
    </w:p>
    <w:p w:rsidR="001B2FFE" w:rsidRPr="0082025A" w:rsidRDefault="001B2FFE" w:rsidP="001B2FFE">
      <w:pPr>
        <w:pStyle w:val="Default"/>
        <w:rPr>
          <w:b/>
          <w:bCs/>
          <w:color w:val="auto"/>
          <w:sz w:val="22"/>
          <w:szCs w:val="22"/>
        </w:rPr>
      </w:pPr>
      <w:r w:rsidRPr="0082025A">
        <w:rPr>
          <w:b/>
          <w:color w:val="auto"/>
          <w:sz w:val="22"/>
          <w:szCs w:val="22"/>
        </w:rPr>
        <w:t>First National Bank Building</w:t>
      </w:r>
    </w:p>
    <w:p w:rsidR="001B2FFE" w:rsidRPr="0082025A" w:rsidRDefault="001B2FFE" w:rsidP="001B2FFE">
      <w:pPr>
        <w:pStyle w:val="Default"/>
        <w:rPr>
          <w:b/>
          <w:color w:val="auto"/>
          <w:sz w:val="22"/>
          <w:szCs w:val="22"/>
        </w:rPr>
      </w:pPr>
      <w:r w:rsidRPr="0082025A">
        <w:rPr>
          <w:b/>
          <w:color w:val="auto"/>
          <w:sz w:val="22"/>
          <w:szCs w:val="22"/>
        </w:rPr>
        <w:t>332 Minnesota Street</w:t>
      </w:r>
    </w:p>
    <w:p w:rsidR="001B2FFE" w:rsidRPr="0082025A" w:rsidRDefault="001B2FFE" w:rsidP="001B2FFE">
      <w:pPr>
        <w:pStyle w:val="Default"/>
        <w:rPr>
          <w:b/>
          <w:color w:val="auto"/>
          <w:sz w:val="22"/>
          <w:szCs w:val="22"/>
        </w:rPr>
      </w:pPr>
      <w:r w:rsidRPr="0082025A">
        <w:rPr>
          <w:b/>
          <w:color w:val="auto"/>
          <w:sz w:val="22"/>
          <w:szCs w:val="22"/>
        </w:rPr>
        <w:t>St Paul, MN 55101</w:t>
      </w:r>
    </w:p>
    <w:p w:rsidR="001B2FFE" w:rsidRDefault="001B2FFE" w:rsidP="001B2FFE">
      <w:pPr>
        <w:pStyle w:val="Default"/>
        <w:rPr>
          <w:color w:val="auto"/>
          <w:sz w:val="22"/>
          <w:szCs w:val="22"/>
        </w:rPr>
      </w:pPr>
    </w:p>
    <w:p w:rsidR="001B2FFE" w:rsidRDefault="001B2FFE" w:rsidP="001B2FFE">
      <w:pPr>
        <w:pStyle w:val="Default"/>
        <w:rPr>
          <w:sz w:val="22"/>
          <w:szCs w:val="22"/>
        </w:rPr>
      </w:pPr>
      <w:r>
        <w:rPr>
          <w:color w:val="auto"/>
          <w:sz w:val="22"/>
          <w:szCs w:val="22"/>
        </w:rPr>
        <w:t>T</w:t>
      </w:r>
      <w:r>
        <w:rPr>
          <w:color w:val="53565A"/>
          <w:sz w:val="22"/>
          <w:szCs w:val="22"/>
        </w:rPr>
        <w:t>he Minnesota Department of Commerce is conducting a</w:t>
      </w:r>
      <w:r>
        <w:rPr>
          <w:color w:val="auto"/>
          <w:sz w:val="22"/>
          <w:szCs w:val="22"/>
        </w:rPr>
        <w:t xml:space="preserve"> </w:t>
      </w:r>
      <w:hyperlink r:id="rId5" w:history="1">
        <w:r>
          <w:rPr>
            <w:rStyle w:val="Hyperlink"/>
            <w:sz w:val="22"/>
            <w:szCs w:val="22"/>
          </w:rPr>
          <w:t>major research initiative</w:t>
        </w:r>
      </w:hyperlink>
      <w:r>
        <w:rPr>
          <w:color w:val="0057FF"/>
          <w:sz w:val="22"/>
          <w:szCs w:val="22"/>
        </w:rPr>
        <w:t xml:space="preserve"> </w:t>
      </w:r>
      <w:r>
        <w:rPr>
          <w:color w:val="53565A"/>
          <w:sz w:val="22"/>
          <w:szCs w:val="22"/>
        </w:rPr>
        <w:t>to fully explore Minnesota’s demand-side (customer-facing) and supply-side (utility infrastructure) energy efficiency potential. Through the</w:t>
      </w:r>
      <w:r>
        <w:rPr>
          <w:color w:val="606060"/>
          <w:sz w:val="22"/>
          <w:szCs w:val="22"/>
        </w:rPr>
        <w:t xml:space="preserve"> </w:t>
      </w:r>
      <w:hyperlink r:id="rId6" w:history="1">
        <w:r>
          <w:rPr>
            <w:rStyle w:val="Hyperlink"/>
            <w:sz w:val="22"/>
            <w:szCs w:val="22"/>
          </w:rPr>
          <w:t>Conservation Applied Research and Development (CARD) program</w:t>
        </w:r>
      </w:hyperlink>
      <w:r>
        <w:rPr>
          <w:color w:val="606060"/>
          <w:sz w:val="22"/>
          <w:szCs w:val="22"/>
        </w:rPr>
        <w:t xml:space="preserve">, </w:t>
      </w:r>
      <w:r>
        <w:rPr>
          <w:color w:val="53565A"/>
          <w:sz w:val="22"/>
          <w:szCs w:val="22"/>
        </w:rPr>
        <w:t>Commerce has funded two studies on statewide energy efficiency and carbon savings potential. You can visit</w:t>
      </w:r>
      <w:r>
        <w:rPr>
          <w:color w:val="606060"/>
          <w:sz w:val="22"/>
          <w:szCs w:val="22"/>
        </w:rPr>
        <w:t xml:space="preserve"> </w:t>
      </w:r>
      <w:hyperlink r:id="rId7" w:history="1">
        <w:r>
          <w:rPr>
            <w:rStyle w:val="Hyperlink"/>
            <w:sz w:val="22"/>
            <w:szCs w:val="22"/>
          </w:rPr>
          <w:t>the project webpages</w:t>
        </w:r>
      </w:hyperlink>
      <w:r>
        <w:rPr>
          <w:color w:val="0057FF"/>
          <w:sz w:val="22"/>
          <w:szCs w:val="22"/>
        </w:rPr>
        <w:t xml:space="preserve"> </w:t>
      </w:r>
      <w:r>
        <w:rPr>
          <w:color w:val="53565A"/>
          <w:sz w:val="22"/>
          <w:szCs w:val="22"/>
        </w:rPr>
        <w:t>for more background information about the projects.</w:t>
      </w:r>
    </w:p>
    <w:p w:rsidR="001B2FFE" w:rsidRDefault="001B2FFE" w:rsidP="001B2FFE">
      <w:pPr>
        <w:pStyle w:val="Default"/>
        <w:rPr>
          <w:color w:val="606060"/>
          <w:sz w:val="22"/>
          <w:szCs w:val="22"/>
        </w:rPr>
      </w:pPr>
    </w:p>
    <w:p w:rsidR="001B2FFE" w:rsidRDefault="001B2FFE" w:rsidP="001B2FFE">
      <w:pPr>
        <w:spacing w:line="240" w:lineRule="auto"/>
        <w:rPr>
          <w:color w:val="53565A"/>
        </w:rPr>
      </w:pPr>
      <w:r>
        <w:rPr>
          <w:color w:val="53565A"/>
        </w:rPr>
        <w:t xml:space="preserve">An advisory committee of experienced stakeholders has been formed for each study. Committee members will lend their policy and technical expertise to discuss the each study’s approach, methodology, and recommendations. These discussions will help ensure that the study results are relevant to a broad group of stakeholders and that they support future CIP implementation. </w:t>
      </w:r>
    </w:p>
    <w:p w:rsidR="001B2FFE" w:rsidRDefault="001B2FFE" w:rsidP="001B2FFE">
      <w:pPr>
        <w:pStyle w:val="Default"/>
        <w:rPr>
          <w:sz w:val="22"/>
          <w:szCs w:val="22"/>
        </w:rPr>
      </w:pPr>
      <w:r>
        <w:rPr>
          <w:color w:val="606060"/>
          <w:sz w:val="22"/>
          <w:szCs w:val="22"/>
        </w:rPr>
        <w:t xml:space="preserve">The third advisory committee meeting will be held at the </w:t>
      </w:r>
      <w:hyperlink r:id="rId8" w:history="1">
        <w:r>
          <w:rPr>
            <w:rStyle w:val="Hyperlink"/>
            <w:sz w:val="22"/>
            <w:szCs w:val="22"/>
          </w:rPr>
          <w:t>First National Bank Building</w:t>
        </w:r>
      </w:hyperlink>
      <w:r>
        <w:rPr>
          <w:sz w:val="22"/>
          <w:szCs w:val="22"/>
        </w:rPr>
        <w:t xml:space="preserve">: </w:t>
      </w:r>
    </w:p>
    <w:p w:rsidR="001B2FFE" w:rsidRDefault="001B2FFE" w:rsidP="001B2FFE">
      <w:pPr>
        <w:pStyle w:val="Default"/>
        <w:rPr>
          <w:b/>
          <w:bCs/>
          <w:color w:val="606060"/>
          <w:sz w:val="22"/>
          <w:szCs w:val="22"/>
        </w:rPr>
      </w:pPr>
    </w:p>
    <w:p w:rsidR="001B2FFE" w:rsidRDefault="001B2FFE" w:rsidP="001B2FFE">
      <w:pPr>
        <w:pStyle w:val="Default"/>
        <w:rPr>
          <w:color w:val="606060"/>
          <w:sz w:val="22"/>
          <w:szCs w:val="22"/>
        </w:rPr>
      </w:pPr>
      <w:r>
        <w:rPr>
          <w:b/>
          <w:bCs/>
          <w:color w:val="606060"/>
          <w:sz w:val="22"/>
          <w:szCs w:val="22"/>
        </w:rPr>
        <w:t xml:space="preserve">Demand-Side Management Committee Meeting: Feb. 27, 9:00 a.m.–noon </w:t>
      </w:r>
    </w:p>
    <w:p w:rsidR="001B2FFE" w:rsidRDefault="001B2FFE" w:rsidP="001B2FFE">
      <w:pPr>
        <w:pStyle w:val="Default"/>
        <w:rPr>
          <w:color w:val="606060"/>
          <w:sz w:val="22"/>
          <w:szCs w:val="22"/>
        </w:rPr>
      </w:pPr>
      <w:r>
        <w:rPr>
          <w:color w:val="606060"/>
          <w:sz w:val="22"/>
          <w:szCs w:val="22"/>
        </w:rPr>
        <w:t>The Advisory Committee for the Statewide Natural Gas and Electric Energy-Efficiency and Carbon-Saving Potential Study will meet on Feb. 27 at the First National Bank Building in St. Paul. The meeting will include presentations and discussions about initial technical potential estimates from the study and will explore key CIP policy issues.</w:t>
      </w:r>
    </w:p>
    <w:p w:rsidR="001B2FFE" w:rsidRDefault="001B2FFE" w:rsidP="001B2FFE">
      <w:pPr>
        <w:pStyle w:val="Default"/>
        <w:rPr>
          <w:b/>
          <w:bCs/>
          <w:color w:val="606060"/>
          <w:sz w:val="22"/>
          <w:szCs w:val="22"/>
        </w:rPr>
      </w:pPr>
    </w:p>
    <w:p w:rsidR="001B2FFE" w:rsidRDefault="001B2FFE" w:rsidP="001B2FFE">
      <w:pPr>
        <w:pStyle w:val="Default"/>
        <w:rPr>
          <w:color w:val="606060"/>
          <w:sz w:val="22"/>
          <w:szCs w:val="22"/>
        </w:rPr>
      </w:pPr>
      <w:r>
        <w:rPr>
          <w:b/>
          <w:bCs/>
          <w:color w:val="606060"/>
          <w:sz w:val="22"/>
          <w:szCs w:val="22"/>
        </w:rPr>
        <w:t xml:space="preserve">Electric Utility Infrastructure Committee Meeting: Feb. 27, 1:00–3:00 p.m. </w:t>
      </w:r>
    </w:p>
    <w:p w:rsidR="001B2FFE" w:rsidRDefault="001B2FFE" w:rsidP="001B2FFE">
      <w:pPr>
        <w:pStyle w:val="Default"/>
        <w:rPr>
          <w:color w:val="606060"/>
          <w:sz w:val="22"/>
          <w:szCs w:val="22"/>
        </w:rPr>
      </w:pPr>
      <w:r>
        <w:rPr>
          <w:color w:val="606060"/>
          <w:sz w:val="22"/>
          <w:szCs w:val="22"/>
        </w:rPr>
        <w:t>Following the DSM committee meeting, the Advisory Committee for the Statewide Electric Utility Infrastructure (EUI) Potential Study will convene. The meeting will include presentations and discussions about initial technical potential estimates from the study and will explore EUI regulatory and policy issues.</w:t>
      </w:r>
    </w:p>
    <w:p w:rsidR="001B2FFE" w:rsidRDefault="001B2FFE" w:rsidP="001B2FFE">
      <w:pPr>
        <w:pStyle w:val="Default"/>
        <w:rPr>
          <w:color w:val="606060"/>
          <w:sz w:val="22"/>
          <w:szCs w:val="22"/>
        </w:rPr>
      </w:pPr>
    </w:p>
    <w:p w:rsidR="001B2FFE" w:rsidRDefault="001B2FFE" w:rsidP="001B2FFE">
      <w:pPr>
        <w:spacing w:line="240" w:lineRule="auto"/>
      </w:pPr>
      <w:r>
        <w:rPr>
          <w:color w:val="606060"/>
        </w:rPr>
        <w:t xml:space="preserve">If you are not an Advisory Committee member, you are welcome to join the meetings as an observer. For non-committee members planning to attend, please </w:t>
      </w:r>
      <w:hyperlink r:id="rId9" w:history="1">
        <w:r w:rsidRPr="0049439C">
          <w:rPr>
            <w:rStyle w:val="Hyperlink"/>
          </w:rPr>
          <w:t xml:space="preserve">RSVP with Jon </w:t>
        </w:r>
        <w:proofErr w:type="spellStart"/>
        <w:r w:rsidRPr="0049439C">
          <w:rPr>
            <w:rStyle w:val="Hyperlink"/>
          </w:rPr>
          <w:t>Blaufuss</w:t>
        </w:r>
        <w:proofErr w:type="spellEnd"/>
      </w:hyperlink>
      <w:r w:rsidRPr="0049439C">
        <w:t xml:space="preserve"> at the Center for Energy and Environment</w:t>
      </w:r>
      <w:r>
        <w:rPr>
          <w:color w:val="606060"/>
        </w:rPr>
        <w:t xml:space="preserve">. Once finalized, the agenda for each meeting will be posted on </w:t>
      </w:r>
      <w:hyperlink r:id="rId10" w:history="1">
        <w:r>
          <w:rPr>
            <w:rStyle w:val="Hyperlink"/>
          </w:rPr>
          <w:t>each study’s website.</w:t>
        </w:r>
      </w:hyperlink>
    </w:p>
    <w:p w:rsidR="0097082C" w:rsidRDefault="0097082C"/>
    <w:sectPr w:rsidR="00970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FE"/>
    <w:rsid w:val="001B2FFE"/>
    <w:rsid w:val="0097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B281"/>
  <w15:chartTrackingRefBased/>
  <w15:docId w15:val="{6AA789F3-004E-4FD4-A22E-6E146F9B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F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FFE"/>
    <w:rPr>
      <w:color w:val="0000FF"/>
      <w:u w:val="single"/>
    </w:rPr>
  </w:style>
  <w:style w:type="paragraph" w:customStyle="1" w:styleId="Default">
    <w:name w:val="Default"/>
    <w:qFormat/>
    <w:rsid w:val="001B2FFE"/>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place/First+National+Bank+Building/@44.9463886,-93.093357,17z/data=!3m1!4b1!4m5!3m4!1s0x87f7d54e58c74157:0x16b7b3ee1c2e75f4!8m2!3d44.9463886!4d-93.091163" TargetMode="External"/><Relationship Id="rId3" Type="http://schemas.openxmlformats.org/officeDocument/2006/relationships/webSettings" Target="webSettings.xml"/><Relationship Id="rId7" Type="http://schemas.openxmlformats.org/officeDocument/2006/relationships/hyperlink" Target="https://www.mncee.org/mnpotentialstudy/overvi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gov/commerce/industries/energy/utilities/cip/applied-research-development/" TargetMode="External"/><Relationship Id="rId11" Type="http://schemas.openxmlformats.org/officeDocument/2006/relationships/fontTable" Target="fontTable.xml"/><Relationship Id="rId5" Type="http://schemas.openxmlformats.org/officeDocument/2006/relationships/hyperlink" Target="http://mn.gov/commerce-stat/pdfs/commerce-awards-two-2016.pdf" TargetMode="External"/><Relationship Id="rId10" Type="http://schemas.openxmlformats.org/officeDocument/2006/relationships/hyperlink" Target="https://www.mncee.org/mnpotentialstudy/overview/" TargetMode="External"/><Relationship Id="rId4" Type="http://schemas.openxmlformats.org/officeDocument/2006/relationships/image" Target="media/image1.png"/><Relationship Id="rId9" Type="http://schemas.openxmlformats.org/officeDocument/2006/relationships/hyperlink" Target="mailto:jblaufuss@mnc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David L (COMM)</dc:creator>
  <cp:keywords/>
  <dc:description/>
  <cp:lastModifiedBy>Swanson, David L (COMM)</cp:lastModifiedBy>
  <cp:revision>1</cp:revision>
  <dcterms:created xsi:type="dcterms:W3CDTF">2018-01-11T16:26:00Z</dcterms:created>
  <dcterms:modified xsi:type="dcterms:W3CDTF">2018-01-11T16:29:00Z</dcterms:modified>
</cp:coreProperties>
</file>